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7D7925" w:rsidRDefault="00E97702" w:rsidP="008C26AE">
      <w:pPr>
        <w:pStyle w:val="EstiloPortada"/>
        <w:spacing w:before="180" w:after="240"/>
        <w:ind w:left="3249" w:right="-57"/>
        <w:rPr>
          <w:rFonts w:ascii="Arial" w:hAnsi="Arial" w:cs="Arial"/>
          <w:sz w:val="36"/>
          <w:szCs w:val="36"/>
        </w:rPr>
      </w:pPr>
      <w:r w:rsidRPr="007D7925">
        <w:rPr>
          <w:rFonts w:ascii="Arial" w:hAnsi="Arial" w:cs="Arial"/>
          <w:noProof/>
          <w:color w:val="808080"/>
          <w:sz w:val="36"/>
          <w:szCs w:val="36"/>
          <w:lang w:val="es-ES" w:eastAsia="es-ES"/>
        </w:rPr>
        <mc:AlternateContent>
          <mc:Choice Requires="wps">
            <w:drawing>
              <wp:anchor distT="0" distB="0" distL="114300" distR="114300" simplePos="0" relativeHeight="251657728" behindDoc="0" locked="0" layoutInCell="1" allowOverlap="1" wp14:anchorId="6EC7328B" wp14:editId="6AEB025E">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6596E" w:rsidRPr="003A7956" w:rsidRDefault="0056596E" w:rsidP="002C7026">
                            <w:pPr>
                              <w:spacing w:after="0"/>
                              <w:ind w:firstLine="0"/>
                              <w:jc w:val="center"/>
                              <w:rPr>
                                <w:sz w:val="18"/>
                                <w:szCs w:val="18"/>
                                <w:lang w:val="es-ES"/>
                              </w:rPr>
                            </w:pPr>
                            <w:r w:rsidRPr="003A7956">
                              <w:rPr>
                                <w:sz w:val="18"/>
                                <w:szCs w:val="18"/>
                                <w:lang w:val="es-ES"/>
                              </w:rPr>
                              <w:t>CAMARA DE</w:t>
                            </w:r>
                          </w:p>
                          <w:p w:rsidR="0056596E" w:rsidRPr="003A7956" w:rsidRDefault="0056596E" w:rsidP="002C7026">
                            <w:pPr>
                              <w:spacing w:after="0"/>
                              <w:ind w:firstLine="0"/>
                              <w:jc w:val="center"/>
                              <w:rPr>
                                <w:sz w:val="18"/>
                                <w:szCs w:val="18"/>
                                <w:lang w:val="es-ES"/>
                              </w:rPr>
                            </w:pPr>
                            <w:r w:rsidRPr="003A7956">
                              <w:rPr>
                                <w:sz w:val="18"/>
                                <w:szCs w:val="18"/>
                                <w:lang w:val="es-ES"/>
                              </w:rPr>
                              <w:t>COMPTOS</w:t>
                            </w:r>
                          </w:p>
                          <w:p w:rsidR="0056596E" w:rsidRPr="003A7956" w:rsidRDefault="0056596E" w:rsidP="002C7026">
                            <w:pPr>
                              <w:spacing w:after="0"/>
                              <w:ind w:firstLine="0"/>
                              <w:jc w:val="center"/>
                              <w:rPr>
                                <w:sz w:val="18"/>
                                <w:szCs w:val="18"/>
                                <w:lang w:val="es-ES"/>
                              </w:rPr>
                            </w:pPr>
                            <w:r w:rsidRPr="003A7956">
                              <w:rPr>
                                <w:sz w:val="18"/>
                                <w:szCs w:val="18"/>
                                <w:lang w:val="es-ES"/>
                              </w:rPr>
                              <w:t>DE NAVARRA</w:t>
                            </w:r>
                          </w:p>
                          <w:p w:rsidR="0056596E" w:rsidRPr="003A7956" w:rsidRDefault="0056596E" w:rsidP="002C7026">
                            <w:pPr>
                              <w:spacing w:after="0"/>
                              <w:ind w:firstLine="0"/>
                              <w:jc w:val="center"/>
                              <w:rPr>
                                <w:color w:val="808080"/>
                                <w:sz w:val="18"/>
                                <w:szCs w:val="18"/>
                                <w:lang w:val="es-ES"/>
                              </w:rPr>
                            </w:pPr>
                            <w:r w:rsidRPr="003A7956">
                              <w:rPr>
                                <w:color w:val="808080"/>
                                <w:sz w:val="18"/>
                                <w:szCs w:val="18"/>
                                <w:lang w:val="es-ES"/>
                              </w:rPr>
                              <w:t>NAFARROAKO</w:t>
                            </w:r>
                          </w:p>
                          <w:p w:rsidR="0056596E" w:rsidRPr="003A7956" w:rsidRDefault="0056596E" w:rsidP="002C7026">
                            <w:pPr>
                              <w:spacing w:after="0"/>
                              <w:ind w:firstLine="0"/>
                              <w:jc w:val="center"/>
                              <w:rPr>
                                <w:color w:val="808080"/>
                                <w:sz w:val="18"/>
                                <w:szCs w:val="18"/>
                                <w:lang w:val="es-ES"/>
                              </w:rPr>
                            </w:pPr>
                            <w:r w:rsidRPr="003A7956">
                              <w:rPr>
                                <w:color w:val="808080"/>
                                <w:sz w:val="18"/>
                                <w:szCs w:val="18"/>
                                <w:lang w:val="es-ES"/>
                              </w:rPr>
                              <w:t>KONTUEN</w:t>
                            </w:r>
                          </w:p>
                          <w:p w:rsidR="0056596E" w:rsidRPr="003A7956" w:rsidRDefault="0056596E" w:rsidP="002C7026">
                            <w:pPr>
                              <w:spacing w:after="0"/>
                              <w:ind w:firstLine="0"/>
                              <w:jc w:val="center"/>
                              <w:rPr>
                                <w:color w:val="808080"/>
                                <w:sz w:val="18"/>
                                <w:szCs w:val="18"/>
                                <w:lang w:val="es-ES"/>
                              </w:rPr>
                            </w:pPr>
                            <w:r w:rsidRPr="003A7956">
                              <w:rPr>
                                <w:color w:val="808080"/>
                                <w:sz w:val="18"/>
                                <w:szCs w:val="18"/>
                                <w:lang w:val="es-ES"/>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56596E" w:rsidRPr="003A7956" w:rsidRDefault="0056596E" w:rsidP="002C7026">
                      <w:pPr>
                        <w:spacing w:after="0"/>
                        <w:ind w:firstLine="0"/>
                        <w:jc w:val="center"/>
                        <w:rPr>
                          <w:sz w:val="18"/>
                          <w:szCs w:val="18"/>
                          <w:lang w:val="es-ES"/>
                        </w:rPr>
                      </w:pPr>
                      <w:r w:rsidRPr="003A7956">
                        <w:rPr>
                          <w:sz w:val="18"/>
                          <w:szCs w:val="18"/>
                          <w:lang w:val="es-ES"/>
                        </w:rPr>
                        <w:t>CAMARA DE</w:t>
                      </w:r>
                    </w:p>
                    <w:p w:rsidR="0056596E" w:rsidRPr="003A7956" w:rsidRDefault="0056596E" w:rsidP="002C7026">
                      <w:pPr>
                        <w:spacing w:after="0"/>
                        <w:ind w:firstLine="0"/>
                        <w:jc w:val="center"/>
                        <w:rPr>
                          <w:sz w:val="18"/>
                          <w:szCs w:val="18"/>
                          <w:lang w:val="es-ES"/>
                        </w:rPr>
                      </w:pPr>
                      <w:r w:rsidRPr="003A7956">
                        <w:rPr>
                          <w:sz w:val="18"/>
                          <w:szCs w:val="18"/>
                          <w:lang w:val="es-ES"/>
                        </w:rPr>
                        <w:t>COMPTOS</w:t>
                      </w:r>
                    </w:p>
                    <w:p w:rsidR="0056596E" w:rsidRPr="003A7956" w:rsidRDefault="0056596E" w:rsidP="002C7026">
                      <w:pPr>
                        <w:spacing w:after="0"/>
                        <w:ind w:firstLine="0"/>
                        <w:jc w:val="center"/>
                        <w:rPr>
                          <w:sz w:val="18"/>
                          <w:szCs w:val="18"/>
                          <w:lang w:val="es-ES"/>
                        </w:rPr>
                      </w:pPr>
                      <w:r w:rsidRPr="003A7956">
                        <w:rPr>
                          <w:sz w:val="18"/>
                          <w:szCs w:val="18"/>
                          <w:lang w:val="es-ES"/>
                        </w:rPr>
                        <w:t>DE NAVARRA</w:t>
                      </w:r>
                    </w:p>
                    <w:p w:rsidR="0056596E" w:rsidRPr="003A7956" w:rsidRDefault="0056596E" w:rsidP="002C7026">
                      <w:pPr>
                        <w:spacing w:after="0"/>
                        <w:ind w:firstLine="0"/>
                        <w:jc w:val="center"/>
                        <w:rPr>
                          <w:color w:val="808080"/>
                          <w:sz w:val="18"/>
                          <w:szCs w:val="18"/>
                          <w:lang w:val="es-ES"/>
                        </w:rPr>
                      </w:pPr>
                      <w:r w:rsidRPr="003A7956">
                        <w:rPr>
                          <w:color w:val="808080"/>
                          <w:sz w:val="18"/>
                          <w:szCs w:val="18"/>
                          <w:lang w:val="es-ES"/>
                        </w:rPr>
                        <w:t>NAFARROAKO</w:t>
                      </w:r>
                    </w:p>
                    <w:p w:rsidR="0056596E" w:rsidRPr="003A7956" w:rsidRDefault="0056596E" w:rsidP="002C7026">
                      <w:pPr>
                        <w:spacing w:after="0"/>
                        <w:ind w:firstLine="0"/>
                        <w:jc w:val="center"/>
                        <w:rPr>
                          <w:color w:val="808080"/>
                          <w:sz w:val="18"/>
                          <w:szCs w:val="18"/>
                          <w:lang w:val="es-ES"/>
                        </w:rPr>
                      </w:pPr>
                      <w:r w:rsidRPr="003A7956">
                        <w:rPr>
                          <w:color w:val="808080"/>
                          <w:sz w:val="18"/>
                          <w:szCs w:val="18"/>
                          <w:lang w:val="es-ES"/>
                        </w:rPr>
                        <w:t>KONTUEN</w:t>
                      </w:r>
                    </w:p>
                    <w:p w:rsidR="0056596E" w:rsidRPr="003A7956" w:rsidRDefault="0056596E" w:rsidP="002C7026">
                      <w:pPr>
                        <w:spacing w:after="0"/>
                        <w:ind w:firstLine="0"/>
                        <w:jc w:val="center"/>
                        <w:rPr>
                          <w:color w:val="808080"/>
                          <w:sz w:val="18"/>
                          <w:szCs w:val="18"/>
                          <w:lang w:val="es-ES"/>
                        </w:rPr>
                      </w:pPr>
                      <w:r w:rsidRPr="003A7956">
                        <w:rPr>
                          <w:color w:val="808080"/>
                          <w:sz w:val="18"/>
                          <w:szCs w:val="18"/>
                          <w:lang w:val="es-ES"/>
                        </w:rPr>
                        <w:t>GANBERA</w:t>
                      </w:r>
                    </w:p>
                  </w:txbxContent>
                </v:textbox>
              </v:shape>
            </w:pict>
          </mc:Fallback>
        </mc:AlternateContent>
      </w:r>
    </w:p>
    <w:p w:rsidR="008C26AE" w:rsidRDefault="00680F2D" w:rsidP="008C26AE">
      <w:pPr>
        <w:pStyle w:val="portada"/>
        <w:spacing w:before="120"/>
        <w:ind w:left="3220" w:right="-451"/>
        <w:rPr>
          <w:rFonts w:ascii="Times New Roman" w:hAnsi="Times New Roman"/>
          <w:b/>
          <w:sz w:val="44"/>
          <w:szCs w:val="44"/>
        </w:rPr>
      </w:pPr>
      <w:r w:rsidRPr="005D6A9B">
        <w:rPr>
          <w:rFonts w:ascii="Times New Roman" w:hAnsi="Times New Roman"/>
          <w:b/>
          <w:sz w:val="44"/>
          <w:szCs w:val="44"/>
        </w:rPr>
        <w:t xml:space="preserve">Resultados de la operación de compra-venta </w:t>
      </w:r>
      <w:r w:rsidR="008C26AE">
        <w:rPr>
          <w:rFonts w:ascii="Times New Roman" w:hAnsi="Times New Roman"/>
          <w:b/>
          <w:sz w:val="44"/>
          <w:szCs w:val="44"/>
        </w:rPr>
        <w:t>de</w:t>
      </w:r>
    </w:p>
    <w:p w:rsidR="00680F2D" w:rsidRPr="008C26AE" w:rsidRDefault="00680F2D" w:rsidP="008C26AE">
      <w:pPr>
        <w:pStyle w:val="portada"/>
        <w:spacing w:before="0"/>
        <w:ind w:left="3220" w:right="-454"/>
        <w:rPr>
          <w:b/>
          <w:sz w:val="40"/>
          <w:szCs w:val="40"/>
        </w:rPr>
      </w:pPr>
      <w:proofErr w:type="gramStart"/>
      <w:r w:rsidRPr="005D6A9B">
        <w:rPr>
          <w:rFonts w:ascii="Times New Roman" w:hAnsi="Times New Roman"/>
          <w:b/>
          <w:sz w:val="44"/>
          <w:szCs w:val="44"/>
        </w:rPr>
        <w:t>acciones</w:t>
      </w:r>
      <w:proofErr w:type="gramEnd"/>
      <w:r w:rsidRPr="005D6A9B">
        <w:rPr>
          <w:rFonts w:ascii="Times New Roman" w:hAnsi="Times New Roman"/>
          <w:b/>
          <w:sz w:val="44"/>
          <w:szCs w:val="44"/>
        </w:rPr>
        <w:t xml:space="preserve"> de Iberdrola</w:t>
      </w:r>
      <w:r w:rsidR="008C26AE">
        <w:rPr>
          <w:rFonts w:ascii="Times New Roman" w:hAnsi="Times New Roman"/>
          <w:b/>
          <w:sz w:val="44"/>
          <w:szCs w:val="44"/>
        </w:rPr>
        <w:t xml:space="preserve">, </w:t>
      </w:r>
      <w:r w:rsidRPr="008C26AE">
        <w:rPr>
          <w:rFonts w:ascii="Times New Roman" w:hAnsi="Times New Roman"/>
          <w:b/>
          <w:sz w:val="40"/>
          <w:szCs w:val="40"/>
        </w:rPr>
        <w:t>2005-2014</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6944BB" w:rsidRDefault="006944BB" w:rsidP="00891D73">
      <w:pPr>
        <w:pStyle w:val="texto"/>
      </w:pPr>
    </w:p>
    <w:p w:rsidR="006944BB" w:rsidRDefault="006944BB" w:rsidP="00891D73">
      <w:pPr>
        <w:pStyle w:val="texto"/>
      </w:pPr>
    </w:p>
    <w:p w:rsidR="006944BB" w:rsidRDefault="006944BB"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Default="00844F74" w:rsidP="00891D73">
      <w:pPr>
        <w:pStyle w:val="texto"/>
      </w:pPr>
    </w:p>
    <w:p w:rsidR="005D6A9B" w:rsidRPr="00204979" w:rsidRDefault="005D6A9B" w:rsidP="00891D73">
      <w:pPr>
        <w:pStyle w:val="texto"/>
      </w:pPr>
    </w:p>
    <w:p w:rsidR="00926E7B" w:rsidRDefault="00926E7B" w:rsidP="009936FC">
      <w:pPr>
        <w:pStyle w:val="Fechaportada"/>
      </w:pPr>
    </w:p>
    <w:p w:rsidR="00716463" w:rsidRPr="001D4F09" w:rsidRDefault="00F128AC" w:rsidP="009936FC">
      <w:pPr>
        <w:pStyle w:val="Fechaportada"/>
      </w:pPr>
      <w:r>
        <w:t>Enero</w:t>
      </w:r>
      <w:r w:rsidR="00253E78" w:rsidRPr="001D4F09">
        <w:t xml:space="preserve"> de 20</w:t>
      </w:r>
      <w:r>
        <w:t>16</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6944BB" w:rsidRPr="00556B3B" w:rsidRDefault="006944BB" w:rsidP="006944BB">
      <w:pPr>
        <w:pStyle w:val="texto"/>
        <w:ind w:right="-307"/>
        <w:jc w:val="right"/>
        <w:rPr>
          <w:rFonts w:ascii="Arial" w:hAnsi="Arial" w:cs="Arial"/>
        </w:rPr>
      </w:pPr>
      <w:r w:rsidRPr="00556B3B">
        <w:rPr>
          <w:rFonts w:ascii="Arial" w:hAnsi="Arial" w:cs="Arial"/>
          <w:i/>
          <w:smallCaps/>
          <w:sz w:val="16"/>
          <w:szCs w:val="16"/>
        </w:rPr>
        <w:t>Página</w:t>
      </w:r>
    </w:p>
    <w:p w:rsidR="00211E21" w:rsidRDefault="006944BB">
      <w:pPr>
        <w:pStyle w:val="TDC1"/>
        <w:rPr>
          <w:rFonts w:asciiTheme="minorHAnsi" w:eastAsiaTheme="minorEastAsia" w:hAnsiTheme="minorHAnsi" w:cstheme="minorBidi"/>
          <w:smallCaps w:val="0"/>
          <w:noProof/>
          <w:szCs w:val="22"/>
          <w:lang w:val="es-ES" w:eastAsia="es-ES"/>
        </w:rPr>
      </w:pPr>
      <w:r w:rsidRPr="00DC27E9">
        <w:rPr>
          <w:highlight w:val="yellow"/>
        </w:rPr>
        <w:fldChar w:fldCharType="begin"/>
      </w:r>
      <w:r w:rsidRPr="00DC27E9">
        <w:rPr>
          <w:highlight w:val="yellow"/>
        </w:rPr>
        <w:instrText xml:space="preserve"> TOC \h \z \t "atitulo1;1;atitulo2;2" </w:instrText>
      </w:r>
      <w:r w:rsidRPr="00DC27E9">
        <w:rPr>
          <w:highlight w:val="yellow"/>
        </w:rPr>
        <w:fldChar w:fldCharType="separate"/>
      </w:r>
      <w:hyperlink w:anchor="_Toc441141962" w:history="1">
        <w:r w:rsidR="00211E21" w:rsidRPr="006F1517">
          <w:rPr>
            <w:rStyle w:val="Hipervnculo"/>
            <w:noProof/>
          </w:rPr>
          <w:t>I. Introducción</w:t>
        </w:r>
        <w:r w:rsidR="00211E21">
          <w:rPr>
            <w:noProof/>
            <w:webHidden/>
          </w:rPr>
          <w:tab/>
        </w:r>
        <w:r w:rsidR="00211E21">
          <w:rPr>
            <w:noProof/>
            <w:webHidden/>
          </w:rPr>
          <w:fldChar w:fldCharType="begin"/>
        </w:r>
        <w:r w:rsidR="00211E21">
          <w:rPr>
            <w:noProof/>
            <w:webHidden/>
          </w:rPr>
          <w:instrText xml:space="preserve"> PAGEREF _Toc441141962 \h </w:instrText>
        </w:r>
        <w:r w:rsidR="00211E21">
          <w:rPr>
            <w:noProof/>
            <w:webHidden/>
          </w:rPr>
        </w:r>
        <w:r w:rsidR="00211E21">
          <w:rPr>
            <w:noProof/>
            <w:webHidden/>
          </w:rPr>
          <w:fldChar w:fldCharType="separate"/>
        </w:r>
        <w:r w:rsidR="00C46890">
          <w:rPr>
            <w:noProof/>
            <w:webHidden/>
          </w:rPr>
          <w:t>3</w:t>
        </w:r>
        <w:r w:rsidR="00211E21">
          <w:rPr>
            <w:noProof/>
            <w:webHidden/>
          </w:rPr>
          <w:fldChar w:fldCharType="end"/>
        </w:r>
      </w:hyperlink>
    </w:p>
    <w:p w:rsidR="00211E21" w:rsidRDefault="00F74377">
      <w:pPr>
        <w:pStyle w:val="TDC1"/>
        <w:rPr>
          <w:rFonts w:asciiTheme="minorHAnsi" w:eastAsiaTheme="minorEastAsia" w:hAnsiTheme="minorHAnsi" w:cstheme="minorBidi"/>
          <w:smallCaps w:val="0"/>
          <w:noProof/>
          <w:szCs w:val="22"/>
          <w:lang w:val="es-ES" w:eastAsia="es-ES"/>
        </w:rPr>
      </w:pPr>
      <w:hyperlink w:anchor="_Toc441141963" w:history="1">
        <w:r w:rsidR="00211E21" w:rsidRPr="006F1517">
          <w:rPr>
            <w:rStyle w:val="Hipervnculo"/>
            <w:noProof/>
          </w:rPr>
          <w:t>II. Operación de compra-venta de acciones de Iberdrola S.A.</w:t>
        </w:r>
        <w:r w:rsidR="00211E21">
          <w:rPr>
            <w:noProof/>
            <w:webHidden/>
          </w:rPr>
          <w:tab/>
        </w:r>
        <w:r w:rsidR="00211E21">
          <w:rPr>
            <w:noProof/>
            <w:webHidden/>
          </w:rPr>
          <w:fldChar w:fldCharType="begin"/>
        </w:r>
        <w:r w:rsidR="00211E21">
          <w:rPr>
            <w:noProof/>
            <w:webHidden/>
          </w:rPr>
          <w:instrText xml:space="preserve"> PAGEREF _Toc441141963 \h </w:instrText>
        </w:r>
        <w:r w:rsidR="00211E21">
          <w:rPr>
            <w:noProof/>
            <w:webHidden/>
          </w:rPr>
        </w:r>
        <w:r w:rsidR="00211E21">
          <w:rPr>
            <w:noProof/>
            <w:webHidden/>
          </w:rPr>
          <w:fldChar w:fldCharType="separate"/>
        </w:r>
        <w:r w:rsidR="00C46890">
          <w:rPr>
            <w:noProof/>
            <w:webHidden/>
          </w:rPr>
          <w:t>5</w:t>
        </w:r>
        <w:r w:rsidR="00211E21">
          <w:rPr>
            <w:noProof/>
            <w:webHidden/>
          </w:rPr>
          <w:fldChar w:fldCharType="end"/>
        </w:r>
      </w:hyperlink>
    </w:p>
    <w:p w:rsidR="00211E21" w:rsidRDefault="00F74377">
      <w:pPr>
        <w:pStyle w:val="TDC1"/>
        <w:rPr>
          <w:rFonts w:asciiTheme="minorHAnsi" w:eastAsiaTheme="minorEastAsia" w:hAnsiTheme="minorHAnsi" w:cstheme="minorBidi"/>
          <w:smallCaps w:val="0"/>
          <w:noProof/>
          <w:szCs w:val="22"/>
          <w:lang w:val="es-ES" w:eastAsia="es-ES"/>
        </w:rPr>
      </w:pPr>
      <w:hyperlink w:anchor="_Toc441141964" w:history="1">
        <w:r w:rsidR="00211E21" w:rsidRPr="006F1517">
          <w:rPr>
            <w:rStyle w:val="Hipervnculo"/>
            <w:noProof/>
          </w:rPr>
          <w:t>III. Objetivo y alcance</w:t>
        </w:r>
        <w:r w:rsidR="00211E21">
          <w:rPr>
            <w:noProof/>
            <w:webHidden/>
          </w:rPr>
          <w:tab/>
        </w:r>
        <w:r w:rsidR="00211E21">
          <w:rPr>
            <w:noProof/>
            <w:webHidden/>
          </w:rPr>
          <w:fldChar w:fldCharType="begin"/>
        </w:r>
        <w:r w:rsidR="00211E21">
          <w:rPr>
            <w:noProof/>
            <w:webHidden/>
          </w:rPr>
          <w:instrText xml:space="preserve"> PAGEREF _Toc441141964 \h </w:instrText>
        </w:r>
        <w:r w:rsidR="00211E21">
          <w:rPr>
            <w:noProof/>
            <w:webHidden/>
          </w:rPr>
        </w:r>
        <w:r w:rsidR="00211E21">
          <w:rPr>
            <w:noProof/>
            <w:webHidden/>
          </w:rPr>
          <w:fldChar w:fldCharType="separate"/>
        </w:r>
        <w:r w:rsidR="00C46890">
          <w:rPr>
            <w:noProof/>
            <w:webHidden/>
          </w:rPr>
          <w:t>10</w:t>
        </w:r>
        <w:r w:rsidR="00211E21">
          <w:rPr>
            <w:noProof/>
            <w:webHidden/>
          </w:rPr>
          <w:fldChar w:fldCharType="end"/>
        </w:r>
      </w:hyperlink>
    </w:p>
    <w:p w:rsidR="00211E21" w:rsidRDefault="00F74377">
      <w:pPr>
        <w:pStyle w:val="TDC1"/>
        <w:rPr>
          <w:rFonts w:asciiTheme="minorHAnsi" w:eastAsiaTheme="minorEastAsia" w:hAnsiTheme="minorHAnsi" w:cstheme="minorBidi"/>
          <w:smallCaps w:val="0"/>
          <w:noProof/>
          <w:szCs w:val="22"/>
          <w:lang w:val="es-ES" w:eastAsia="es-ES"/>
        </w:rPr>
      </w:pPr>
      <w:hyperlink w:anchor="_Toc441141965" w:history="1">
        <w:r w:rsidR="00211E21" w:rsidRPr="006F1517">
          <w:rPr>
            <w:rStyle w:val="Hipervnculo"/>
            <w:noProof/>
          </w:rPr>
          <w:t>IV. Conclusiones y recomendaciones</w:t>
        </w:r>
        <w:r w:rsidR="00211E21">
          <w:rPr>
            <w:noProof/>
            <w:webHidden/>
          </w:rPr>
          <w:tab/>
        </w:r>
        <w:r w:rsidR="00211E21">
          <w:rPr>
            <w:noProof/>
            <w:webHidden/>
          </w:rPr>
          <w:fldChar w:fldCharType="begin"/>
        </w:r>
        <w:r w:rsidR="00211E21">
          <w:rPr>
            <w:noProof/>
            <w:webHidden/>
          </w:rPr>
          <w:instrText xml:space="preserve"> PAGEREF _Toc441141965 \h </w:instrText>
        </w:r>
        <w:r w:rsidR="00211E21">
          <w:rPr>
            <w:noProof/>
            <w:webHidden/>
          </w:rPr>
        </w:r>
        <w:r w:rsidR="00211E21">
          <w:rPr>
            <w:noProof/>
            <w:webHidden/>
          </w:rPr>
          <w:fldChar w:fldCharType="separate"/>
        </w:r>
        <w:r w:rsidR="00C46890">
          <w:rPr>
            <w:noProof/>
            <w:webHidden/>
          </w:rPr>
          <w:t>13</w:t>
        </w:r>
        <w:r w:rsidR="00211E21">
          <w:rPr>
            <w:noProof/>
            <w:webHidden/>
          </w:rPr>
          <w:fldChar w:fldCharType="end"/>
        </w:r>
      </w:hyperlink>
    </w:p>
    <w:p w:rsidR="00211E21" w:rsidRDefault="00F74377">
      <w:pPr>
        <w:pStyle w:val="TDC2"/>
        <w:rPr>
          <w:rFonts w:asciiTheme="minorHAnsi" w:eastAsiaTheme="minorEastAsia" w:hAnsiTheme="minorHAnsi" w:cstheme="minorBidi"/>
          <w:noProof/>
          <w:szCs w:val="22"/>
          <w:lang w:val="es-ES" w:eastAsia="es-ES"/>
        </w:rPr>
      </w:pPr>
      <w:hyperlink w:anchor="_Toc441141966" w:history="1">
        <w:r w:rsidR="00211E21" w:rsidRPr="006F1517">
          <w:rPr>
            <w:rStyle w:val="Hipervnculo"/>
            <w:noProof/>
          </w:rPr>
          <w:t>IV.1. Resultado financiero</w:t>
        </w:r>
        <w:r w:rsidR="00211E21">
          <w:rPr>
            <w:noProof/>
            <w:webHidden/>
          </w:rPr>
          <w:tab/>
        </w:r>
        <w:r w:rsidR="00211E21">
          <w:rPr>
            <w:noProof/>
            <w:webHidden/>
          </w:rPr>
          <w:fldChar w:fldCharType="begin"/>
        </w:r>
        <w:r w:rsidR="00211E21">
          <w:rPr>
            <w:noProof/>
            <w:webHidden/>
          </w:rPr>
          <w:instrText xml:space="preserve"> PAGEREF _Toc441141966 \h </w:instrText>
        </w:r>
        <w:r w:rsidR="00211E21">
          <w:rPr>
            <w:noProof/>
            <w:webHidden/>
          </w:rPr>
        </w:r>
        <w:r w:rsidR="00211E21">
          <w:rPr>
            <w:noProof/>
            <w:webHidden/>
          </w:rPr>
          <w:fldChar w:fldCharType="separate"/>
        </w:r>
        <w:r w:rsidR="00C46890">
          <w:rPr>
            <w:noProof/>
            <w:webHidden/>
          </w:rPr>
          <w:t>13</w:t>
        </w:r>
        <w:r w:rsidR="00211E21">
          <w:rPr>
            <w:noProof/>
            <w:webHidden/>
          </w:rPr>
          <w:fldChar w:fldCharType="end"/>
        </w:r>
      </w:hyperlink>
    </w:p>
    <w:p w:rsidR="00211E21" w:rsidRDefault="00F74377">
      <w:pPr>
        <w:pStyle w:val="TDC2"/>
        <w:rPr>
          <w:rFonts w:asciiTheme="minorHAnsi" w:eastAsiaTheme="minorEastAsia" w:hAnsiTheme="minorHAnsi" w:cstheme="minorBidi"/>
          <w:noProof/>
          <w:szCs w:val="22"/>
          <w:lang w:val="es-ES" w:eastAsia="es-ES"/>
        </w:rPr>
      </w:pPr>
      <w:hyperlink w:anchor="_Toc441141967" w:history="1">
        <w:r w:rsidR="00211E21" w:rsidRPr="006F1517">
          <w:rPr>
            <w:rStyle w:val="Hipervnculo"/>
            <w:noProof/>
          </w:rPr>
          <w:t>IV.2. Rentabilidad</w:t>
        </w:r>
        <w:r w:rsidR="00211E21">
          <w:rPr>
            <w:noProof/>
            <w:webHidden/>
          </w:rPr>
          <w:tab/>
        </w:r>
        <w:r w:rsidR="00211E21">
          <w:rPr>
            <w:noProof/>
            <w:webHidden/>
          </w:rPr>
          <w:fldChar w:fldCharType="begin"/>
        </w:r>
        <w:r w:rsidR="00211E21">
          <w:rPr>
            <w:noProof/>
            <w:webHidden/>
          </w:rPr>
          <w:instrText xml:space="preserve"> PAGEREF _Toc441141967 \h </w:instrText>
        </w:r>
        <w:r w:rsidR="00211E21">
          <w:rPr>
            <w:noProof/>
            <w:webHidden/>
          </w:rPr>
        </w:r>
        <w:r w:rsidR="00211E21">
          <w:rPr>
            <w:noProof/>
            <w:webHidden/>
          </w:rPr>
          <w:fldChar w:fldCharType="separate"/>
        </w:r>
        <w:r w:rsidR="00C46890">
          <w:rPr>
            <w:noProof/>
            <w:webHidden/>
          </w:rPr>
          <w:t>13</w:t>
        </w:r>
        <w:r w:rsidR="00211E21">
          <w:rPr>
            <w:noProof/>
            <w:webHidden/>
          </w:rPr>
          <w:fldChar w:fldCharType="end"/>
        </w:r>
      </w:hyperlink>
    </w:p>
    <w:p w:rsidR="00211E21" w:rsidRDefault="00F74377">
      <w:pPr>
        <w:pStyle w:val="TDC1"/>
        <w:rPr>
          <w:rFonts w:asciiTheme="minorHAnsi" w:eastAsiaTheme="minorEastAsia" w:hAnsiTheme="minorHAnsi" w:cstheme="minorBidi"/>
          <w:smallCaps w:val="0"/>
          <w:noProof/>
          <w:szCs w:val="22"/>
          <w:lang w:val="es-ES" w:eastAsia="es-ES"/>
        </w:rPr>
      </w:pPr>
      <w:hyperlink w:anchor="_Toc441141968" w:history="1">
        <w:r w:rsidR="00211E21" w:rsidRPr="006F1517">
          <w:rPr>
            <w:rStyle w:val="Hipervnculo"/>
            <w:noProof/>
          </w:rPr>
          <w:t>Anexos</w:t>
        </w:r>
        <w:r w:rsidR="00211E21">
          <w:rPr>
            <w:noProof/>
            <w:webHidden/>
          </w:rPr>
          <w:tab/>
        </w:r>
        <w:r w:rsidR="00211E21">
          <w:rPr>
            <w:noProof/>
            <w:webHidden/>
          </w:rPr>
          <w:fldChar w:fldCharType="begin"/>
        </w:r>
        <w:r w:rsidR="00211E21">
          <w:rPr>
            <w:noProof/>
            <w:webHidden/>
          </w:rPr>
          <w:instrText xml:space="preserve"> PAGEREF _Toc441141968 \h </w:instrText>
        </w:r>
        <w:r w:rsidR="00211E21">
          <w:rPr>
            <w:noProof/>
            <w:webHidden/>
          </w:rPr>
        </w:r>
        <w:r w:rsidR="00211E21">
          <w:rPr>
            <w:noProof/>
            <w:webHidden/>
          </w:rPr>
          <w:fldChar w:fldCharType="separate"/>
        </w:r>
        <w:r w:rsidR="00C46890">
          <w:rPr>
            <w:noProof/>
            <w:webHidden/>
          </w:rPr>
          <w:t>16</w:t>
        </w:r>
        <w:r w:rsidR="00211E21">
          <w:rPr>
            <w:noProof/>
            <w:webHidden/>
          </w:rPr>
          <w:fldChar w:fldCharType="end"/>
        </w:r>
      </w:hyperlink>
    </w:p>
    <w:p w:rsidR="00211E21" w:rsidRDefault="00F74377">
      <w:pPr>
        <w:pStyle w:val="TDC2"/>
        <w:rPr>
          <w:rFonts w:asciiTheme="minorHAnsi" w:eastAsiaTheme="minorEastAsia" w:hAnsiTheme="minorHAnsi" w:cstheme="minorBidi"/>
          <w:noProof/>
          <w:szCs w:val="22"/>
          <w:lang w:val="es-ES" w:eastAsia="es-ES"/>
        </w:rPr>
      </w:pPr>
      <w:hyperlink w:anchor="_Toc441141969" w:history="1">
        <w:r w:rsidR="00211E21" w:rsidRPr="006F1517">
          <w:rPr>
            <w:rStyle w:val="Hipervnculo"/>
            <w:noProof/>
          </w:rPr>
          <w:t>Anexo 1: Ingresos</w:t>
        </w:r>
        <w:r w:rsidR="00211E21">
          <w:rPr>
            <w:noProof/>
            <w:webHidden/>
          </w:rPr>
          <w:tab/>
        </w:r>
        <w:r w:rsidR="00211E21">
          <w:rPr>
            <w:noProof/>
            <w:webHidden/>
          </w:rPr>
          <w:fldChar w:fldCharType="begin"/>
        </w:r>
        <w:r w:rsidR="00211E21">
          <w:rPr>
            <w:noProof/>
            <w:webHidden/>
          </w:rPr>
          <w:instrText xml:space="preserve"> PAGEREF _Toc441141969 \h </w:instrText>
        </w:r>
        <w:r w:rsidR="00211E21">
          <w:rPr>
            <w:noProof/>
            <w:webHidden/>
          </w:rPr>
        </w:r>
        <w:r w:rsidR="00211E21">
          <w:rPr>
            <w:noProof/>
            <w:webHidden/>
          </w:rPr>
          <w:fldChar w:fldCharType="separate"/>
        </w:r>
        <w:r w:rsidR="00C46890">
          <w:rPr>
            <w:noProof/>
            <w:webHidden/>
          </w:rPr>
          <w:t>17</w:t>
        </w:r>
        <w:r w:rsidR="00211E21">
          <w:rPr>
            <w:noProof/>
            <w:webHidden/>
          </w:rPr>
          <w:fldChar w:fldCharType="end"/>
        </w:r>
      </w:hyperlink>
    </w:p>
    <w:p w:rsidR="00211E21" w:rsidRDefault="00F74377">
      <w:pPr>
        <w:pStyle w:val="TDC2"/>
        <w:rPr>
          <w:rFonts w:asciiTheme="minorHAnsi" w:eastAsiaTheme="minorEastAsia" w:hAnsiTheme="minorHAnsi" w:cstheme="minorBidi"/>
          <w:noProof/>
          <w:szCs w:val="22"/>
          <w:lang w:val="es-ES" w:eastAsia="es-ES"/>
        </w:rPr>
      </w:pPr>
      <w:hyperlink w:anchor="_Toc441141970" w:history="1">
        <w:r w:rsidR="00211E21" w:rsidRPr="006F1517">
          <w:rPr>
            <w:rStyle w:val="Hipervnculo"/>
            <w:noProof/>
          </w:rPr>
          <w:t>Anexo 2: Gastos</w:t>
        </w:r>
        <w:r w:rsidR="00211E21">
          <w:rPr>
            <w:noProof/>
            <w:webHidden/>
          </w:rPr>
          <w:tab/>
        </w:r>
        <w:r w:rsidR="00211E21">
          <w:rPr>
            <w:noProof/>
            <w:webHidden/>
          </w:rPr>
          <w:fldChar w:fldCharType="begin"/>
        </w:r>
        <w:r w:rsidR="00211E21">
          <w:rPr>
            <w:noProof/>
            <w:webHidden/>
          </w:rPr>
          <w:instrText xml:space="preserve"> PAGEREF _Toc441141970 \h </w:instrText>
        </w:r>
        <w:r w:rsidR="00211E21">
          <w:rPr>
            <w:noProof/>
            <w:webHidden/>
          </w:rPr>
        </w:r>
        <w:r w:rsidR="00211E21">
          <w:rPr>
            <w:noProof/>
            <w:webHidden/>
          </w:rPr>
          <w:fldChar w:fldCharType="separate"/>
        </w:r>
        <w:r w:rsidR="00C46890">
          <w:rPr>
            <w:noProof/>
            <w:webHidden/>
          </w:rPr>
          <w:t>20</w:t>
        </w:r>
        <w:r w:rsidR="00211E21">
          <w:rPr>
            <w:noProof/>
            <w:webHidden/>
          </w:rPr>
          <w:fldChar w:fldCharType="end"/>
        </w:r>
      </w:hyperlink>
    </w:p>
    <w:p w:rsidR="00211E21" w:rsidRDefault="00F74377">
      <w:pPr>
        <w:pStyle w:val="TDC2"/>
        <w:rPr>
          <w:rFonts w:asciiTheme="minorHAnsi" w:eastAsiaTheme="minorEastAsia" w:hAnsiTheme="minorHAnsi" w:cstheme="minorBidi"/>
          <w:noProof/>
          <w:szCs w:val="22"/>
          <w:lang w:val="es-ES" w:eastAsia="es-ES"/>
        </w:rPr>
      </w:pPr>
      <w:hyperlink w:anchor="_Toc441141971" w:history="1">
        <w:r w:rsidR="00211E21" w:rsidRPr="006F1517">
          <w:rPr>
            <w:rStyle w:val="Hipervnculo"/>
            <w:noProof/>
          </w:rPr>
          <w:t>Anexo 3: Intereses de la deuda asociada a la operación de cobertura de las acciones de Iberdrola</w:t>
        </w:r>
        <w:r w:rsidR="00211E21">
          <w:rPr>
            <w:noProof/>
            <w:webHidden/>
          </w:rPr>
          <w:tab/>
        </w:r>
        <w:r w:rsidR="00211E21">
          <w:rPr>
            <w:noProof/>
            <w:webHidden/>
          </w:rPr>
          <w:fldChar w:fldCharType="begin"/>
        </w:r>
        <w:r w:rsidR="00211E21">
          <w:rPr>
            <w:noProof/>
            <w:webHidden/>
          </w:rPr>
          <w:instrText xml:space="preserve"> PAGEREF _Toc441141971 \h </w:instrText>
        </w:r>
        <w:r w:rsidR="00211E21">
          <w:rPr>
            <w:noProof/>
            <w:webHidden/>
          </w:rPr>
        </w:r>
        <w:r w:rsidR="00211E21">
          <w:rPr>
            <w:noProof/>
            <w:webHidden/>
          </w:rPr>
          <w:fldChar w:fldCharType="separate"/>
        </w:r>
        <w:r w:rsidR="00C46890">
          <w:rPr>
            <w:noProof/>
            <w:webHidden/>
          </w:rPr>
          <w:t>22</w:t>
        </w:r>
        <w:r w:rsidR="00211E21">
          <w:rPr>
            <w:noProof/>
            <w:webHidden/>
          </w:rPr>
          <w:fldChar w:fldCharType="end"/>
        </w:r>
      </w:hyperlink>
    </w:p>
    <w:p w:rsidR="00211E21" w:rsidRDefault="00211E21">
      <w:pPr>
        <w:pStyle w:val="TDC1"/>
        <w:rPr>
          <w:rStyle w:val="Hipervnculo"/>
          <w:noProof/>
        </w:rPr>
      </w:pPr>
    </w:p>
    <w:p w:rsidR="00211E21" w:rsidRDefault="00F74377">
      <w:pPr>
        <w:pStyle w:val="TDC1"/>
        <w:rPr>
          <w:rFonts w:asciiTheme="minorHAnsi" w:eastAsiaTheme="minorEastAsia" w:hAnsiTheme="minorHAnsi" w:cstheme="minorBidi"/>
          <w:smallCaps w:val="0"/>
          <w:noProof/>
          <w:szCs w:val="22"/>
          <w:lang w:val="es-ES" w:eastAsia="es-ES"/>
        </w:rPr>
      </w:pPr>
      <w:hyperlink w:anchor="_Toc441141972" w:history="1">
        <w:r w:rsidR="00211E21" w:rsidRPr="006F1517">
          <w:rPr>
            <w:rStyle w:val="Hipervnculo"/>
            <w:rFonts w:ascii="Arial (W1)" w:hAnsi="Arial (W1)"/>
            <w:noProof/>
            <w:spacing w:val="-2"/>
          </w:rPr>
          <w:t>Alegaciones formuladas al informe provisional</w:t>
        </w:r>
        <w:r w:rsidR="00211E21">
          <w:rPr>
            <w:noProof/>
            <w:webHidden/>
          </w:rPr>
          <w:tab/>
        </w:r>
        <w:r w:rsidR="00211E21">
          <w:rPr>
            <w:noProof/>
            <w:webHidden/>
          </w:rPr>
          <w:fldChar w:fldCharType="begin"/>
        </w:r>
        <w:r w:rsidR="00211E21">
          <w:rPr>
            <w:noProof/>
            <w:webHidden/>
          </w:rPr>
          <w:instrText xml:space="preserve"> PAGEREF _Toc441141972 \h </w:instrText>
        </w:r>
        <w:r w:rsidR="00211E21">
          <w:rPr>
            <w:noProof/>
            <w:webHidden/>
          </w:rPr>
        </w:r>
        <w:r w:rsidR="00211E21">
          <w:rPr>
            <w:noProof/>
            <w:webHidden/>
          </w:rPr>
          <w:fldChar w:fldCharType="separate"/>
        </w:r>
        <w:r w:rsidR="00C46890">
          <w:rPr>
            <w:noProof/>
            <w:webHidden/>
          </w:rPr>
          <w:t>26</w:t>
        </w:r>
        <w:r w:rsidR="00211E21">
          <w:rPr>
            <w:noProof/>
            <w:webHidden/>
          </w:rPr>
          <w:fldChar w:fldCharType="end"/>
        </w:r>
      </w:hyperlink>
    </w:p>
    <w:p w:rsidR="00211E21" w:rsidRDefault="00F74377">
      <w:pPr>
        <w:pStyle w:val="TDC1"/>
        <w:rPr>
          <w:rFonts w:asciiTheme="minorHAnsi" w:eastAsiaTheme="minorEastAsia" w:hAnsiTheme="minorHAnsi" w:cstheme="minorBidi"/>
          <w:smallCaps w:val="0"/>
          <w:noProof/>
          <w:szCs w:val="22"/>
          <w:lang w:val="es-ES" w:eastAsia="es-ES"/>
        </w:rPr>
      </w:pPr>
      <w:hyperlink w:anchor="_Toc441141973" w:history="1">
        <w:r w:rsidR="00211E21" w:rsidRPr="006F1517">
          <w:rPr>
            <w:rStyle w:val="Hipervnculo"/>
            <w:rFonts w:cs="Arial"/>
            <w:bCs/>
            <w:noProof/>
          </w:rPr>
          <w:t>Contestación de la Cámara de Comptos a las alegaciones presentadas</w:t>
        </w:r>
      </w:hyperlink>
    </w:p>
    <w:p w:rsidR="00891D73" w:rsidRDefault="006944BB" w:rsidP="006944BB">
      <w:pPr>
        <w:pStyle w:val="texto"/>
      </w:pPr>
      <w:r w:rsidRPr="00DC27E9">
        <w:rPr>
          <w:highlight w:val="yellow"/>
        </w:rP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6944BB" w:rsidRPr="00F43938" w:rsidRDefault="006944BB" w:rsidP="006944BB">
      <w:pPr>
        <w:pStyle w:val="atitulo1"/>
      </w:pPr>
      <w:bookmarkStart w:id="1" w:name="_Toc400951991"/>
      <w:bookmarkStart w:id="2" w:name="_Toc441141962"/>
      <w:bookmarkStart w:id="3" w:name="_Toc164561538"/>
      <w:r w:rsidRPr="00F43938">
        <w:lastRenderedPageBreak/>
        <w:t>I. Introducción</w:t>
      </w:r>
      <w:bookmarkEnd w:id="1"/>
      <w:bookmarkEnd w:id="2"/>
      <w:r w:rsidRPr="00F43938">
        <w:t xml:space="preserve"> </w:t>
      </w:r>
    </w:p>
    <w:p w:rsidR="006944BB" w:rsidRPr="00E81B25" w:rsidRDefault="006944BB" w:rsidP="00BF1ACA">
      <w:pPr>
        <w:pStyle w:val="texto"/>
        <w:rPr>
          <w:lang w:val="es-ES"/>
        </w:rPr>
      </w:pPr>
      <w:r w:rsidRPr="00E81B25">
        <w:rPr>
          <w:lang w:val="es-ES"/>
        </w:rPr>
        <w:t>La Cámara de Comptos incluyó en su Programa Anual de 2015 la fiscaliz</w:t>
      </w:r>
      <w:r w:rsidRPr="00E81B25">
        <w:rPr>
          <w:lang w:val="es-ES"/>
        </w:rPr>
        <w:t>a</w:t>
      </w:r>
      <w:r w:rsidRPr="00E81B25">
        <w:rPr>
          <w:lang w:val="es-ES"/>
        </w:rPr>
        <w:t xml:space="preserve">ción de los resultados de la operación de compra-venta de acciones de Iberdrola por la sociedad pública </w:t>
      </w:r>
      <w:proofErr w:type="spellStart"/>
      <w:r w:rsidRPr="00E81B25">
        <w:rPr>
          <w:lang w:val="es-ES"/>
        </w:rPr>
        <w:t>Sodena</w:t>
      </w:r>
      <w:proofErr w:type="spellEnd"/>
      <w:r w:rsidRPr="00E81B25">
        <w:rPr>
          <w:lang w:val="es-ES"/>
        </w:rPr>
        <w:t xml:space="preserve"> S.L.</w:t>
      </w:r>
    </w:p>
    <w:p w:rsidR="006944BB" w:rsidRDefault="006944BB" w:rsidP="00BF1ACA">
      <w:pPr>
        <w:pStyle w:val="texto"/>
        <w:rPr>
          <w:lang w:val="es-ES"/>
        </w:rPr>
      </w:pPr>
      <w:r w:rsidRPr="00E81B25">
        <w:rPr>
          <w:lang w:val="es-ES"/>
        </w:rPr>
        <w:t>El trabajo lo ha realizado un equipo integrado por un técnico de auditoría y una auditora, con la colaboración de los servicios jurídicos, informáticos y a</w:t>
      </w:r>
      <w:r w:rsidRPr="00E81B25">
        <w:rPr>
          <w:lang w:val="es-ES"/>
        </w:rPr>
        <w:t>d</w:t>
      </w:r>
      <w:r w:rsidRPr="00E81B25">
        <w:rPr>
          <w:lang w:val="es-ES"/>
        </w:rPr>
        <w:t xml:space="preserve">ministrativos de la Cámara de Comptos. </w:t>
      </w:r>
    </w:p>
    <w:p w:rsidR="009518C3" w:rsidRPr="00E81B25" w:rsidRDefault="009518C3" w:rsidP="00BF1ACA">
      <w:pPr>
        <w:pStyle w:val="texto"/>
        <w:rPr>
          <w:lang w:val="es-ES"/>
        </w:rPr>
      </w:pPr>
      <w:r>
        <w:rPr>
          <w:lang w:val="es-ES"/>
        </w:rPr>
        <w:t>El informe se estructura en cuatro epígrafes, incluida esta introducción, y tres anexos. En el segundo epígrafe describimos todas las operaciones relaci</w:t>
      </w:r>
      <w:r>
        <w:rPr>
          <w:lang w:val="es-ES"/>
        </w:rPr>
        <w:t>o</w:t>
      </w:r>
      <w:r>
        <w:rPr>
          <w:lang w:val="es-ES"/>
        </w:rPr>
        <w:t>nadas con las acciones de Iberdrola, desde su adquisición en febrero de 2005 hasta su venta en octubre de 2014. En el tercer epígrafe indicamos los objetivos y alcance del trabajo y en el cuarto, las conclusiones y recomendaciones. Por último, en los anexos se detallan todos los flujos de gastos e ingresos asociados a la operación analizada, indicando la fecha de realización, su importe nominal, el factor de capitalización y su importe capitalizado a 31 de octubre de 2014.</w:t>
      </w:r>
    </w:p>
    <w:p w:rsidR="006944BB" w:rsidRDefault="006944BB" w:rsidP="00BF1ACA">
      <w:pPr>
        <w:pStyle w:val="texto"/>
        <w:rPr>
          <w:lang w:val="es-ES"/>
        </w:rPr>
      </w:pPr>
      <w:r w:rsidRPr="00E81B25">
        <w:rPr>
          <w:lang w:val="es-ES"/>
        </w:rPr>
        <w:t xml:space="preserve">Agradecemos la colaboración prestada por el personal de </w:t>
      </w:r>
      <w:proofErr w:type="spellStart"/>
      <w:r w:rsidRPr="00E81B25">
        <w:rPr>
          <w:lang w:val="es-ES"/>
        </w:rPr>
        <w:t>Sodena</w:t>
      </w:r>
      <w:proofErr w:type="spellEnd"/>
      <w:r w:rsidRPr="00E81B25">
        <w:rPr>
          <w:lang w:val="es-ES"/>
        </w:rPr>
        <w:t>, S.L. para la realización del presente trabajo.</w:t>
      </w:r>
    </w:p>
    <w:p w:rsidR="0056596E" w:rsidRDefault="00B538B9" w:rsidP="00BF1ACA">
      <w:pPr>
        <w:pStyle w:val="texto"/>
        <w:rPr>
          <w:lang w:val="es-ES"/>
        </w:rPr>
      </w:pPr>
      <w:r>
        <w:rPr>
          <w:lang w:val="es-ES"/>
        </w:rPr>
        <w:t>De</w:t>
      </w:r>
      <w:r w:rsidR="00FB3A61">
        <w:rPr>
          <w:lang w:val="es-ES"/>
        </w:rPr>
        <w:t xml:space="preserve"> conformidad con lo previsto en el artículo 11 de </w:t>
      </w:r>
      <w:r>
        <w:rPr>
          <w:lang w:val="es-ES"/>
        </w:rPr>
        <w:t>la Ley Foral 19/1984, reguladora de la Cámara de Comptos de Navarra, l</w:t>
      </w:r>
      <w:r w:rsidR="0056596E">
        <w:rPr>
          <w:lang w:val="es-ES"/>
        </w:rPr>
        <w:t>os resultados de este trabajo se pusieron de manifiest</w:t>
      </w:r>
      <w:r w:rsidR="005449B7">
        <w:rPr>
          <w:lang w:val="es-ES"/>
        </w:rPr>
        <w:t>o, con el fin de que formularan alegaciones</w:t>
      </w:r>
      <w:r>
        <w:rPr>
          <w:lang w:val="es-ES"/>
        </w:rPr>
        <w:t xml:space="preserve">, </w:t>
      </w:r>
      <w:r w:rsidR="0056596E">
        <w:rPr>
          <w:lang w:val="es-ES"/>
        </w:rPr>
        <w:t>a las pe</w:t>
      </w:r>
      <w:r w:rsidR="0056596E">
        <w:rPr>
          <w:lang w:val="es-ES"/>
        </w:rPr>
        <w:t>r</w:t>
      </w:r>
      <w:r w:rsidR="0056596E">
        <w:rPr>
          <w:lang w:val="es-ES"/>
        </w:rPr>
        <w:t>sonas que ocupaban los siguientes cargos:</w:t>
      </w:r>
    </w:p>
    <w:p w:rsidR="0056596E" w:rsidRPr="00587B66" w:rsidRDefault="0056596E" w:rsidP="00BF1ACA">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587B66">
        <w:rPr>
          <w:szCs w:val="26"/>
        </w:rPr>
        <w:t>Vicepresidente y consejero de Economía y Hacienda en 2005.</w:t>
      </w:r>
    </w:p>
    <w:p w:rsidR="0056596E" w:rsidRPr="00587B66" w:rsidRDefault="0056596E" w:rsidP="00BF1ACA">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587B66">
        <w:rPr>
          <w:szCs w:val="26"/>
        </w:rPr>
        <w:t>Presidente de</w:t>
      </w:r>
      <w:r w:rsidR="005F21A6" w:rsidRPr="00587B66">
        <w:rPr>
          <w:szCs w:val="26"/>
        </w:rPr>
        <w:t xml:space="preserve">l consejo de </w:t>
      </w:r>
      <w:r w:rsidR="00BA4B27" w:rsidRPr="00587B66">
        <w:rPr>
          <w:szCs w:val="26"/>
        </w:rPr>
        <w:t xml:space="preserve">administración </w:t>
      </w:r>
      <w:r w:rsidR="005F21A6" w:rsidRPr="00587B66">
        <w:rPr>
          <w:szCs w:val="26"/>
        </w:rPr>
        <w:t>de</w:t>
      </w:r>
      <w:r w:rsidRPr="00587B66">
        <w:rPr>
          <w:szCs w:val="26"/>
        </w:rPr>
        <w:t xml:space="preserve"> </w:t>
      </w:r>
      <w:proofErr w:type="spellStart"/>
      <w:r w:rsidRPr="00587B66">
        <w:rPr>
          <w:szCs w:val="26"/>
        </w:rPr>
        <w:t>Sodena</w:t>
      </w:r>
      <w:proofErr w:type="spellEnd"/>
      <w:r w:rsidRPr="00587B66">
        <w:rPr>
          <w:szCs w:val="26"/>
        </w:rPr>
        <w:t xml:space="preserve"> en 2005</w:t>
      </w:r>
      <w:r w:rsidR="005F21A6" w:rsidRPr="00587B66">
        <w:rPr>
          <w:szCs w:val="26"/>
        </w:rPr>
        <w:t xml:space="preserve"> y consejero de Industria y Tecnología, Comercio y Trabajo.</w:t>
      </w:r>
    </w:p>
    <w:p w:rsidR="0056596E" w:rsidRPr="00587B66" w:rsidRDefault="0056596E" w:rsidP="00BF1ACA">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587B66">
        <w:rPr>
          <w:szCs w:val="26"/>
        </w:rPr>
        <w:t xml:space="preserve">Director general de </w:t>
      </w:r>
      <w:proofErr w:type="spellStart"/>
      <w:r w:rsidRPr="00587B66">
        <w:rPr>
          <w:szCs w:val="26"/>
        </w:rPr>
        <w:t>Sodena</w:t>
      </w:r>
      <w:proofErr w:type="spellEnd"/>
      <w:r w:rsidRPr="00587B66">
        <w:rPr>
          <w:szCs w:val="26"/>
        </w:rPr>
        <w:t xml:space="preserve"> en 2005</w:t>
      </w:r>
      <w:r w:rsidR="004400D8">
        <w:rPr>
          <w:szCs w:val="26"/>
        </w:rPr>
        <w:t>.</w:t>
      </w:r>
    </w:p>
    <w:p w:rsidR="005F21A6" w:rsidRPr="00587B66" w:rsidRDefault="005F21A6" w:rsidP="00BF1ACA">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587B66">
        <w:rPr>
          <w:szCs w:val="26"/>
        </w:rPr>
        <w:t xml:space="preserve">Presidenta del </w:t>
      </w:r>
      <w:r w:rsidR="00BA4B27" w:rsidRPr="00587B66">
        <w:rPr>
          <w:szCs w:val="26"/>
        </w:rPr>
        <w:t xml:space="preserve">consejo </w:t>
      </w:r>
      <w:r w:rsidRPr="00587B66">
        <w:rPr>
          <w:szCs w:val="26"/>
        </w:rPr>
        <w:t xml:space="preserve">de </w:t>
      </w:r>
      <w:r w:rsidR="00BA4B27" w:rsidRPr="00587B66">
        <w:rPr>
          <w:szCs w:val="26"/>
        </w:rPr>
        <w:t xml:space="preserve">administración </w:t>
      </w:r>
      <w:r w:rsidRPr="00587B66">
        <w:rPr>
          <w:szCs w:val="26"/>
        </w:rPr>
        <w:t xml:space="preserve">de </w:t>
      </w:r>
      <w:proofErr w:type="spellStart"/>
      <w:r w:rsidRPr="00587B66">
        <w:rPr>
          <w:szCs w:val="26"/>
        </w:rPr>
        <w:t>Sodena</w:t>
      </w:r>
      <w:proofErr w:type="spellEnd"/>
      <w:r w:rsidRPr="00587B66">
        <w:rPr>
          <w:szCs w:val="26"/>
        </w:rPr>
        <w:t xml:space="preserve"> en 20</w:t>
      </w:r>
      <w:r w:rsidR="005449B7" w:rsidRPr="00587B66">
        <w:rPr>
          <w:szCs w:val="26"/>
        </w:rPr>
        <w:t>14</w:t>
      </w:r>
      <w:r w:rsidRPr="00587B66">
        <w:rPr>
          <w:szCs w:val="26"/>
        </w:rPr>
        <w:t xml:space="preserve"> y </w:t>
      </w:r>
      <w:r w:rsidR="005449B7" w:rsidRPr="00587B66">
        <w:rPr>
          <w:szCs w:val="26"/>
        </w:rPr>
        <w:t>c</w:t>
      </w:r>
      <w:r w:rsidRPr="00587B66">
        <w:rPr>
          <w:szCs w:val="26"/>
        </w:rPr>
        <w:t>onsejera de Economía y Hacienda, Industria y Em</w:t>
      </w:r>
      <w:r w:rsidR="005449B7" w:rsidRPr="00587B66">
        <w:rPr>
          <w:szCs w:val="26"/>
        </w:rPr>
        <w:t>pleo.</w:t>
      </w:r>
    </w:p>
    <w:p w:rsidR="005F21A6" w:rsidRPr="00587B66" w:rsidRDefault="005F21A6" w:rsidP="00BF1ACA">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587B66">
        <w:rPr>
          <w:szCs w:val="26"/>
        </w:rPr>
        <w:t xml:space="preserve">Director general de </w:t>
      </w:r>
      <w:proofErr w:type="spellStart"/>
      <w:r w:rsidRPr="00587B66">
        <w:rPr>
          <w:szCs w:val="26"/>
        </w:rPr>
        <w:t>Sodena</w:t>
      </w:r>
      <w:proofErr w:type="spellEnd"/>
      <w:r w:rsidRPr="00587B66">
        <w:rPr>
          <w:szCs w:val="26"/>
        </w:rPr>
        <w:t xml:space="preserve"> en 2014</w:t>
      </w:r>
      <w:r w:rsidR="005449B7" w:rsidRPr="00587B66">
        <w:rPr>
          <w:szCs w:val="26"/>
        </w:rPr>
        <w:t>.</w:t>
      </w:r>
    </w:p>
    <w:p w:rsidR="005F21A6" w:rsidRPr="00587B66" w:rsidRDefault="005449B7" w:rsidP="00BF1ACA">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587B66">
        <w:rPr>
          <w:szCs w:val="26"/>
        </w:rPr>
        <w:t xml:space="preserve">Presidente del </w:t>
      </w:r>
      <w:r w:rsidR="00BA4B27" w:rsidRPr="00587B66">
        <w:rPr>
          <w:szCs w:val="26"/>
        </w:rPr>
        <w:t xml:space="preserve">consejo </w:t>
      </w:r>
      <w:r w:rsidRPr="00587B66">
        <w:rPr>
          <w:szCs w:val="26"/>
        </w:rPr>
        <w:t xml:space="preserve">de </w:t>
      </w:r>
      <w:r w:rsidR="00BA4B27" w:rsidRPr="00587B66">
        <w:rPr>
          <w:szCs w:val="26"/>
        </w:rPr>
        <w:t xml:space="preserve">administración </w:t>
      </w:r>
      <w:r w:rsidRPr="00587B66">
        <w:rPr>
          <w:szCs w:val="26"/>
        </w:rPr>
        <w:t xml:space="preserve">de </w:t>
      </w:r>
      <w:proofErr w:type="spellStart"/>
      <w:r w:rsidRPr="00587B66">
        <w:rPr>
          <w:szCs w:val="26"/>
        </w:rPr>
        <w:t>Sodena</w:t>
      </w:r>
      <w:proofErr w:type="spellEnd"/>
      <w:r w:rsidRPr="00587B66">
        <w:rPr>
          <w:szCs w:val="26"/>
        </w:rPr>
        <w:t xml:space="preserve"> en 2015 y consejero de Desarrollo Económico.</w:t>
      </w:r>
    </w:p>
    <w:p w:rsidR="005449B7" w:rsidRPr="00587B66" w:rsidRDefault="005449B7" w:rsidP="00BF1ACA">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587B66">
        <w:rPr>
          <w:szCs w:val="26"/>
        </w:rPr>
        <w:t xml:space="preserve">Directora gerente de </w:t>
      </w:r>
      <w:proofErr w:type="spellStart"/>
      <w:r w:rsidRPr="00587B66">
        <w:rPr>
          <w:szCs w:val="26"/>
        </w:rPr>
        <w:t>Sodena</w:t>
      </w:r>
      <w:proofErr w:type="spellEnd"/>
      <w:r w:rsidRPr="00587B66">
        <w:rPr>
          <w:szCs w:val="26"/>
        </w:rPr>
        <w:t xml:space="preserve"> en 2015.</w:t>
      </w:r>
    </w:p>
    <w:p w:rsidR="005449B7" w:rsidRPr="00587B66" w:rsidRDefault="005449B7" w:rsidP="00BF1ACA">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587B66">
        <w:rPr>
          <w:szCs w:val="26"/>
        </w:rPr>
        <w:t>Director financiero y de control de la Corporación Pública Empresarial de Navarra.</w:t>
      </w:r>
    </w:p>
    <w:p w:rsidR="006944BB" w:rsidRDefault="00B538B9" w:rsidP="00BF1ACA">
      <w:pPr>
        <w:pStyle w:val="texto"/>
        <w:rPr>
          <w:lang w:val="es-ES"/>
        </w:rPr>
      </w:pPr>
      <w:r>
        <w:rPr>
          <w:lang w:val="es-ES"/>
        </w:rPr>
        <w:t xml:space="preserve">Han presentado alegaciones, en el plazo fijado por la Cámara de Comptos, el director general de </w:t>
      </w:r>
      <w:proofErr w:type="spellStart"/>
      <w:r>
        <w:rPr>
          <w:lang w:val="es-ES"/>
        </w:rPr>
        <w:t>Sodena</w:t>
      </w:r>
      <w:proofErr w:type="spellEnd"/>
      <w:r>
        <w:rPr>
          <w:lang w:val="es-ES"/>
        </w:rPr>
        <w:t xml:space="preserve"> en 2005, el presidente del </w:t>
      </w:r>
      <w:r w:rsidR="00BF1ACA">
        <w:rPr>
          <w:lang w:val="es-ES"/>
        </w:rPr>
        <w:t xml:space="preserve">consejo </w:t>
      </w:r>
      <w:r>
        <w:rPr>
          <w:lang w:val="es-ES"/>
        </w:rPr>
        <w:t xml:space="preserve">de </w:t>
      </w:r>
      <w:r w:rsidR="00BF1ACA">
        <w:rPr>
          <w:lang w:val="es-ES"/>
        </w:rPr>
        <w:t xml:space="preserve">administración </w:t>
      </w:r>
      <w:r>
        <w:rPr>
          <w:lang w:val="es-ES"/>
        </w:rPr>
        <w:lastRenderedPageBreak/>
        <w:t xml:space="preserve">de </w:t>
      </w:r>
      <w:proofErr w:type="spellStart"/>
      <w:r>
        <w:rPr>
          <w:lang w:val="es-ES"/>
        </w:rPr>
        <w:t>Sodena</w:t>
      </w:r>
      <w:proofErr w:type="spellEnd"/>
      <w:r>
        <w:rPr>
          <w:lang w:val="es-ES"/>
        </w:rPr>
        <w:t xml:space="preserve"> en 2015 y consejero de Desarrollo Económico y el </w:t>
      </w:r>
      <w:r w:rsidR="00BF1ACA">
        <w:rPr>
          <w:lang w:val="es-ES"/>
        </w:rPr>
        <w:t xml:space="preserve">director </w:t>
      </w:r>
      <w:r>
        <w:rPr>
          <w:lang w:val="es-ES"/>
        </w:rPr>
        <w:t>financi</w:t>
      </w:r>
      <w:r>
        <w:rPr>
          <w:lang w:val="es-ES"/>
        </w:rPr>
        <w:t>e</w:t>
      </w:r>
      <w:r>
        <w:rPr>
          <w:lang w:val="es-ES"/>
        </w:rPr>
        <w:t>ro y de control de la Corporación Pública Empresarial de Navarra.</w:t>
      </w:r>
    </w:p>
    <w:p w:rsidR="00A32CE0" w:rsidRPr="00DC27E9" w:rsidRDefault="00A32CE0" w:rsidP="00BF1ACA">
      <w:pPr>
        <w:pStyle w:val="texto"/>
        <w:rPr>
          <w:sz w:val="22"/>
          <w:szCs w:val="22"/>
          <w:highlight w:val="cyan"/>
        </w:rPr>
      </w:pPr>
      <w:r>
        <w:rPr>
          <w:lang w:val="es-ES"/>
        </w:rPr>
        <w:t xml:space="preserve">Las alegaciones presentadas por el </w:t>
      </w:r>
      <w:r w:rsidR="00BA4B27" w:rsidRPr="00587B66">
        <w:rPr>
          <w:szCs w:val="26"/>
        </w:rPr>
        <w:t xml:space="preserve">director </w:t>
      </w:r>
      <w:r w:rsidRPr="00587B66">
        <w:rPr>
          <w:szCs w:val="26"/>
        </w:rPr>
        <w:t>financiero y de control de la Corporación Pública Empresarial de Navarra</w:t>
      </w:r>
      <w:r>
        <w:rPr>
          <w:szCs w:val="26"/>
        </w:rPr>
        <w:t xml:space="preserve"> se han incorporado al informe d</w:t>
      </w:r>
      <w:r>
        <w:rPr>
          <w:szCs w:val="26"/>
        </w:rPr>
        <w:t>e</w:t>
      </w:r>
      <w:r>
        <w:rPr>
          <w:szCs w:val="26"/>
        </w:rPr>
        <w:t>finitivo por lo que no se transcriben. En el texto del citado informe se indica expresamente el párrafo modificado de acuerdo con dichas alegaciones.</w:t>
      </w:r>
    </w:p>
    <w:p w:rsidR="006944BB" w:rsidRPr="00F43938" w:rsidRDefault="006944BB" w:rsidP="00F43938">
      <w:pPr>
        <w:pStyle w:val="atitulo1"/>
      </w:pPr>
      <w:r w:rsidRPr="00DC27E9">
        <w:rPr>
          <w:highlight w:val="cyan"/>
        </w:rPr>
        <w:br w:type="page"/>
      </w:r>
      <w:bookmarkStart w:id="4" w:name="_Toc441141963"/>
      <w:bookmarkStart w:id="5" w:name="_Toc253057724"/>
      <w:bookmarkStart w:id="6" w:name="_Toc290377608"/>
      <w:bookmarkStart w:id="7" w:name="_Toc433028633"/>
      <w:bookmarkStart w:id="8" w:name="_Toc400951992"/>
      <w:bookmarkStart w:id="9" w:name="_Toc253057720"/>
      <w:bookmarkStart w:id="10" w:name="_Toc290377609"/>
      <w:bookmarkStart w:id="11" w:name="_Toc433028628"/>
      <w:r w:rsidRPr="00F43938">
        <w:lastRenderedPageBreak/>
        <w:t>II. Operación de compra-venta de acciones de Iberdrola S.A.</w:t>
      </w:r>
      <w:bookmarkEnd w:id="4"/>
      <w:r w:rsidRPr="00F43938">
        <w:t xml:space="preserve"> </w:t>
      </w:r>
    </w:p>
    <w:p w:rsidR="006944BB" w:rsidRPr="00927ACF" w:rsidRDefault="006944BB" w:rsidP="00926B02">
      <w:pPr>
        <w:pStyle w:val="texto"/>
        <w:spacing w:before="240" w:after="200"/>
        <w:ind w:firstLine="0"/>
        <w:rPr>
          <w:rFonts w:ascii="Arial" w:hAnsi="Arial" w:cs="Arial"/>
          <w:sz w:val="25"/>
          <w:szCs w:val="25"/>
        </w:rPr>
      </w:pPr>
      <w:bookmarkStart w:id="12" w:name="_Toc433028629"/>
      <w:r w:rsidRPr="00927ACF">
        <w:rPr>
          <w:rFonts w:ascii="Arial" w:hAnsi="Arial" w:cs="Arial"/>
          <w:sz w:val="25"/>
          <w:szCs w:val="25"/>
        </w:rPr>
        <w:t>Compra</w:t>
      </w:r>
      <w:bookmarkEnd w:id="12"/>
    </w:p>
    <w:p w:rsidR="006944BB" w:rsidRDefault="006944BB" w:rsidP="00F7545E">
      <w:pPr>
        <w:pStyle w:val="texto"/>
        <w:rPr>
          <w:lang w:val="es-ES"/>
        </w:rPr>
      </w:pPr>
      <w:r w:rsidRPr="00E81B25">
        <w:rPr>
          <w:lang w:val="es-ES"/>
        </w:rPr>
        <w:t>La Sociedad de Desarrollo de Navarra (</w:t>
      </w:r>
      <w:proofErr w:type="spellStart"/>
      <w:r w:rsidRPr="00E81B25">
        <w:rPr>
          <w:lang w:val="es-ES"/>
        </w:rPr>
        <w:t>Sodena</w:t>
      </w:r>
      <w:proofErr w:type="spellEnd"/>
      <w:r w:rsidRPr="00E81B25">
        <w:rPr>
          <w:lang w:val="es-ES"/>
        </w:rPr>
        <w:t>, S.L.) adquirió el 10 de f</w:t>
      </w:r>
      <w:r w:rsidRPr="00E81B25">
        <w:rPr>
          <w:lang w:val="es-ES"/>
        </w:rPr>
        <w:t>e</w:t>
      </w:r>
      <w:r w:rsidRPr="00E81B25">
        <w:rPr>
          <w:lang w:val="es-ES"/>
        </w:rPr>
        <w:t>brero de 2005 el uno por ciento del capital social de la empresa Iberdrola, esto es, 9.015.492 acciones por un importe total de 173.556.238 euros.</w:t>
      </w:r>
    </w:p>
    <w:p w:rsidR="00D2750B" w:rsidRPr="00E81B25" w:rsidRDefault="00D2750B" w:rsidP="00F7545E">
      <w:pPr>
        <w:pStyle w:val="texto"/>
        <w:rPr>
          <w:lang w:val="es-ES"/>
        </w:rPr>
      </w:pPr>
      <w:r w:rsidRPr="00E81B25">
        <w:rPr>
          <w:lang w:val="es-ES"/>
        </w:rPr>
        <w:t xml:space="preserve">El </w:t>
      </w:r>
      <w:r>
        <w:rPr>
          <w:lang w:val="es-ES"/>
        </w:rPr>
        <w:t>v</w:t>
      </w:r>
      <w:r w:rsidRPr="00E81B25">
        <w:rPr>
          <w:lang w:val="es-ES"/>
        </w:rPr>
        <w:t>icepresidente y consejero de Economía y Hacienda del Gobierno de N</w:t>
      </w:r>
      <w:r w:rsidRPr="00E81B25">
        <w:rPr>
          <w:lang w:val="es-ES"/>
        </w:rPr>
        <w:t>a</w:t>
      </w:r>
      <w:r w:rsidRPr="00E81B25">
        <w:rPr>
          <w:lang w:val="es-ES"/>
        </w:rPr>
        <w:t xml:space="preserve">varra en 2005 instó al </w:t>
      </w:r>
      <w:r>
        <w:rPr>
          <w:lang w:val="es-ES"/>
        </w:rPr>
        <w:t>p</w:t>
      </w:r>
      <w:r w:rsidRPr="00E81B25">
        <w:rPr>
          <w:lang w:val="es-ES"/>
        </w:rPr>
        <w:t xml:space="preserve">residente de </w:t>
      </w:r>
      <w:proofErr w:type="spellStart"/>
      <w:r w:rsidRPr="00E81B25">
        <w:rPr>
          <w:lang w:val="es-ES"/>
        </w:rPr>
        <w:t>Sodena</w:t>
      </w:r>
      <w:proofErr w:type="spellEnd"/>
      <w:r w:rsidRPr="00E81B25">
        <w:rPr>
          <w:lang w:val="es-ES"/>
        </w:rPr>
        <w:t xml:space="preserve"> a iniciar las acciones tendentes a materializar la operación</w:t>
      </w:r>
      <w:r>
        <w:rPr>
          <w:lang w:val="es-ES"/>
        </w:rPr>
        <w:t xml:space="preserve"> y en una carta remitida el 8 de febrero de 2005 expr</w:t>
      </w:r>
      <w:r>
        <w:rPr>
          <w:lang w:val="es-ES"/>
        </w:rPr>
        <w:t>e</w:t>
      </w:r>
      <w:r>
        <w:rPr>
          <w:lang w:val="es-ES"/>
        </w:rPr>
        <w:t xml:space="preserve">saba </w:t>
      </w:r>
      <w:r w:rsidRPr="00E81B25">
        <w:rPr>
          <w:lang w:val="es-ES"/>
        </w:rPr>
        <w:t>que Iberdrola se configuraba como la opción más válida y adaptada a una inversión pública estratégica en el mercado energético</w:t>
      </w:r>
      <w:r>
        <w:rPr>
          <w:lang w:val="es-ES"/>
        </w:rPr>
        <w:t>, atendiendo “</w:t>
      </w:r>
      <w:r w:rsidRPr="00E81B25">
        <w:rPr>
          <w:lang w:val="es-ES"/>
        </w:rPr>
        <w:t>no sólo p</w:t>
      </w:r>
      <w:r w:rsidRPr="00E81B25">
        <w:rPr>
          <w:lang w:val="es-ES"/>
        </w:rPr>
        <w:t>o</w:t>
      </w:r>
      <w:r w:rsidRPr="00E81B25">
        <w:rPr>
          <w:lang w:val="es-ES"/>
        </w:rPr>
        <w:t>tenciales rendimientos económicos o sectoriales sino buscando la estabilidad del mercado, la garantía de disponibilidad presente y futura y el valor y calidad esencial del servicio</w:t>
      </w:r>
      <w:r>
        <w:rPr>
          <w:lang w:val="es-ES"/>
        </w:rPr>
        <w:t>”</w:t>
      </w:r>
      <w:r w:rsidRPr="00E81B25">
        <w:rPr>
          <w:lang w:val="es-ES"/>
        </w:rPr>
        <w:t xml:space="preserve">. </w:t>
      </w:r>
    </w:p>
    <w:p w:rsidR="006944BB" w:rsidRPr="00E81B25" w:rsidRDefault="006944BB" w:rsidP="00F7545E">
      <w:pPr>
        <w:pStyle w:val="texto"/>
        <w:rPr>
          <w:lang w:val="es-ES"/>
        </w:rPr>
      </w:pPr>
      <w:r w:rsidRPr="00E81B25">
        <w:rPr>
          <w:lang w:val="es-ES"/>
        </w:rPr>
        <w:t xml:space="preserve">El objeto social de </w:t>
      </w:r>
      <w:proofErr w:type="spellStart"/>
      <w:r w:rsidRPr="00E81B25">
        <w:rPr>
          <w:lang w:val="es-ES"/>
        </w:rPr>
        <w:t>Sodena</w:t>
      </w:r>
      <w:proofErr w:type="spellEnd"/>
      <w:r w:rsidRPr="00E81B25">
        <w:rPr>
          <w:lang w:val="es-ES"/>
        </w:rPr>
        <w:t xml:space="preserve"> </w:t>
      </w:r>
      <w:r w:rsidR="00C246B4">
        <w:rPr>
          <w:lang w:val="es-ES"/>
        </w:rPr>
        <w:t>es</w:t>
      </w:r>
      <w:r w:rsidRPr="00E81B25">
        <w:rPr>
          <w:lang w:val="es-ES"/>
        </w:rPr>
        <w:t>, entre otros, promover inversiones en Navarra, a través de la participación en el capital de empresas, en un porcentaje co</w:t>
      </w:r>
      <w:r w:rsidRPr="00E81B25">
        <w:rPr>
          <w:lang w:val="es-ES"/>
        </w:rPr>
        <w:t>m</w:t>
      </w:r>
      <w:r w:rsidRPr="00E81B25">
        <w:rPr>
          <w:lang w:val="es-ES"/>
        </w:rPr>
        <w:t xml:space="preserve">prendido entre un mínimo del cinco por ciento y un máximo del 45 por ciento y un plazo máximo de 10 años. Estas limitaciones </w:t>
      </w:r>
      <w:r w:rsidR="00C246B4">
        <w:rPr>
          <w:lang w:val="es-ES"/>
        </w:rPr>
        <w:t>pueden</w:t>
      </w:r>
      <w:r w:rsidRPr="00E81B25">
        <w:rPr>
          <w:lang w:val="es-ES"/>
        </w:rPr>
        <w:t xml:space="preserve"> ser alteradas, en casos excepcionales, con la autorización del Gobierno de Navarra.</w:t>
      </w:r>
    </w:p>
    <w:p w:rsidR="006944BB" w:rsidRPr="00E81B25" w:rsidRDefault="006944BB" w:rsidP="006944BB">
      <w:pPr>
        <w:pStyle w:val="texto"/>
        <w:rPr>
          <w:lang w:val="es-ES"/>
        </w:rPr>
      </w:pPr>
      <w:r w:rsidRPr="00E81B25">
        <w:rPr>
          <w:lang w:val="es-ES"/>
        </w:rPr>
        <w:t>El 14 de marzo de 2005 el Gobierno de Navarra autorizó la participación en el uno por ciento del capital de Iberdrola por tiempo indefinido y declaró la operación como estratégica.</w:t>
      </w:r>
    </w:p>
    <w:p w:rsidR="006944BB" w:rsidRPr="00927ACF" w:rsidRDefault="00ED31E9" w:rsidP="00926B02">
      <w:pPr>
        <w:pStyle w:val="texto"/>
        <w:spacing w:before="240" w:after="200"/>
        <w:ind w:firstLine="0"/>
        <w:rPr>
          <w:rFonts w:ascii="Arial" w:hAnsi="Arial" w:cs="Arial"/>
          <w:sz w:val="25"/>
          <w:szCs w:val="25"/>
        </w:rPr>
      </w:pPr>
      <w:r>
        <w:rPr>
          <w:rFonts w:ascii="Arial" w:hAnsi="Arial" w:cs="Arial"/>
          <w:sz w:val="25"/>
          <w:szCs w:val="25"/>
        </w:rPr>
        <w:t xml:space="preserve">Cobertura </w:t>
      </w:r>
      <w:r w:rsidR="006944BB" w:rsidRPr="00927ACF">
        <w:rPr>
          <w:rFonts w:ascii="Arial" w:hAnsi="Arial" w:cs="Arial"/>
          <w:sz w:val="25"/>
          <w:szCs w:val="25"/>
        </w:rPr>
        <w:t xml:space="preserve">de la operación </w:t>
      </w:r>
    </w:p>
    <w:p w:rsidR="00ED5FC0" w:rsidRDefault="006944BB" w:rsidP="006944BB">
      <w:pPr>
        <w:pStyle w:val="texto"/>
        <w:rPr>
          <w:lang w:val="es-ES"/>
        </w:rPr>
      </w:pPr>
      <w:r w:rsidRPr="00E81B25">
        <w:rPr>
          <w:lang w:val="es-ES"/>
        </w:rPr>
        <w:t xml:space="preserve">El 26 de mayo de 2005, </w:t>
      </w:r>
      <w:proofErr w:type="spellStart"/>
      <w:r w:rsidRPr="00E81B25">
        <w:rPr>
          <w:lang w:val="es-ES"/>
        </w:rPr>
        <w:t>Sodena</w:t>
      </w:r>
      <w:proofErr w:type="spellEnd"/>
      <w:r w:rsidRPr="00E81B25">
        <w:rPr>
          <w:lang w:val="es-ES"/>
        </w:rPr>
        <w:t xml:space="preserve"> contrató con una entidad financiera una op</w:t>
      </w:r>
      <w:r w:rsidRPr="00E81B25">
        <w:rPr>
          <w:lang w:val="es-ES"/>
        </w:rPr>
        <w:t>e</w:t>
      </w:r>
      <w:r w:rsidR="00ED31E9">
        <w:rPr>
          <w:lang w:val="es-ES"/>
        </w:rPr>
        <w:t>ración de cobert</w:t>
      </w:r>
      <w:r w:rsidR="00AB7736">
        <w:rPr>
          <w:lang w:val="es-ES"/>
        </w:rPr>
        <w:t>ura</w:t>
      </w:r>
      <w:r w:rsidRPr="00E81B25">
        <w:rPr>
          <w:lang w:val="es-ES"/>
        </w:rPr>
        <w:t xml:space="preserve"> del valor de adquisición de las acciones </w:t>
      </w:r>
      <w:r w:rsidR="00ED5FC0">
        <w:rPr>
          <w:lang w:val="es-ES"/>
        </w:rPr>
        <w:t>en los siguientes términos:</w:t>
      </w:r>
    </w:p>
    <w:p w:rsidR="00ED5FC0" w:rsidRDefault="00ED5FC0" w:rsidP="00ED5FC0">
      <w:pPr>
        <w:pStyle w:val="texto"/>
        <w:numPr>
          <w:ilvl w:val="0"/>
          <w:numId w:val="20"/>
        </w:numPr>
        <w:tabs>
          <w:tab w:val="clear" w:pos="2835"/>
          <w:tab w:val="center" w:pos="567"/>
        </w:tabs>
        <w:ind w:left="0" w:firstLine="284"/>
        <w:rPr>
          <w:lang w:val="es-ES"/>
        </w:rPr>
      </w:pPr>
      <w:proofErr w:type="spellStart"/>
      <w:r w:rsidRPr="00ED5FC0">
        <w:rPr>
          <w:lang w:val="es-ES"/>
        </w:rPr>
        <w:t>Sodena</w:t>
      </w:r>
      <w:proofErr w:type="spellEnd"/>
      <w:r w:rsidRPr="00ED5FC0">
        <w:rPr>
          <w:lang w:val="es-ES"/>
        </w:rPr>
        <w:t xml:space="preserve"> compró a </w:t>
      </w:r>
      <w:r>
        <w:rPr>
          <w:lang w:val="es-ES"/>
        </w:rPr>
        <w:t>la entidad financiera</w:t>
      </w:r>
      <w:r w:rsidRPr="00ED5FC0">
        <w:rPr>
          <w:lang w:val="es-ES"/>
        </w:rPr>
        <w:t xml:space="preserve"> 9.015.492 opciones de venta (</w:t>
      </w:r>
      <w:proofErr w:type="spellStart"/>
      <w:r w:rsidRPr="00ED5FC0">
        <w:rPr>
          <w:lang w:val="es-ES"/>
        </w:rPr>
        <w:t>put</w:t>
      </w:r>
      <w:proofErr w:type="spellEnd"/>
      <w:r w:rsidRPr="00ED5FC0">
        <w:rPr>
          <w:lang w:val="es-ES"/>
        </w:rPr>
        <w:t>) europeas</w:t>
      </w:r>
      <w:r>
        <w:rPr>
          <w:lang w:val="es-ES"/>
        </w:rPr>
        <w:t xml:space="preserve"> </w:t>
      </w:r>
      <w:r w:rsidRPr="00ED5FC0">
        <w:rPr>
          <w:lang w:val="es-ES"/>
        </w:rPr>
        <w:t>a un precio de ejercicio de 19,25 euros y con vencimiento el 18 de mayo del 2007.</w:t>
      </w:r>
    </w:p>
    <w:p w:rsidR="00ED5FC0" w:rsidRDefault="00ED5FC0" w:rsidP="00ED5FC0">
      <w:pPr>
        <w:pStyle w:val="texto"/>
        <w:numPr>
          <w:ilvl w:val="0"/>
          <w:numId w:val="20"/>
        </w:numPr>
        <w:tabs>
          <w:tab w:val="clear" w:pos="2835"/>
          <w:tab w:val="center" w:pos="567"/>
        </w:tabs>
        <w:ind w:left="0" w:firstLine="284"/>
        <w:rPr>
          <w:lang w:val="es-ES"/>
        </w:rPr>
      </w:pPr>
      <w:proofErr w:type="spellStart"/>
      <w:r w:rsidRPr="00ED5FC0">
        <w:rPr>
          <w:lang w:val="es-ES"/>
        </w:rPr>
        <w:t>Sodena</w:t>
      </w:r>
      <w:proofErr w:type="spellEnd"/>
      <w:r w:rsidRPr="00ED5FC0">
        <w:rPr>
          <w:lang w:val="es-ES"/>
        </w:rPr>
        <w:t xml:space="preserve"> vendió a la entidad financier</w:t>
      </w:r>
      <w:r w:rsidR="00A12E99">
        <w:rPr>
          <w:lang w:val="es-ES"/>
        </w:rPr>
        <w:t>a</w:t>
      </w:r>
      <w:r w:rsidRPr="00ED5FC0">
        <w:rPr>
          <w:lang w:val="es-ES"/>
        </w:rPr>
        <w:t xml:space="preserve"> 5.011.712 opciones de compra (</w:t>
      </w:r>
      <w:proofErr w:type="spellStart"/>
      <w:r w:rsidRPr="00ED5FC0">
        <w:rPr>
          <w:lang w:val="es-ES"/>
        </w:rPr>
        <w:t>call</w:t>
      </w:r>
      <w:proofErr w:type="spellEnd"/>
      <w:r w:rsidRPr="00ED5FC0">
        <w:rPr>
          <w:lang w:val="es-ES"/>
        </w:rPr>
        <w:t>) europeas a un precio de ejercicio de 20,67 euros y con vencimiento del 18 de</w:t>
      </w:r>
      <w:r>
        <w:rPr>
          <w:lang w:val="es-ES"/>
        </w:rPr>
        <w:t xml:space="preserve"> </w:t>
      </w:r>
      <w:r w:rsidRPr="00ED5FC0">
        <w:rPr>
          <w:lang w:val="es-ES"/>
        </w:rPr>
        <w:t>mayo del 2007.</w:t>
      </w:r>
    </w:p>
    <w:p w:rsidR="00ED5FC0" w:rsidRPr="00ED5FC0" w:rsidRDefault="00ED5FC0" w:rsidP="00ED5FC0">
      <w:pPr>
        <w:pStyle w:val="texto"/>
        <w:rPr>
          <w:lang w:val="es-ES"/>
        </w:rPr>
      </w:pPr>
      <w:r>
        <w:rPr>
          <w:lang w:val="es-ES"/>
        </w:rPr>
        <w:t xml:space="preserve">Se </w:t>
      </w:r>
      <w:r w:rsidRPr="00ED5FC0">
        <w:rPr>
          <w:lang w:val="es-ES"/>
        </w:rPr>
        <w:t xml:space="preserve">estableció que la forma de liquidación tanto de las </w:t>
      </w:r>
      <w:proofErr w:type="spellStart"/>
      <w:r w:rsidRPr="00ED5FC0">
        <w:rPr>
          <w:lang w:val="es-ES"/>
        </w:rPr>
        <w:t>puts</w:t>
      </w:r>
      <w:proofErr w:type="spellEnd"/>
      <w:r w:rsidRPr="00ED5FC0">
        <w:rPr>
          <w:lang w:val="es-ES"/>
        </w:rPr>
        <w:t xml:space="preserve"> como de las </w:t>
      </w:r>
      <w:proofErr w:type="spellStart"/>
      <w:r w:rsidRPr="00ED5FC0">
        <w:rPr>
          <w:lang w:val="es-ES"/>
        </w:rPr>
        <w:t>calls</w:t>
      </w:r>
      <w:proofErr w:type="spellEnd"/>
      <w:r>
        <w:rPr>
          <w:lang w:val="es-ES"/>
        </w:rPr>
        <w:t xml:space="preserve"> </w:t>
      </w:r>
      <w:r w:rsidRPr="00ED5FC0">
        <w:rPr>
          <w:lang w:val="es-ES"/>
        </w:rPr>
        <w:t>se realizaría mediante la entrega física o por diferencias según determinara</w:t>
      </w:r>
      <w:r>
        <w:rPr>
          <w:lang w:val="es-ES"/>
        </w:rPr>
        <w:t xml:space="preserve"> </w:t>
      </w:r>
      <w:proofErr w:type="spellStart"/>
      <w:r w:rsidRPr="00ED5FC0">
        <w:rPr>
          <w:lang w:val="es-ES"/>
        </w:rPr>
        <w:t>S</w:t>
      </w:r>
      <w:r w:rsidRPr="00ED5FC0">
        <w:rPr>
          <w:lang w:val="es-ES"/>
        </w:rPr>
        <w:t>o</w:t>
      </w:r>
      <w:r w:rsidRPr="00ED5FC0">
        <w:rPr>
          <w:lang w:val="es-ES"/>
        </w:rPr>
        <w:t>dena</w:t>
      </w:r>
      <w:proofErr w:type="spellEnd"/>
      <w:r w:rsidRPr="00ED5FC0">
        <w:rPr>
          <w:lang w:val="es-ES"/>
        </w:rPr>
        <w:t>.</w:t>
      </w:r>
    </w:p>
    <w:p w:rsidR="00ED5FC0" w:rsidRPr="00ED5FC0" w:rsidRDefault="00ED5FC0" w:rsidP="00ED5FC0">
      <w:pPr>
        <w:pStyle w:val="texto"/>
        <w:rPr>
          <w:lang w:val="es-ES"/>
        </w:rPr>
      </w:pPr>
      <w:r w:rsidRPr="00ED5FC0">
        <w:rPr>
          <w:lang w:val="es-ES"/>
        </w:rPr>
        <w:t>El 18 de mayo de 2007, fecha de vencimiento de las opciones, las acciones de</w:t>
      </w:r>
      <w:r>
        <w:rPr>
          <w:lang w:val="es-ES"/>
        </w:rPr>
        <w:t xml:space="preserve"> </w:t>
      </w:r>
      <w:r w:rsidRPr="00ED5FC0">
        <w:rPr>
          <w:lang w:val="es-ES"/>
        </w:rPr>
        <w:t xml:space="preserve">Iberdrola cotizaban a un precio superior a 19,25 euros y por tanto </w:t>
      </w:r>
      <w:proofErr w:type="spellStart"/>
      <w:r w:rsidRPr="00ED5FC0">
        <w:rPr>
          <w:lang w:val="es-ES"/>
        </w:rPr>
        <w:t>Sodena</w:t>
      </w:r>
      <w:proofErr w:type="spellEnd"/>
      <w:r w:rsidRPr="00ED5FC0">
        <w:rPr>
          <w:lang w:val="es-ES"/>
        </w:rPr>
        <w:t xml:space="preserve"> no</w:t>
      </w:r>
      <w:r>
        <w:rPr>
          <w:lang w:val="es-ES"/>
        </w:rPr>
        <w:t xml:space="preserve"> </w:t>
      </w:r>
      <w:r w:rsidRPr="00ED5FC0">
        <w:rPr>
          <w:lang w:val="es-ES"/>
        </w:rPr>
        <w:t>ejercitó su opción de venta.</w:t>
      </w:r>
    </w:p>
    <w:p w:rsidR="00ED5FC0" w:rsidRPr="00ED5FC0" w:rsidRDefault="00ED5FC0" w:rsidP="00ED5FC0">
      <w:pPr>
        <w:pStyle w:val="texto"/>
        <w:rPr>
          <w:lang w:val="es-ES"/>
        </w:rPr>
      </w:pPr>
      <w:r w:rsidRPr="00ED5FC0">
        <w:rPr>
          <w:lang w:val="es-ES"/>
        </w:rPr>
        <w:lastRenderedPageBreak/>
        <w:t>Sin embargo, como el precio de cotización también era superior a 20,67 e</w:t>
      </w:r>
      <w:r w:rsidRPr="00ED5FC0">
        <w:rPr>
          <w:lang w:val="es-ES"/>
        </w:rPr>
        <w:t>u</w:t>
      </w:r>
      <w:r w:rsidRPr="00ED5FC0">
        <w:rPr>
          <w:lang w:val="es-ES"/>
        </w:rPr>
        <w:t>ros,</w:t>
      </w:r>
      <w:r>
        <w:rPr>
          <w:lang w:val="es-ES"/>
        </w:rPr>
        <w:t xml:space="preserve"> </w:t>
      </w:r>
      <w:r w:rsidR="00A12E99">
        <w:rPr>
          <w:lang w:val="es-ES"/>
        </w:rPr>
        <w:t>la entidad financiera</w:t>
      </w:r>
      <w:r w:rsidRPr="00ED5FC0">
        <w:rPr>
          <w:lang w:val="es-ES"/>
        </w:rPr>
        <w:t xml:space="preserve"> ejercitó su derecho de compra.</w:t>
      </w:r>
    </w:p>
    <w:p w:rsidR="00ED5FC0" w:rsidRDefault="00ED5FC0" w:rsidP="00ED5FC0">
      <w:pPr>
        <w:pStyle w:val="texto"/>
        <w:rPr>
          <w:lang w:val="es-ES"/>
        </w:rPr>
      </w:pPr>
      <w:r w:rsidRPr="00ED5FC0">
        <w:rPr>
          <w:lang w:val="es-ES"/>
        </w:rPr>
        <w:t xml:space="preserve">El Consejo de Administración de </w:t>
      </w:r>
      <w:proofErr w:type="spellStart"/>
      <w:r w:rsidRPr="00ED5FC0">
        <w:rPr>
          <w:lang w:val="es-ES"/>
        </w:rPr>
        <w:t>Sodena</w:t>
      </w:r>
      <w:proofErr w:type="spellEnd"/>
      <w:r w:rsidRPr="00ED5FC0">
        <w:rPr>
          <w:lang w:val="es-ES"/>
        </w:rPr>
        <w:t xml:space="preserve"> acordó con fecha 28 de marzo de</w:t>
      </w:r>
      <w:r>
        <w:rPr>
          <w:lang w:val="es-ES"/>
        </w:rPr>
        <w:t xml:space="preserve"> </w:t>
      </w:r>
      <w:r w:rsidRPr="00ED5FC0">
        <w:rPr>
          <w:lang w:val="es-ES"/>
        </w:rPr>
        <w:t xml:space="preserve">2007 no proceder a la venta de acciones y liquidar por diferencias las </w:t>
      </w:r>
      <w:proofErr w:type="spellStart"/>
      <w:r w:rsidRPr="00ED5FC0">
        <w:rPr>
          <w:lang w:val="es-ES"/>
        </w:rPr>
        <w:t>calls</w:t>
      </w:r>
      <w:proofErr w:type="spellEnd"/>
      <w:r w:rsidRPr="00ED5FC0">
        <w:rPr>
          <w:lang w:val="es-ES"/>
        </w:rPr>
        <w:t>.</w:t>
      </w:r>
      <w:r>
        <w:rPr>
          <w:lang w:val="es-ES"/>
        </w:rPr>
        <w:t xml:space="preserve"> </w:t>
      </w:r>
    </w:p>
    <w:p w:rsidR="00ED5FC0" w:rsidRDefault="00A12E99" w:rsidP="00ED5FC0">
      <w:pPr>
        <w:pStyle w:val="texto"/>
        <w:rPr>
          <w:lang w:val="es-ES"/>
        </w:rPr>
      </w:pPr>
      <w:r>
        <w:rPr>
          <w:lang w:val="es-ES"/>
        </w:rPr>
        <w:t xml:space="preserve">El 21 de mayo de 2007, </w:t>
      </w:r>
      <w:proofErr w:type="spellStart"/>
      <w:r w:rsidR="00ED5FC0" w:rsidRPr="00ED5FC0">
        <w:rPr>
          <w:lang w:val="es-ES"/>
        </w:rPr>
        <w:t>Sodena</w:t>
      </w:r>
      <w:proofErr w:type="spellEnd"/>
      <w:r w:rsidR="00ED5FC0" w:rsidRPr="00ED5FC0">
        <w:rPr>
          <w:lang w:val="es-ES"/>
        </w:rPr>
        <w:t xml:space="preserve"> abonó a </w:t>
      </w:r>
      <w:r>
        <w:rPr>
          <w:lang w:val="es-ES"/>
        </w:rPr>
        <w:t>la entidad financiera</w:t>
      </w:r>
      <w:r w:rsidR="00ED5FC0" w:rsidRPr="00ED5FC0">
        <w:rPr>
          <w:lang w:val="es-ES"/>
        </w:rPr>
        <w:t xml:space="preserve"> 90.956.308,16 euros por la </w:t>
      </w:r>
      <w:r>
        <w:rPr>
          <w:lang w:val="es-ES"/>
        </w:rPr>
        <w:t>l</w:t>
      </w:r>
      <w:r w:rsidR="00ED5FC0" w:rsidRPr="00ED5FC0">
        <w:rPr>
          <w:lang w:val="es-ES"/>
        </w:rPr>
        <w:t>iquidación correspondiente a 5.011.712 acciones a un</w:t>
      </w:r>
      <w:r w:rsidR="00ED5FC0">
        <w:rPr>
          <w:lang w:val="es-ES"/>
        </w:rPr>
        <w:t xml:space="preserve"> </w:t>
      </w:r>
      <w:r w:rsidR="00ED5FC0" w:rsidRPr="00ED5FC0">
        <w:rPr>
          <w:lang w:val="es-ES"/>
        </w:rPr>
        <w:t xml:space="preserve">precio de 18,14875 euros, resultante de la diferencia entre el precio medio </w:t>
      </w:r>
      <w:r>
        <w:rPr>
          <w:lang w:val="es-ES"/>
        </w:rPr>
        <w:t>de las acciones durante los 10 días hábiles anteriores a la fecha de vencimiento</w:t>
      </w:r>
      <w:r w:rsidR="00ED5FC0" w:rsidRPr="00ED5FC0">
        <w:rPr>
          <w:lang w:val="es-ES"/>
        </w:rPr>
        <w:t xml:space="preserve"> (38,82) y el precio de ejercicio de la opción al</w:t>
      </w:r>
      <w:r w:rsidR="00ED5FC0">
        <w:rPr>
          <w:lang w:val="es-ES"/>
        </w:rPr>
        <w:t xml:space="preserve"> </w:t>
      </w:r>
      <w:r w:rsidR="00ED5FC0" w:rsidRPr="00ED5FC0">
        <w:rPr>
          <w:lang w:val="es-ES"/>
        </w:rPr>
        <w:t>vencimiento (20,67).</w:t>
      </w:r>
    </w:p>
    <w:p w:rsidR="006944BB" w:rsidRPr="00E81B25" w:rsidRDefault="006944BB" w:rsidP="00ED5FC0">
      <w:pPr>
        <w:pStyle w:val="texto"/>
        <w:rPr>
          <w:lang w:val="es-ES"/>
        </w:rPr>
      </w:pPr>
      <w:r w:rsidRPr="00E81B25">
        <w:rPr>
          <w:lang w:val="es-ES"/>
        </w:rPr>
        <w:t>Por tanto, el coste total de adquisición de las 9.015.492 acciones, consid</w:t>
      </w:r>
      <w:r w:rsidRPr="00E81B25">
        <w:rPr>
          <w:lang w:val="es-ES"/>
        </w:rPr>
        <w:t>e</w:t>
      </w:r>
      <w:r w:rsidRPr="00E81B25">
        <w:rPr>
          <w:lang w:val="es-ES"/>
        </w:rPr>
        <w:t xml:space="preserve">rando la operación de </w:t>
      </w:r>
      <w:r w:rsidR="00ED31E9">
        <w:rPr>
          <w:lang w:val="es-ES"/>
        </w:rPr>
        <w:t>cobertura</w:t>
      </w:r>
      <w:r w:rsidRPr="00E81B25">
        <w:rPr>
          <w:lang w:val="es-ES"/>
        </w:rPr>
        <w:t>, fue de 264.512.546 euros.</w:t>
      </w:r>
    </w:p>
    <w:p w:rsidR="006944BB" w:rsidRPr="00927ACF" w:rsidRDefault="006944BB" w:rsidP="00F7545E">
      <w:pPr>
        <w:pStyle w:val="texto"/>
        <w:spacing w:before="240" w:after="200"/>
        <w:ind w:firstLine="0"/>
        <w:rPr>
          <w:rFonts w:ascii="Arial" w:hAnsi="Arial" w:cs="Arial"/>
          <w:sz w:val="25"/>
          <w:szCs w:val="25"/>
        </w:rPr>
      </w:pPr>
      <w:r w:rsidRPr="00927ACF">
        <w:rPr>
          <w:rFonts w:ascii="Arial" w:hAnsi="Arial" w:cs="Arial"/>
          <w:sz w:val="25"/>
          <w:szCs w:val="25"/>
        </w:rPr>
        <w:t xml:space="preserve">Financiación </w:t>
      </w:r>
    </w:p>
    <w:p w:rsidR="006944BB" w:rsidRPr="00E81B25" w:rsidRDefault="006944BB" w:rsidP="004476D8">
      <w:pPr>
        <w:pStyle w:val="texto"/>
        <w:numPr>
          <w:ilvl w:val="0"/>
          <w:numId w:val="22"/>
        </w:numPr>
        <w:tabs>
          <w:tab w:val="clear" w:pos="2835"/>
          <w:tab w:val="clear" w:pos="3969"/>
          <w:tab w:val="center" w:pos="0"/>
          <w:tab w:val="center" w:pos="284"/>
        </w:tabs>
        <w:ind w:left="0" w:firstLine="0"/>
        <w:rPr>
          <w:lang w:val="es-ES"/>
        </w:rPr>
      </w:pPr>
      <w:r w:rsidRPr="00E81B25">
        <w:rPr>
          <w:lang w:val="es-ES"/>
        </w:rPr>
        <w:t xml:space="preserve">La compra de acciones se financió con fondos propios de </w:t>
      </w:r>
      <w:proofErr w:type="spellStart"/>
      <w:r w:rsidRPr="00E81B25">
        <w:rPr>
          <w:lang w:val="es-ES"/>
        </w:rPr>
        <w:t>Sodena</w:t>
      </w:r>
      <w:proofErr w:type="spellEnd"/>
      <w:r w:rsidRPr="00E81B25">
        <w:rPr>
          <w:lang w:val="es-ES"/>
        </w:rPr>
        <w:t>, procede</w:t>
      </w:r>
      <w:r w:rsidRPr="00E81B25">
        <w:rPr>
          <w:lang w:val="es-ES"/>
        </w:rPr>
        <w:t>n</w:t>
      </w:r>
      <w:r w:rsidRPr="00E81B25">
        <w:rPr>
          <w:lang w:val="es-ES"/>
        </w:rPr>
        <w:t>tes de la venta de la participación en la empresa Corporación Hidroeléctrica de Navarra, S.A</w:t>
      </w:r>
      <w:r w:rsidR="009518C3">
        <w:rPr>
          <w:lang w:val="es-ES"/>
        </w:rPr>
        <w:t>.</w:t>
      </w:r>
      <w:r w:rsidR="000B49A7">
        <w:rPr>
          <w:lang w:val="es-ES"/>
        </w:rPr>
        <w:t xml:space="preserve"> </w:t>
      </w:r>
      <w:r w:rsidR="006A320C">
        <w:rPr>
          <w:lang w:val="es-ES"/>
        </w:rPr>
        <w:t>(CEHN)</w:t>
      </w:r>
    </w:p>
    <w:p w:rsidR="006944BB" w:rsidRPr="00E81B25" w:rsidRDefault="006944BB" w:rsidP="00E81B25">
      <w:pPr>
        <w:pStyle w:val="texto"/>
        <w:rPr>
          <w:lang w:val="es-ES"/>
        </w:rPr>
      </w:pPr>
      <w:r w:rsidRPr="00E81B25">
        <w:rPr>
          <w:lang w:val="es-ES"/>
        </w:rPr>
        <w:t xml:space="preserve">En 2003 </w:t>
      </w:r>
      <w:proofErr w:type="spellStart"/>
      <w:r w:rsidRPr="00E81B25">
        <w:rPr>
          <w:lang w:val="es-ES"/>
        </w:rPr>
        <w:t>Sodena</w:t>
      </w:r>
      <w:proofErr w:type="spellEnd"/>
      <w:r w:rsidRPr="00E81B25">
        <w:rPr>
          <w:lang w:val="es-ES"/>
        </w:rPr>
        <w:t xml:space="preserve"> vendió el 13,4</w:t>
      </w:r>
      <w:r w:rsidR="00C246B4">
        <w:rPr>
          <w:lang w:val="es-ES"/>
        </w:rPr>
        <w:t xml:space="preserve">6 </w:t>
      </w:r>
      <w:r w:rsidRPr="00E81B25">
        <w:rPr>
          <w:lang w:val="es-ES"/>
        </w:rPr>
        <w:t>por ciento de su participación en CEHN a</w:t>
      </w:r>
      <w:r w:rsidRPr="00E81B25">
        <w:rPr>
          <w:lang w:val="es-ES"/>
        </w:rPr>
        <w:t>d</w:t>
      </w:r>
      <w:r w:rsidRPr="00E81B25">
        <w:rPr>
          <w:lang w:val="es-ES"/>
        </w:rPr>
        <w:t>quirida por 1.190.821 euros por 80.096.199 euros, obteniendo un beneficio de 78.905.378 euros.</w:t>
      </w:r>
    </w:p>
    <w:p w:rsidR="006944BB" w:rsidRPr="00E81B25" w:rsidRDefault="006944BB" w:rsidP="00E81B25">
      <w:pPr>
        <w:pStyle w:val="texto"/>
        <w:rPr>
          <w:lang w:val="es-ES"/>
        </w:rPr>
      </w:pPr>
      <w:r w:rsidRPr="00E81B25">
        <w:rPr>
          <w:lang w:val="es-ES"/>
        </w:rPr>
        <w:t xml:space="preserve">A finales de 2004 </w:t>
      </w:r>
      <w:proofErr w:type="spellStart"/>
      <w:r w:rsidRPr="00E81B25">
        <w:rPr>
          <w:lang w:val="es-ES"/>
        </w:rPr>
        <w:t>Sodena</w:t>
      </w:r>
      <w:proofErr w:type="spellEnd"/>
      <w:r w:rsidRPr="00E81B25">
        <w:rPr>
          <w:lang w:val="es-ES"/>
        </w:rPr>
        <w:t xml:space="preserve"> vendió el resto de su participación en CEHN (39,58 por ciento), adquirida por un coste total de 48.109.906 euros, por 307.147.901 euros, obteniendo un beneficio de 259.037.995 euros. Además, cobró unos precios adicionales por consecución de hitos en relación con los b</w:t>
      </w:r>
      <w:r w:rsidRPr="00E81B25">
        <w:rPr>
          <w:lang w:val="es-ES"/>
        </w:rPr>
        <w:t>e</w:t>
      </w:r>
      <w:r w:rsidRPr="00E81B25">
        <w:rPr>
          <w:lang w:val="es-ES"/>
        </w:rPr>
        <w:t xml:space="preserve">neficios de CEHN en los años 2006 y 2007 de 14.624.900 euros. </w:t>
      </w:r>
    </w:p>
    <w:p w:rsidR="006944BB" w:rsidRPr="00E81B25" w:rsidRDefault="006944BB" w:rsidP="00E81B25">
      <w:pPr>
        <w:pStyle w:val="texto"/>
        <w:rPr>
          <w:lang w:val="es-ES"/>
        </w:rPr>
      </w:pPr>
      <w:r w:rsidRPr="00E81B25">
        <w:rPr>
          <w:lang w:val="es-ES"/>
        </w:rPr>
        <w:t xml:space="preserve">El beneficio total que obtuvo </w:t>
      </w:r>
      <w:proofErr w:type="spellStart"/>
      <w:r w:rsidRPr="00E81B25">
        <w:rPr>
          <w:lang w:val="es-ES"/>
        </w:rPr>
        <w:t>Sodena</w:t>
      </w:r>
      <w:proofErr w:type="spellEnd"/>
      <w:r w:rsidRPr="00E81B25">
        <w:rPr>
          <w:lang w:val="es-ES"/>
        </w:rPr>
        <w:t xml:space="preserve"> por la venta de su participación en la empresa Corporación Hidroeléctrica de Navarra, S.A. ascendió a 352.568.274 euros. Con cargo a estos resultados, </w:t>
      </w:r>
      <w:proofErr w:type="spellStart"/>
      <w:r w:rsidRPr="00E81B25">
        <w:rPr>
          <w:lang w:val="es-ES"/>
        </w:rPr>
        <w:t>Sodena</w:t>
      </w:r>
      <w:proofErr w:type="spellEnd"/>
      <w:r w:rsidRPr="00E81B25">
        <w:rPr>
          <w:lang w:val="es-ES"/>
        </w:rPr>
        <w:t>, S.A. distribuyó dividendos por un total de 150 millones de euros en los años 2003 y 2004</w:t>
      </w:r>
      <w:r w:rsidR="00396632">
        <w:rPr>
          <w:lang w:val="es-ES"/>
        </w:rPr>
        <w:t>.</w:t>
      </w:r>
    </w:p>
    <w:p w:rsidR="00C246B4" w:rsidRPr="00E81B25" w:rsidRDefault="006944BB" w:rsidP="004476D8">
      <w:pPr>
        <w:pStyle w:val="texto"/>
        <w:numPr>
          <w:ilvl w:val="0"/>
          <w:numId w:val="22"/>
        </w:numPr>
        <w:tabs>
          <w:tab w:val="clear" w:pos="2835"/>
          <w:tab w:val="clear" w:pos="3969"/>
          <w:tab w:val="center" w:pos="0"/>
          <w:tab w:val="center" w:pos="284"/>
        </w:tabs>
        <w:ind w:left="0" w:firstLine="0"/>
        <w:rPr>
          <w:lang w:val="es-ES"/>
        </w:rPr>
      </w:pPr>
      <w:r w:rsidRPr="00E81B25">
        <w:rPr>
          <w:lang w:val="es-ES"/>
        </w:rPr>
        <w:t>La</w:t>
      </w:r>
      <w:r w:rsidR="00C246B4">
        <w:rPr>
          <w:lang w:val="es-ES"/>
        </w:rPr>
        <w:t xml:space="preserve"> liquidación de la </w:t>
      </w:r>
      <w:r w:rsidRPr="00E81B25">
        <w:rPr>
          <w:lang w:val="es-ES"/>
        </w:rPr>
        <w:t xml:space="preserve">operación de </w:t>
      </w:r>
      <w:r w:rsidR="00ED31E9">
        <w:rPr>
          <w:lang w:val="es-ES"/>
        </w:rPr>
        <w:t>cobertura</w:t>
      </w:r>
      <w:r w:rsidRPr="00E81B25">
        <w:rPr>
          <w:lang w:val="es-ES"/>
        </w:rPr>
        <w:t xml:space="preserve"> </w:t>
      </w:r>
      <w:r w:rsidR="009518C3">
        <w:rPr>
          <w:lang w:val="es-ES"/>
        </w:rPr>
        <w:t xml:space="preserve">de las acciones de Iberdrola </w:t>
      </w:r>
      <w:r w:rsidRPr="00E81B25">
        <w:rPr>
          <w:lang w:val="es-ES"/>
        </w:rPr>
        <w:t>se financió con un crédito sindicado de 120 millones de euros, con prenda de a</w:t>
      </w:r>
      <w:r w:rsidRPr="00E81B25">
        <w:rPr>
          <w:lang w:val="es-ES"/>
        </w:rPr>
        <w:t>c</w:t>
      </w:r>
      <w:r w:rsidRPr="00E81B25">
        <w:rPr>
          <w:lang w:val="es-ES"/>
        </w:rPr>
        <w:t xml:space="preserve">ciones, que </w:t>
      </w:r>
      <w:proofErr w:type="spellStart"/>
      <w:r w:rsidRPr="00E81B25">
        <w:rPr>
          <w:lang w:val="es-ES"/>
        </w:rPr>
        <w:t>Sodena</w:t>
      </w:r>
      <w:proofErr w:type="spellEnd"/>
      <w:r w:rsidRPr="00E81B25">
        <w:rPr>
          <w:lang w:val="es-ES"/>
        </w:rPr>
        <w:t xml:space="preserve"> </w:t>
      </w:r>
      <w:r w:rsidR="00C246B4">
        <w:rPr>
          <w:lang w:val="es-ES"/>
        </w:rPr>
        <w:t>había concertado</w:t>
      </w:r>
      <w:r w:rsidRPr="00E81B25">
        <w:rPr>
          <w:lang w:val="es-ES"/>
        </w:rPr>
        <w:t xml:space="preserve"> el 26 de mayo de 2005 a un tipo de interés variable</w:t>
      </w:r>
      <w:r w:rsidR="00C246B4">
        <w:rPr>
          <w:lang w:val="es-ES"/>
        </w:rPr>
        <w:t>,</w:t>
      </w:r>
      <w:r w:rsidRPr="00E81B25">
        <w:rPr>
          <w:lang w:val="es-ES"/>
        </w:rPr>
        <w:t xml:space="preserve"> </w:t>
      </w:r>
      <w:r w:rsidR="00C246B4">
        <w:rPr>
          <w:lang w:val="es-ES"/>
        </w:rPr>
        <w:t xml:space="preserve">referenciado al euríbor a </w:t>
      </w:r>
      <w:r w:rsidR="00540AA4">
        <w:rPr>
          <w:lang w:val="es-ES"/>
        </w:rPr>
        <w:t>seis meses</w:t>
      </w:r>
      <w:r w:rsidR="00C246B4">
        <w:rPr>
          <w:lang w:val="es-ES"/>
        </w:rPr>
        <w:t xml:space="preserve"> </w:t>
      </w:r>
      <w:r w:rsidRPr="00E81B25">
        <w:rPr>
          <w:lang w:val="es-ES"/>
        </w:rPr>
        <w:t>más un diferencial del 0,375.</w:t>
      </w:r>
      <w:r w:rsidR="00C246B4">
        <w:rPr>
          <w:lang w:val="es-ES"/>
        </w:rPr>
        <w:t xml:space="preserve"> D</w:t>
      </w:r>
      <w:r w:rsidR="00C246B4">
        <w:rPr>
          <w:lang w:val="es-ES"/>
        </w:rPr>
        <w:t>i</w:t>
      </w:r>
      <w:r w:rsidR="00C246B4">
        <w:rPr>
          <w:lang w:val="es-ES"/>
        </w:rPr>
        <w:t xml:space="preserve">cho crédito se contrató para garantizar la capacidad inversora de </w:t>
      </w:r>
      <w:proofErr w:type="spellStart"/>
      <w:r w:rsidR="00C246B4">
        <w:rPr>
          <w:lang w:val="es-ES"/>
        </w:rPr>
        <w:t>Sodena</w:t>
      </w:r>
      <w:proofErr w:type="spellEnd"/>
      <w:r w:rsidR="00C246B4">
        <w:rPr>
          <w:lang w:val="es-ES"/>
        </w:rPr>
        <w:t>.</w:t>
      </w:r>
    </w:p>
    <w:p w:rsidR="006944BB" w:rsidRPr="00E81B25" w:rsidRDefault="006944BB" w:rsidP="006944BB">
      <w:pPr>
        <w:pStyle w:val="texto"/>
        <w:rPr>
          <w:lang w:val="es-ES"/>
        </w:rPr>
      </w:pPr>
      <w:r w:rsidRPr="00E81B25">
        <w:rPr>
          <w:lang w:val="es-ES"/>
        </w:rPr>
        <w:t xml:space="preserve">En mayo de 2008, </w:t>
      </w:r>
      <w:proofErr w:type="spellStart"/>
      <w:r w:rsidRPr="00E81B25">
        <w:rPr>
          <w:lang w:val="es-ES"/>
        </w:rPr>
        <w:t>Sodena</w:t>
      </w:r>
      <w:proofErr w:type="spellEnd"/>
      <w:r w:rsidRPr="00E81B25">
        <w:rPr>
          <w:lang w:val="es-ES"/>
        </w:rPr>
        <w:t xml:space="preserve"> canceló la línea de crédito de 120 millones de e</w:t>
      </w:r>
      <w:r w:rsidRPr="00E81B25">
        <w:rPr>
          <w:lang w:val="es-ES"/>
        </w:rPr>
        <w:t>u</w:t>
      </w:r>
      <w:r w:rsidRPr="00E81B25">
        <w:rPr>
          <w:lang w:val="es-ES"/>
        </w:rPr>
        <w:t>ros y simultáneamente contrató seis cuentas de crédito con prenda de acciones de Iberdrola por un límite de disposición conjunto de 140 millones de euros a un tipo de interés variable</w:t>
      </w:r>
      <w:r w:rsidR="00C246B4">
        <w:rPr>
          <w:lang w:val="es-ES"/>
        </w:rPr>
        <w:t>, referenciado al euríbor a tres meses</w:t>
      </w:r>
      <w:r w:rsidRPr="00E81B25">
        <w:rPr>
          <w:lang w:val="es-ES"/>
        </w:rPr>
        <w:t xml:space="preserve"> más un difere</w:t>
      </w:r>
      <w:r w:rsidRPr="00E81B25">
        <w:rPr>
          <w:lang w:val="es-ES"/>
        </w:rPr>
        <w:t>n</w:t>
      </w:r>
      <w:r w:rsidRPr="00E81B25">
        <w:rPr>
          <w:lang w:val="es-ES"/>
        </w:rPr>
        <w:t>cial</w:t>
      </w:r>
      <w:r w:rsidR="00C246B4">
        <w:rPr>
          <w:lang w:val="es-ES"/>
        </w:rPr>
        <w:t xml:space="preserve"> </w:t>
      </w:r>
      <w:r w:rsidR="00540AA4">
        <w:rPr>
          <w:lang w:val="es-ES"/>
        </w:rPr>
        <w:t xml:space="preserve">comprendido </w:t>
      </w:r>
      <w:r w:rsidR="00C246B4">
        <w:rPr>
          <w:lang w:val="es-ES"/>
        </w:rPr>
        <w:t xml:space="preserve">entre </w:t>
      </w:r>
      <w:r w:rsidR="00C246B4" w:rsidRPr="00540AA4">
        <w:rPr>
          <w:lang w:val="es-ES"/>
        </w:rPr>
        <w:t>el 0,35 y el 0.50,</w:t>
      </w:r>
      <w:r w:rsidR="00540AA4">
        <w:rPr>
          <w:lang w:val="es-ES"/>
        </w:rPr>
        <w:t xml:space="preserve"> dependiendo</w:t>
      </w:r>
      <w:r w:rsidR="00C246B4">
        <w:rPr>
          <w:lang w:val="es-ES"/>
        </w:rPr>
        <w:t xml:space="preserve"> de la </w:t>
      </w:r>
      <w:r w:rsidRPr="00E81B25">
        <w:rPr>
          <w:lang w:val="es-ES"/>
        </w:rPr>
        <w:t>entidad financiera.</w:t>
      </w:r>
    </w:p>
    <w:p w:rsidR="006944BB" w:rsidRPr="00E81B25" w:rsidRDefault="006944BB" w:rsidP="00F7545E">
      <w:pPr>
        <w:pStyle w:val="texto"/>
        <w:rPr>
          <w:lang w:val="es-ES"/>
        </w:rPr>
      </w:pPr>
      <w:r w:rsidRPr="00E81B25">
        <w:rPr>
          <w:lang w:val="es-ES"/>
        </w:rPr>
        <w:lastRenderedPageBreak/>
        <w:t xml:space="preserve">El 18 de marzo de 2014, </w:t>
      </w:r>
      <w:proofErr w:type="spellStart"/>
      <w:r w:rsidRPr="00E81B25">
        <w:rPr>
          <w:lang w:val="es-ES"/>
        </w:rPr>
        <w:t>Sodena</w:t>
      </w:r>
      <w:proofErr w:type="spellEnd"/>
      <w:r w:rsidRPr="00E81B25">
        <w:rPr>
          <w:lang w:val="es-ES"/>
        </w:rPr>
        <w:t xml:space="preserve"> S.L. suscribió un acuerdo marco de refina</w:t>
      </w:r>
      <w:r w:rsidRPr="00E81B25">
        <w:rPr>
          <w:lang w:val="es-ES"/>
        </w:rPr>
        <w:t>n</w:t>
      </w:r>
      <w:r w:rsidRPr="00E81B25">
        <w:rPr>
          <w:lang w:val="es-ES"/>
        </w:rPr>
        <w:t>ciación de 165 millones de euros con cinco entidades financieras.</w:t>
      </w:r>
    </w:p>
    <w:p w:rsidR="006944BB" w:rsidRDefault="0068362F" w:rsidP="00F7545E">
      <w:pPr>
        <w:pStyle w:val="texto"/>
        <w:rPr>
          <w:lang w:val="es-ES"/>
        </w:rPr>
      </w:pPr>
      <w:r>
        <w:rPr>
          <w:lang w:val="es-ES"/>
        </w:rPr>
        <w:t>El 27 de marzo de 2014, l</w:t>
      </w:r>
      <w:r w:rsidR="006944BB" w:rsidRPr="00E81B25">
        <w:rPr>
          <w:lang w:val="es-ES"/>
        </w:rPr>
        <w:t>a empresa pública Corporación Pública Empres</w:t>
      </w:r>
      <w:r w:rsidR="006944BB" w:rsidRPr="00E81B25">
        <w:rPr>
          <w:lang w:val="es-ES"/>
        </w:rPr>
        <w:t>a</w:t>
      </w:r>
      <w:r w:rsidR="006944BB" w:rsidRPr="00E81B25">
        <w:rPr>
          <w:lang w:val="es-ES"/>
        </w:rPr>
        <w:t xml:space="preserve">rial de Navarra, S.A.U. amplió capital en </w:t>
      </w:r>
      <w:proofErr w:type="spellStart"/>
      <w:r w:rsidR="006944BB" w:rsidRPr="00E81B25">
        <w:rPr>
          <w:lang w:val="es-ES"/>
        </w:rPr>
        <w:t>Sodena</w:t>
      </w:r>
      <w:proofErr w:type="spellEnd"/>
      <w:r w:rsidR="006944BB" w:rsidRPr="00E81B25">
        <w:rPr>
          <w:lang w:val="es-ES"/>
        </w:rPr>
        <w:t xml:space="preserve"> por importe de 30 millones con la finalidad de </w:t>
      </w:r>
      <w:r w:rsidR="00540AA4">
        <w:rPr>
          <w:lang w:val="es-ES"/>
        </w:rPr>
        <w:t>amortizar</w:t>
      </w:r>
      <w:r w:rsidR="006944BB" w:rsidRPr="00E81B25">
        <w:rPr>
          <w:lang w:val="es-ES"/>
        </w:rPr>
        <w:t xml:space="preserve"> parte de la deuda de </w:t>
      </w:r>
      <w:proofErr w:type="spellStart"/>
      <w:r w:rsidR="006944BB" w:rsidRPr="00E81B25">
        <w:rPr>
          <w:lang w:val="es-ES"/>
        </w:rPr>
        <w:t>Sodena</w:t>
      </w:r>
      <w:proofErr w:type="spellEnd"/>
      <w:r w:rsidR="006944BB" w:rsidRPr="00E81B25">
        <w:rPr>
          <w:lang w:val="es-ES"/>
        </w:rPr>
        <w:t xml:space="preserve"> con las cinco entid</w:t>
      </w:r>
      <w:r w:rsidR="006944BB" w:rsidRPr="00E81B25">
        <w:rPr>
          <w:lang w:val="es-ES"/>
        </w:rPr>
        <w:t>a</w:t>
      </w:r>
      <w:r w:rsidR="006944BB" w:rsidRPr="00E81B25">
        <w:rPr>
          <w:lang w:val="es-ES"/>
        </w:rPr>
        <w:t>des financieras. La cantidad refinancia</w:t>
      </w:r>
      <w:r w:rsidR="00396632">
        <w:rPr>
          <w:lang w:val="es-ES"/>
        </w:rPr>
        <w:t>da</w:t>
      </w:r>
      <w:r w:rsidR="006944BB" w:rsidRPr="00E81B25">
        <w:rPr>
          <w:lang w:val="es-ES"/>
        </w:rPr>
        <w:t xml:space="preserve"> de 135 millones, resultante una vez amortizados 30 millones, se estructuró en los siguientes dos contratos:</w:t>
      </w:r>
    </w:p>
    <w:p w:rsidR="006944BB" w:rsidRPr="00BE76B0" w:rsidRDefault="006944BB" w:rsidP="00F7545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BE76B0">
        <w:rPr>
          <w:szCs w:val="26"/>
        </w:rPr>
        <w:t xml:space="preserve">Préstamo por 102,5 millones de euros, tipo </w:t>
      </w:r>
      <w:proofErr w:type="spellStart"/>
      <w:r w:rsidRPr="00BE76B0">
        <w:rPr>
          <w:szCs w:val="26"/>
        </w:rPr>
        <w:t>bullet</w:t>
      </w:r>
      <w:proofErr w:type="spellEnd"/>
      <w:r w:rsidR="005303FE">
        <w:rPr>
          <w:szCs w:val="26"/>
        </w:rPr>
        <w:t xml:space="preserve"> (al vencimiento)</w:t>
      </w:r>
      <w:r w:rsidRPr="00BE76B0">
        <w:rPr>
          <w:szCs w:val="26"/>
        </w:rPr>
        <w:t>, con vencimiento el 31 de diciembre de 2017 a un tipo de interés fijo que oscila e</w:t>
      </w:r>
      <w:r w:rsidRPr="00BE76B0">
        <w:rPr>
          <w:szCs w:val="26"/>
        </w:rPr>
        <w:t>n</w:t>
      </w:r>
      <w:r w:rsidRPr="00BE76B0">
        <w:rPr>
          <w:szCs w:val="26"/>
        </w:rPr>
        <w:t>tre el 1,952 y el 2,196 por ciento.</w:t>
      </w:r>
    </w:p>
    <w:p w:rsidR="006944BB" w:rsidRPr="00BE76B0" w:rsidRDefault="006944BB" w:rsidP="00F7545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BE76B0">
        <w:rPr>
          <w:szCs w:val="26"/>
        </w:rPr>
        <w:t>Crédito por 32,5 millones de euros con vencimiento el 31 de diciembre de 2014, renovable por periodos anuales hasta el 31 de diciembre de 2017 a un t</w:t>
      </w:r>
      <w:r w:rsidRPr="00BE76B0">
        <w:rPr>
          <w:szCs w:val="26"/>
        </w:rPr>
        <w:t>i</w:t>
      </w:r>
      <w:r w:rsidRPr="00BE76B0">
        <w:rPr>
          <w:szCs w:val="26"/>
        </w:rPr>
        <w:t>po de interés del euríbor a 12 meses más un diferencial de 375 puntos básicos.</w:t>
      </w:r>
    </w:p>
    <w:p w:rsidR="006944BB" w:rsidRPr="00E81B25" w:rsidRDefault="006944BB" w:rsidP="00F7545E">
      <w:pPr>
        <w:pStyle w:val="texto"/>
        <w:rPr>
          <w:lang w:val="es-ES"/>
        </w:rPr>
      </w:pPr>
      <w:r w:rsidRPr="00E81B25">
        <w:rPr>
          <w:lang w:val="es-ES"/>
        </w:rPr>
        <w:t xml:space="preserve">La refinanciación de </w:t>
      </w:r>
      <w:r w:rsidR="00C96355">
        <w:rPr>
          <w:lang w:val="es-ES"/>
        </w:rPr>
        <w:t xml:space="preserve">la deuda de </w:t>
      </w:r>
      <w:proofErr w:type="spellStart"/>
      <w:r w:rsidRPr="00E81B25">
        <w:rPr>
          <w:lang w:val="es-ES"/>
        </w:rPr>
        <w:t>Sodena</w:t>
      </w:r>
      <w:proofErr w:type="spellEnd"/>
      <w:r w:rsidRPr="00E81B25">
        <w:rPr>
          <w:lang w:val="es-ES"/>
        </w:rPr>
        <w:t xml:space="preserve"> presentaba las siguientes garantías:</w:t>
      </w:r>
    </w:p>
    <w:p w:rsidR="006944BB" w:rsidRPr="00BE76B0" w:rsidRDefault="006944BB" w:rsidP="00F7545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BE76B0">
        <w:rPr>
          <w:szCs w:val="26"/>
        </w:rPr>
        <w:t xml:space="preserve">Pignoración de las acciones de Iberdrola titularidad de </w:t>
      </w:r>
      <w:proofErr w:type="spellStart"/>
      <w:r w:rsidRPr="00BE76B0">
        <w:rPr>
          <w:szCs w:val="26"/>
        </w:rPr>
        <w:t>Sodena</w:t>
      </w:r>
      <w:proofErr w:type="spellEnd"/>
      <w:r w:rsidRPr="00BE76B0">
        <w:rPr>
          <w:szCs w:val="26"/>
        </w:rPr>
        <w:t>.</w:t>
      </w:r>
    </w:p>
    <w:p w:rsidR="006944BB" w:rsidRDefault="006944BB" w:rsidP="00F7545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BE76B0">
        <w:rPr>
          <w:szCs w:val="26"/>
        </w:rPr>
        <w:t>Carta de compromisos emitida por el Gobierno de Navarra</w:t>
      </w:r>
    </w:p>
    <w:p w:rsidR="006944BB" w:rsidRPr="00927ACF" w:rsidRDefault="006944BB" w:rsidP="00926B02">
      <w:pPr>
        <w:pStyle w:val="texto"/>
        <w:spacing w:before="240" w:after="200"/>
        <w:ind w:firstLine="0"/>
        <w:rPr>
          <w:rFonts w:ascii="Arial" w:hAnsi="Arial" w:cs="Arial"/>
          <w:sz w:val="25"/>
          <w:szCs w:val="25"/>
        </w:rPr>
      </w:pPr>
      <w:bookmarkStart w:id="13" w:name="_Toc433028631"/>
      <w:r w:rsidRPr="00927ACF">
        <w:rPr>
          <w:rFonts w:ascii="Arial" w:hAnsi="Arial" w:cs="Arial"/>
          <w:sz w:val="25"/>
          <w:szCs w:val="25"/>
        </w:rPr>
        <w:t>Venta de acciones</w:t>
      </w:r>
      <w:bookmarkEnd w:id="13"/>
    </w:p>
    <w:p w:rsidR="009518C3" w:rsidRPr="00E81B25" w:rsidRDefault="009518C3" w:rsidP="00F7545E">
      <w:pPr>
        <w:pStyle w:val="texto"/>
        <w:rPr>
          <w:lang w:val="es-ES"/>
        </w:rPr>
      </w:pPr>
      <w:r w:rsidRPr="00E81B25">
        <w:rPr>
          <w:lang w:val="es-ES"/>
        </w:rPr>
        <w:t xml:space="preserve">El 8 de octubre de 2007 Iberdrola ejecutó un desdoblamiento de acciones (Split) en la proporción de cuatro títulos nuevos por uno antiguo, reduciendo el valor nominal de las acciones de tres a 0,75 euros. Tras esta operación, </w:t>
      </w:r>
      <w:proofErr w:type="spellStart"/>
      <w:r w:rsidRPr="00E81B25">
        <w:rPr>
          <w:lang w:val="es-ES"/>
        </w:rPr>
        <w:t>Sodena</w:t>
      </w:r>
      <w:proofErr w:type="spellEnd"/>
      <w:r w:rsidRPr="00E81B25">
        <w:rPr>
          <w:lang w:val="es-ES"/>
        </w:rPr>
        <w:t xml:space="preserve"> pasó a tener 36.061.968 acciones de un valor nominal de 0,75 euros, sin coste adicional alguno. </w:t>
      </w:r>
    </w:p>
    <w:p w:rsidR="00FA5D62" w:rsidRDefault="00FA5D62" w:rsidP="00F7545E">
      <w:pPr>
        <w:pStyle w:val="texto"/>
        <w:numPr>
          <w:ilvl w:val="0"/>
          <w:numId w:val="23"/>
        </w:numPr>
        <w:tabs>
          <w:tab w:val="clear" w:pos="2835"/>
          <w:tab w:val="clear" w:pos="3969"/>
          <w:tab w:val="center" w:pos="0"/>
          <w:tab w:val="center" w:pos="284"/>
        </w:tabs>
        <w:ind w:left="0" w:firstLine="0"/>
        <w:rPr>
          <w:lang w:val="es-ES"/>
        </w:rPr>
      </w:pPr>
      <w:r>
        <w:rPr>
          <w:lang w:val="es-ES"/>
        </w:rPr>
        <w:t xml:space="preserve">Entrega de acciones para la reducción de capital de </w:t>
      </w:r>
      <w:proofErr w:type="spellStart"/>
      <w:r>
        <w:rPr>
          <w:lang w:val="es-ES"/>
        </w:rPr>
        <w:t>Sodena</w:t>
      </w:r>
      <w:proofErr w:type="spellEnd"/>
    </w:p>
    <w:p w:rsidR="00D20D29" w:rsidRPr="00FA5D62" w:rsidRDefault="00D20D29" w:rsidP="00926B02">
      <w:pPr>
        <w:pStyle w:val="texto"/>
        <w:spacing w:after="260"/>
        <w:rPr>
          <w:lang w:val="es-ES"/>
        </w:rPr>
      </w:pPr>
      <w:r w:rsidRPr="00FA5D62">
        <w:rPr>
          <w:lang w:val="es-ES"/>
        </w:rPr>
        <w:t xml:space="preserve">A 31 de diciembre de 2007, la composición y propietarios del capital de </w:t>
      </w:r>
      <w:proofErr w:type="spellStart"/>
      <w:r w:rsidRPr="00FA5D62">
        <w:rPr>
          <w:lang w:val="es-ES"/>
        </w:rPr>
        <w:t>S</w:t>
      </w:r>
      <w:r w:rsidRPr="00FA5D62">
        <w:rPr>
          <w:lang w:val="es-ES"/>
        </w:rPr>
        <w:t>o</w:t>
      </w:r>
      <w:r w:rsidRPr="00FA5D62">
        <w:rPr>
          <w:lang w:val="es-ES"/>
        </w:rPr>
        <w:t>dena</w:t>
      </w:r>
      <w:proofErr w:type="spellEnd"/>
      <w:r w:rsidRPr="00FA5D62">
        <w:rPr>
          <w:lang w:val="es-ES"/>
        </w:rPr>
        <w:t xml:space="preserve"> era la siguiente:</w:t>
      </w:r>
    </w:p>
    <w:tbl>
      <w:tblPr>
        <w:tblW w:w="0" w:type="auto"/>
        <w:jc w:val="center"/>
        <w:tblLayout w:type="fixed"/>
        <w:tblCellMar>
          <w:left w:w="70" w:type="dxa"/>
          <w:right w:w="70" w:type="dxa"/>
        </w:tblCellMar>
        <w:tblLook w:val="04A0" w:firstRow="1" w:lastRow="0" w:firstColumn="1" w:lastColumn="0" w:noHBand="0" w:noVBand="1"/>
      </w:tblPr>
      <w:tblGrid>
        <w:gridCol w:w="3230"/>
        <w:gridCol w:w="5610"/>
      </w:tblGrid>
      <w:tr w:rsidR="00D20D29" w:rsidTr="00AF632F">
        <w:trPr>
          <w:trHeight w:val="312"/>
          <w:jc w:val="center"/>
        </w:trPr>
        <w:tc>
          <w:tcPr>
            <w:tcW w:w="3230" w:type="dxa"/>
            <w:tcBorders>
              <w:top w:val="single" w:sz="4" w:space="0" w:color="auto"/>
              <w:left w:val="nil"/>
              <w:bottom w:val="single" w:sz="4" w:space="0" w:color="auto"/>
              <w:right w:val="nil"/>
            </w:tcBorders>
            <w:shd w:val="clear" w:color="auto" w:fill="8DB3E2" w:themeFill="text2" w:themeFillTint="66"/>
            <w:vAlign w:val="center"/>
            <w:hideMark/>
          </w:tcPr>
          <w:p w:rsidR="00D20D29" w:rsidRDefault="00D20D29">
            <w:pPr>
              <w:pStyle w:val="cuadroCabe"/>
              <w:jc w:val="left"/>
            </w:pPr>
            <w:r>
              <w:t>Capital</w:t>
            </w:r>
          </w:p>
        </w:tc>
        <w:tc>
          <w:tcPr>
            <w:tcW w:w="5610" w:type="dxa"/>
            <w:tcBorders>
              <w:top w:val="single" w:sz="4" w:space="0" w:color="auto"/>
              <w:left w:val="nil"/>
              <w:bottom w:val="single" w:sz="4" w:space="0" w:color="auto"/>
              <w:right w:val="nil"/>
            </w:tcBorders>
            <w:shd w:val="clear" w:color="auto" w:fill="8DB3E2" w:themeFill="text2" w:themeFillTint="66"/>
            <w:noWrap/>
            <w:vAlign w:val="center"/>
            <w:hideMark/>
          </w:tcPr>
          <w:p w:rsidR="00D20D29" w:rsidRDefault="00D20D29">
            <w:pPr>
              <w:pStyle w:val="cuadroCabe"/>
              <w:jc w:val="right"/>
            </w:pPr>
            <w:r>
              <w:t>2007</w:t>
            </w:r>
          </w:p>
        </w:tc>
      </w:tr>
      <w:tr w:rsidR="00D20D29" w:rsidTr="00AF632F">
        <w:trPr>
          <w:trHeight w:val="260"/>
          <w:jc w:val="center"/>
        </w:trPr>
        <w:tc>
          <w:tcPr>
            <w:tcW w:w="3230" w:type="dxa"/>
            <w:tcBorders>
              <w:top w:val="single" w:sz="4" w:space="0" w:color="auto"/>
              <w:left w:val="nil"/>
              <w:bottom w:val="single" w:sz="2" w:space="0" w:color="auto"/>
              <w:right w:val="nil"/>
            </w:tcBorders>
            <w:vAlign w:val="center"/>
            <w:hideMark/>
          </w:tcPr>
          <w:p w:rsidR="00D20D29" w:rsidRDefault="00D20D29">
            <w:pPr>
              <w:pStyle w:val="cuatexto"/>
              <w:jc w:val="left"/>
            </w:pPr>
            <w:r>
              <w:t>Gobierno Navarra</w:t>
            </w:r>
          </w:p>
        </w:tc>
        <w:tc>
          <w:tcPr>
            <w:tcW w:w="5610" w:type="dxa"/>
            <w:tcBorders>
              <w:top w:val="single" w:sz="4" w:space="0" w:color="auto"/>
              <w:left w:val="nil"/>
              <w:bottom w:val="single" w:sz="2" w:space="0" w:color="auto"/>
              <w:right w:val="nil"/>
            </w:tcBorders>
            <w:noWrap/>
            <w:vAlign w:val="center"/>
            <w:hideMark/>
          </w:tcPr>
          <w:p w:rsidR="00D20D29" w:rsidRDefault="00D20D29">
            <w:pPr>
              <w:pStyle w:val="cuatexto"/>
              <w:jc w:val="right"/>
            </w:pPr>
            <w:r>
              <w:t>65,42%</w:t>
            </w:r>
          </w:p>
        </w:tc>
      </w:tr>
      <w:tr w:rsidR="00D20D29" w:rsidTr="00AF632F">
        <w:trPr>
          <w:trHeight w:val="260"/>
          <w:jc w:val="center"/>
        </w:trPr>
        <w:tc>
          <w:tcPr>
            <w:tcW w:w="3230" w:type="dxa"/>
            <w:tcBorders>
              <w:top w:val="single" w:sz="2" w:space="0" w:color="auto"/>
              <w:left w:val="nil"/>
              <w:bottom w:val="single" w:sz="2" w:space="0" w:color="auto"/>
              <w:right w:val="nil"/>
            </w:tcBorders>
            <w:vAlign w:val="center"/>
            <w:hideMark/>
          </w:tcPr>
          <w:p w:rsidR="00D20D29" w:rsidRDefault="00D20D29">
            <w:pPr>
              <w:pStyle w:val="cuatexto"/>
              <w:jc w:val="left"/>
            </w:pPr>
            <w:r>
              <w:t xml:space="preserve">TME 2001 </w:t>
            </w:r>
            <w:proofErr w:type="spellStart"/>
            <w:r>
              <w:t>Corpcan</w:t>
            </w:r>
            <w:proofErr w:type="spellEnd"/>
            <w:r>
              <w:t xml:space="preserve"> SL (1)</w:t>
            </w:r>
          </w:p>
        </w:tc>
        <w:tc>
          <w:tcPr>
            <w:tcW w:w="5610" w:type="dxa"/>
            <w:tcBorders>
              <w:top w:val="single" w:sz="2" w:space="0" w:color="auto"/>
              <w:left w:val="nil"/>
              <w:bottom w:val="single" w:sz="2" w:space="0" w:color="auto"/>
              <w:right w:val="nil"/>
            </w:tcBorders>
            <w:noWrap/>
            <w:vAlign w:val="center"/>
            <w:hideMark/>
          </w:tcPr>
          <w:p w:rsidR="00D20D29" w:rsidRDefault="00D20D29">
            <w:pPr>
              <w:pStyle w:val="cuatexto"/>
              <w:jc w:val="right"/>
            </w:pPr>
            <w:r>
              <w:t>20%</w:t>
            </w:r>
          </w:p>
        </w:tc>
      </w:tr>
      <w:tr w:rsidR="00D20D29" w:rsidTr="00AF632F">
        <w:trPr>
          <w:trHeight w:val="260"/>
          <w:jc w:val="center"/>
        </w:trPr>
        <w:tc>
          <w:tcPr>
            <w:tcW w:w="3230" w:type="dxa"/>
            <w:tcBorders>
              <w:top w:val="single" w:sz="2" w:space="0" w:color="auto"/>
              <w:left w:val="nil"/>
              <w:bottom w:val="single" w:sz="2" w:space="0" w:color="auto"/>
              <w:right w:val="nil"/>
            </w:tcBorders>
            <w:vAlign w:val="center"/>
            <w:hideMark/>
          </w:tcPr>
          <w:p w:rsidR="00D20D29" w:rsidRDefault="00D20D29">
            <w:pPr>
              <w:pStyle w:val="cuatexto"/>
              <w:jc w:val="left"/>
            </w:pPr>
            <w:proofErr w:type="spellStart"/>
            <w:r>
              <w:t>Nafinco</w:t>
            </w:r>
            <w:proofErr w:type="spellEnd"/>
            <w:r>
              <w:t xml:space="preserve"> SA</w:t>
            </w:r>
          </w:p>
        </w:tc>
        <w:tc>
          <w:tcPr>
            <w:tcW w:w="5610" w:type="dxa"/>
            <w:tcBorders>
              <w:top w:val="single" w:sz="2" w:space="0" w:color="auto"/>
              <w:left w:val="nil"/>
              <w:bottom w:val="single" w:sz="2" w:space="0" w:color="auto"/>
              <w:right w:val="nil"/>
            </w:tcBorders>
            <w:noWrap/>
            <w:vAlign w:val="center"/>
            <w:hideMark/>
          </w:tcPr>
          <w:p w:rsidR="00D20D29" w:rsidRDefault="00D20D29">
            <w:pPr>
              <w:pStyle w:val="cuatexto"/>
              <w:jc w:val="right"/>
            </w:pPr>
            <w:r>
              <w:t>14,58%</w:t>
            </w:r>
          </w:p>
        </w:tc>
      </w:tr>
      <w:tr w:rsidR="00D20D29" w:rsidTr="00AF632F">
        <w:trPr>
          <w:trHeight w:val="260"/>
          <w:jc w:val="center"/>
        </w:trPr>
        <w:tc>
          <w:tcPr>
            <w:tcW w:w="3230" w:type="dxa"/>
            <w:tcBorders>
              <w:top w:val="single" w:sz="2" w:space="0" w:color="auto"/>
              <w:left w:val="nil"/>
              <w:bottom w:val="single" w:sz="2" w:space="0" w:color="auto"/>
              <w:right w:val="nil"/>
            </w:tcBorders>
            <w:vAlign w:val="center"/>
            <w:hideMark/>
          </w:tcPr>
          <w:p w:rsidR="00D20D29" w:rsidRDefault="00D20D29">
            <w:pPr>
              <w:pStyle w:val="cuatexto"/>
              <w:jc w:val="left"/>
            </w:pPr>
            <w:r>
              <w:t>Total capital</w:t>
            </w:r>
          </w:p>
        </w:tc>
        <w:tc>
          <w:tcPr>
            <w:tcW w:w="5610" w:type="dxa"/>
            <w:tcBorders>
              <w:top w:val="single" w:sz="2" w:space="0" w:color="auto"/>
              <w:left w:val="nil"/>
              <w:bottom w:val="single" w:sz="2" w:space="0" w:color="auto"/>
              <w:right w:val="nil"/>
            </w:tcBorders>
            <w:noWrap/>
            <w:vAlign w:val="center"/>
            <w:hideMark/>
          </w:tcPr>
          <w:p w:rsidR="00D20D29" w:rsidRDefault="00D20D29">
            <w:pPr>
              <w:pStyle w:val="cuatexto"/>
              <w:jc w:val="right"/>
            </w:pPr>
            <w:r>
              <w:t>18.223.522</w:t>
            </w:r>
          </w:p>
        </w:tc>
      </w:tr>
      <w:tr w:rsidR="00D20D29" w:rsidTr="00AF632F">
        <w:trPr>
          <w:trHeight w:val="260"/>
          <w:jc w:val="center"/>
        </w:trPr>
        <w:tc>
          <w:tcPr>
            <w:tcW w:w="3230" w:type="dxa"/>
            <w:tcBorders>
              <w:top w:val="single" w:sz="2" w:space="0" w:color="auto"/>
              <w:left w:val="nil"/>
              <w:bottom w:val="single" w:sz="2" w:space="0" w:color="auto"/>
              <w:right w:val="nil"/>
            </w:tcBorders>
            <w:vAlign w:val="center"/>
            <w:hideMark/>
          </w:tcPr>
          <w:p w:rsidR="00D20D29" w:rsidRDefault="00D20D29">
            <w:pPr>
              <w:pStyle w:val="cuatexto"/>
              <w:jc w:val="left"/>
            </w:pPr>
            <w:r>
              <w:t>Número acciones</w:t>
            </w:r>
          </w:p>
        </w:tc>
        <w:tc>
          <w:tcPr>
            <w:tcW w:w="5610" w:type="dxa"/>
            <w:tcBorders>
              <w:top w:val="single" w:sz="2" w:space="0" w:color="auto"/>
              <w:left w:val="nil"/>
              <w:bottom w:val="single" w:sz="2" w:space="0" w:color="auto"/>
              <w:right w:val="nil"/>
            </w:tcBorders>
            <w:noWrap/>
            <w:vAlign w:val="center"/>
            <w:hideMark/>
          </w:tcPr>
          <w:p w:rsidR="00D20D29" w:rsidRDefault="00D20D29">
            <w:pPr>
              <w:pStyle w:val="cuatexto"/>
              <w:jc w:val="right"/>
            </w:pPr>
            <w:r>
              <w:t>303.220</w:t>
            </w:r>
          </w:p>
        </w:tc>
      </w:tr>
      <w:tr w:rsidR="00D20D29" w:rsidTr="00AF632F">
        <w:trPr>
          <w:trHeight w:val="260"/>
          <w:jc w:val="center"/>
        </w:trPr>
        <w:tc>
          <w:tcPr>
            <w:tcW w:w="3230" w:type="dxa"/>
            <w:tcBorders>
              <w:top w:val="single" w:sz="2" w:space="0" w:color="auto"/>
              <w:left w:val="nil"/>
              <w:bottom w:val="single" w:sz="4" w:space="0" w:color="auto"/>
              <w:right w:val="nil"/>
            </w:tcBorders>
            <w:vAlign w:val="center"/>
            <w:hideMark/>
          </w:tcPr>
          <w:p w:rsidR="00D20D29" w:rsidRDefault="00D20D29">
            <w:pPr>
              <w:pStyle w:val="cuatexto"/>
              <w:jc w:val="left"/>
            </w:pPr>
            <w:r>
              <w:t>Valor nominal</w:t>
            </w:r>
          </w:p>
        </w:tc>
        <w:tc>
          <w:tcPr>
            <w:tcW w:w="5610" w:type="dxa"/>
            <w:tcBorders>
              <w:top w:val="single" w:sz="2" w:space="0" w:color="auto"/>
              <w:left w:val="nil"/>
              <w:bottom w:val="single" w:sz="4" w:space="0" w:color="auto"/>
              <w:right w:val="nil"/>
            </w:tcBorders>
            <w:noWrap/>
            <w:vAlign w:val="center"/>
            <w:hideMark/>
          </w:tcPr>
          <w:p w:rsidR="00D20D29" w:rsidRDefault="00D20D29">
            <w:pPr>
              <w:pStyle w:val="cuatexto"/>
              <w:jc w:val="right"/>
            </w:pPr>
            <w:r>
              <w:t>60,1</w:t>
            </w:r>
          </w:p>
        </w:tc>
      </w:tr>
    </w:tbl>
    <w:p w:rsidR="00D20D29" w:rsidRPr="00926B02" w:rsidRDefault="00D20D29" w:rsidP="00926B02">
      <w:pPr>
        <w:pStyle w:val="texto"/>
        <w:tabs>
          <w:tab w:val="left" w:pos="480"/>
          <w:tab w:val="num" w:pos="1361"/>
          <w:tab w:val="num" w:pos="1920"/>
          <w:tab w:val="num" w:pos="1948"/>
        </w:tabs>
        <w:spacing w:before="160" w:after="260"/>
        <w:ind w:left="45" w:firstLine="0"/>
        <w:rPr>
          <w:rFonts w:ascii="Arial Narrow" w:hAnsi="Arial Narrow"/>
          <w:sz w:val="19"/>
          <w:szCs w:val="19"/>
        </w:rPr>
      </w:pPr>
      <w:r w:rsidRPr="00926B02">
        <w:rPr>
          <w:rFonts w:ascii="Arial Narrow" w:hAnsi="Arial Narrow"/>
          <w:sz w:val="19"/>
          <w:szCs w:val="19"/>
        </w:rPr>
        <w:t>(1) Su único accionista era el Grupo Corporativo Empresarial de Caja de Ahorros y Monte de Piedad de Navarra</w:t>
      </w:r>
    </w:p>
    <w:p w:rsidR="006944BB" w:rsidRPr="00E81B25" w:rsidRDefault="00540AA4" w:rsidP="00F7545E">
      <w:pPr>
        <w:pStyle w:val="texto"/>
        <w:rPr>
          <w:lang w:val="es-ES"/>
        </w:rPr>
      </w:pPr>
      <w:r>
        <w:t xml:space="preserve">Con objeto de la </w:t>
      </w:r>
      <w:r w:rsidR="0068362F">
        <w:t>reducción de la participación del 20 al 2,44 por ciento</w:t>
      </w:r>
      <w:r>
        <w:t xml:space="preserve"> de TME 2001 </w:t>
      </w:r>
      <w:proofErr w:type="spellStart"/>
      <w:r>
        <w:t>Corpcan</w:t>
      </w:r>
      <w:proofErr w:type="spellEnd"/>
      <w:r>
        <w:t xml:space="preserve"> SL </w:t>
      </w:r>
      <w:r w:rsidR="0068362F">
        <w:t xml:space="preserve">en el capital </w:t>
      </w:r>
      <w:r>
        <w:t xml:space="preserve">de </w:t>
      </w:r>
      <w:proofErr w:type="spellStart"/>
      <w:r>
        <w:t>Sodena</w:t>
      </w:r>
      <w:proofErr w:type="spellEnd"/>
      <w:r>
        <w:t>, e</w:t>
      </w:r>
      <w:r w:rsidR="006944BB" w:rsidRPr="00E81B25">
        <w:rPr>
          <w:lang w:val="es-ES"/>
        </w:rPr>
        <w:t xml:space="preserve">l 12 de marzo de 2008 </w:t>
      </w:r>
      <w:proofErr w:type="spellStart"/>
      <w:r w:rsidR="006944BB" w:rsidRPr="00E81B25">
        <w:rPr>
          <w:lang w:val="es-ES"/>
        </w:rPr>
        <w:t>Sodena</w:t>
      </w:r>
      <w:proofErr w:type="spellEnd"/>
      <w:r w:rsidR="006944BB" w:rsidRPr="00E81B25">
        <w:rPr>
          <w:lang w:val="es-ES"/>
        </w:rPr>
        <w:t xml:space="preserve"> redujo su capital social y entregó </w:t>
      </w:r>
      <w:r>
        <w:rPr>
          <w:lang w:val="es-ES"/>
        </w:rPr>
        <w:t xml:space="preserve">al citado </w:t>
      </w:r>
      <w:r w:rsidR="006944BB" w:rsidRPr="00E81B25">
        <w:rPr>
          <w:lang w:val="es-ES"/>
        </w:rPr>
        <w:t xml:space="preserve">accionista 7.212.394 acciones de Iberdrola a un precio de cotización de 10,04 euros y una deuda de 20.636.460 </w:t>
      </w:r>
      <w:r w:rsidR="006944BB" w:rsidRPr="00E81B25">
        <w:rPr>
          <w:lang w:val="es-ES"/>
        </w:rPr>
        <w:lastRenderedPageBreak/>
        <w:t xml:space="preserve">euros asociada </w:t>
      </w:r>
      <w:r w:rsidR="009D7440">
        <w:rPr>
          <w:lang w:val="es-ES"/>
        </w:rPr>
        <w:t>a</w:t>
      </w:r>
      <w:r w:rsidR="006944BB" w:rsidRPr="00E81B25">
        <w:rPr>
          <w:lang w:val="es-ES"/>
        </w:rPr>
        <w:t xml:space="preserve"> </w:t>
      </w:r>
      <w:r w:rsidR="009D7440">
        <w:rPr>
          <w:lang w:val="es-ES"/>
        </w:rPr>
        <w:t>l</w:t>
      </w:r>
      <w:r w:rsidR="006944BB" w:rsidRPr="00E81B25">
        <w:rPr>
          <w:lang w:val="es-ES"/>
        </w:rPr>
        <w:t>as acciones.</w:t>
      </w:r>
      <w:r w:rsidR="009D7440">
        <w:rPr>
          <w:lang w:val="es-ES"/>
        </w:rPr>
        <w:t xml:space="preserve"> La deuda se calculó aplicando al crédito de 90</w:t>
      </w:r>
      <w:r w:rsidR="00AC160A">
        <w:rPr>
          <w:lang w:val="es-ES"/>
        </w:rPr>
        <w:t>.956.308 euros</w:t>
      </w:r>
      <w:r w:rsidR="009D7440">
        <w:rPr>
          <w:lang w:val="es-ES"/>
        </w:rPr>
        <w:t xml:space="preserve"> dispuesto para financiar la </w:t>
      </w:r>
      <w:r w:rsidR="00FA5D62">
        <w:rPr>
          <w:lang w:val="es-ES"/>
        </w:rPr>
        <w:t xml:space="preserve">liquidación de la </w:t>
      </w:r>
      <w:r w:rsidR="009D7440">
        <w:rPr>
          <w:lang w:val="es-ES"/>
        </w:rPr>
        <w:t xml:space="preserve">operación de </w:t>
      </w:r>
      <w:r w:rsidR="00ED31E9">
        <w:rPr>
          <w:lang w:val="es-ES"/>
        </w:rPr>
        <w:t>c</w:t>
      </w:r>
      <w:r w:rsidR="00ED31E9">
        <w:rPr>
          <w:lang w:val="es-ES"/>
        </w:rPr>
        <w:t>o</w:t>
      </w:r>
      <w:r w:rsidR="00ED31E9">
        <w:rPr>
          <w:lang w:val="es-ES"/>
        </w:rPr>
        <w:t>bertura</w:t>
      </w:r>
      <w:r w:rsidR="009D7440">
        <w:rPr>
          <w:lang w:val="es-ES"/>
        </w:rPr>
        <w:t xml:space="preserve"> de las acciones, el porcentaje de participación de la entidad financiera en el capital de </w:t>
      </w:r>
      <w:proofErr w:type="spellStart"/>
      <w:r w:rsidR="009D7440">
        <w:rPr>
          <w:lang w:val="es-ES"/>
        </w:rPr>
        <w:t>Sodena</w:t>
      </w:r>
      <w:proofErr w:type="spellEnd"/>
      <w:r w:rsidR="009D7440">
        <w:rPr>
          <w:lang w:val="es-ES"/>
        </w:rPr>
        <w:t xml:space="preserve">, cuantía a la que se añadieron los intereses devengados y el dividendo implícito no cobrado hasta la fecha de reducción del capital. </w:t>
      </w:r>
    </w:p>
    <w:p w:rsidR="006944BB" w:rsidRPr="00E81B25" w:rsidRDefault="006944BB" w:rsidP="00F7545E">
      <w:pPr>
        <w:pStyle w:val="texto"/>
        <w:rPr>
          <w:lang w:val="es-ES"/>
        </w:rPr>
      </w:pPr>
      <w:r w:rsidRPr="00E81B25">
        <w:rPr>
          <w:lang w:val="es-ES"/>
        </w:rPr>
        <w:t xml:space="preserve">El capital de </w:t>
      </w:r>
      <w:proofErr w:type="spellStart"/>
      <w:r w:rsidRPr="00E81B25">
        <w:rPr>
          <w:lang w:val="es-ES"/>
        </w:rPr>
        <w:t>Sodena</w:t>
      </w:r>
      <w:proofErr w:type="spellEnd"/>
      <w:r w:rsidRPr="00E81B25">
        <w:rPr>
          <w:lang w:val="es-ES"/>
        </w:rPr>
        <w:t xml:space="preserve"> se redujo en 3</w:t>
      </w:r>
      <w:r w:rsidR="0091307C">
        <w:rPr>
          <w:lang w:val="es-ES"/>
        </w:rPr>
        <w:t>,28 millones de euros</w:t>
      </w:r>
      <w:r w:rsidRPr="00E81B25">
        <w:rPr>
          <w:lang w:val="es-ES"/>
        </w:rPr>
        <w:t>, de 18</w:t>
      </w:r>
      <w:r w:rsidR="0091307C">
        <w:rPr>
          <w:lang w:val="es-ES"/>
        </w:rPr>
        <w:t>,</w:t>
      </w:r>
      <w:r w:rsidRPr="00E81B25">
        <w:rPr>
          <w:lang w:val="es-ES"/>
        </w:rPr>
        <w:t>22</w:t>
      </w:r>
      <w:r w:rsidR="0091307C">
        <w:rPr>
          <w:lang w:val="es-ES"/>
        </w:rPr>
        <w:t xml:space="preserve"> millones</w:t>
      </w:r>
      <w:r w:rsidRPr="00E81B25">
        <w:rPr>
          <w:lang w:val="es-ES"/>
        </w:rPr>
        <w:t xml:space="preserve"> a 14</w:t>
      </w:r>
      <w:r w:rsidR="0091307C">
        <w:rPr>
          <w:lang w:val="es-ES"/>
        </w:rPr>
        <w:t>,94 millones de</w:t>
      </w:r>
      <w:r w:rsidRPr="00E81B25">
        <w:rPr>
          <w:lang w:val="es-ES"/>
        </w:rPr>
        <w:t xml:space="preserve"> euros, y la entrega de las acciones se realizó con cargo a r</w:t>
      </w:r>
      <w:r w:rsidRPr="00E81B25">
        <w:rPr>
          <w:lang w:val="es-ES"/>
        </w:rPr>
        <w:t>e</w:t>
      </w:r>
      <w:r w:rsidRPr="00E81B25">
        <w:rPr>
          <w:lang w:val="es-ES"/>
        </w:rPr>
        <w:t xml:space="preserve">servas </w:t>
      </w:r>
      <w:r w:rsidR="00FA5D62">
        <w:rPr>
          <w:lang w:val="es-ES"/>
        </w:rPr>
        <w:t xml:space="preserve">de la sociedad pública </w:t>
      </w:r>
      <w:r w:rsidRPr="00E81B25">
        <w:rPr>
          <w:lang w:val="es-ES"/>
        </w:rPr>
        <w:t xml:space="preserve">que disminuyeron </w:t>
      </w:r>
      <w:r w:rsidR="00540AA4">
        <w:rPr>
          <w:lang w:val="es-ES"/>
        </w:rPr>
        <w:t xml:space="preserve">en 28,99 millones, </w:t>
      </w:r>
      <w:r w:rsidRPr="00E81B25">
        <w:rPr>
          <w:lang w:val="es-ES"/>
        </w:rPr>
        <w:t>de 190,06 millones a 161,</w:t>
      </w:r>
      <w:r w:rsidR="00540AA4">
        <w:rPr>
          <w:lang w:val="es-ES"/>
        </w:rPr>
        <w:t>07</w:t>
      </w:r>
      <w:r w:rsidRPr="00E81B25">
        <w:rPr>
          <w:lang w:val="es-ES"/>
        </w:rPr>
        <w:t xml:space="preserve"> millones de euros.</w:t>
      </w:r>
    </w:p>
    <w:p w:rsidR="006944BB" w:rsidRPr="00E81B25" w:rsidRDefault="006944BB" w:rsidP="00F7545E">
      <w:pPr>
        <w:pStyle w:val="texto"/>
        <w:rPr>
          <w:lang w:val="es-ES"/>
        </w:rPr>
      </w:pPr>
      <w:r w:rsidRPr="00E81B25">
        <w:rPr>
          <w:lang w:val="es-ES"/>
        </w:rPr>
        <w:t xml:space="preserve">Por tanto, a partir del 12 de marzo de 2008, </w:t>
      </w:r>
      <w:proofErr w:type="spellStart"/>
      <w:r w:rsidRPr="00E81B25">
        <w:rPr>
          <w:lang w:val="es-ES"/>
        </w:rPr>
        <w:t>Sodena</w:t>
      </w:r>
      <w:proofErr w:type="spellEnd"/>
      <w:r w:rsidRPr="00E81B25">
        <w:rPr>
          <w:lang w:val="es-ES"/>
        </w:rPr>
        <w:t xml:space="preserve"> era propietaria de 28.849.574 acciones de Iberdrola.</w:t>
      </w:r>
    </w:p>
    <w:p w:rsidR="006944BB" w:rsidRPr="00E81B25" w:rsidRDefault="006944BB" w:rsidP="00926B02">
      <w:pPr>
        <w:pStyle w:val="texto"/>
        <w:spacing w:after="260"/>
        <w:rPr>
          <w:lang w:val="es-ES"/>
        </w:rPr>
      </w:pPr>
      <w:bookmarkStart w:id="14" w:name="_Toc433028630"/>
      <w:r w:rsidRPr="00E81B25">
        <w:rPr>
          <w:lang w:val="es-ES"/>
        </w:rPr>
        <w:t>En el cuadro siguiente se recoge la evolución del precio de las acciones al cierre de cada ejercicio.</w:t>
      </w:r>
    </w:p>
    <w:tbl>
      <w:tblPr>
        <w:tblW w:w="8903" w:type="dxa"/>
        <w:jc w:val="center"/>
        <w:tblLayout w:type="fixed"/>
        <w:tblCellMar>
          <w:left w:w="70" w:type="dxa"/>
          <w:right w:w="70" w:type="dxa"/>
        </w:tblCellMar>
        <w:tblLook w:val="04A0" w:firstRow="1" w:lastRow="0" w:firstColumn="1" w:lastColumn="0" w:noHBand="0" w:noVBand="1"/>
      </w:tblPr>
      <w:tblGrid>
        <w:gridCol w:w="1089"/>
        <w:gridCol w:w="1067"/>
        <w:gridCol w:w="1128"/>
        <w:gridCol w:w="1026"/>
        <w:gridCol w:w="1164"/>
        <w:gridCol w:w="1189"/>
        <w:gridCol w:w="1232"/>
        <w:gridCol w:w="1008"/>
      </w:tblGrid>
      <w:tr w:rsidR="00B30C77" w:rsidRPr="00F02536" w:rsidTr="00C96355">
        <w:trPr>
          <w:trHeight w:val="255"/>
          <w:jc w:val="center"/>
        </w:trPr>
        <w:tc>
          <w:tcPr>
            <w:tcW w:w="1089" w:type="dxa"/>
            <w:tcBorders>
              <w:top w:val="single" w:sz="4" w:space="0" w:color="auto"/>
              <w:left w:val="nil"/>
              <w:bottom w:val="single" w:sz="4" w:space="0" w:color="auto"/>
              <w:right w:val="nil"/>
            </w:tcBorders>
            <w:shd w:val="clear" w:color="auto" w:fill="8DB3E2" w:themeFill="text2" w:themeFillTint="66"/>
            <w:vAlign w:val="center"/>
          </w:tcPr>
          <w:p w:rsidR="00B30C77" w:rsidRPr="00F02536" w:rsidRDefault="00B30C77" w:rsidP="00F02536">
            <w:pPr>
              <w:pStyle w:val="cuadroCabe"/>
              <w:jc w:val="left"/>
              <w:rPr>
                <w:rFonts w:cs="Arial"/>
                <w:sz w:val="16"/>
                <w:szCs w:val="16"/>
              </w:rPr>
            </w:pPr>
            <w:r>
              <w:rPr>
                <w:rFonts w:cs="Arial"/>
                <w:sz w:val="16"/>
                <w:szCs w:val="16"/>
              </w:rPr>
              <w:t>Año</w:t>
            </w:r>
          </w:p>
        </w:tc>
        <w:tc>
          <w:tcPr>
            <w:tcW w:w="1067" w:type="dxa"/>
            <w:tcBorders>
              <w:top w:val="single" w:sz="4" w:space="0" w:color="auto"/>
              <w:left w:val="nil"/>
              <w:bottom w:val="single" w:sz="4" w:space="0" w:color="auto"/>
              <w:right w:val="nil"/>
            </w:tcBorders>
            <w:shd w:val="clear" w:color="auto" w:fill="8DB3E2" w:themeFill="text2" w:themeFillTint="66"/>
            <w:vAlign w:val="center"/>
          </w:tcPr>
          <w:p w:rsidR="00B30C77" w:rsidRDefault="00B30C77" w:rsidP="00B30C77">
            <w:pPr>
              <w:pStyle w:val="cuadroCabe"/>
              <w:jc w:val="right"/>
              <w:rPr>
                <w:rFonts w:cs="Arial"/>
                <w:sz w:val="16"/>
                <w:szCs w:val="16"/>
              </w:rPr>
            </w:pPr>
            <w:r>
              <w:rPr>
                <w:rFonts w:cs="Arial"/>
                <w:sz w:val="16"/>
                <w:szCs w:val="16"/>
              </w:rPr>
              <w:t>Nº</w:t>
            </w:r>
          </w:p>
          <w:p w:rsidR="00B30C77" w:rsidRPr="00F02536" w:rsidRDefault="00B30C77" w:rsidP="00B30C77">
            <w:pPr>
              <w:pStyle w:val="cuadroCabe"/>
              <w:jc w:val="right"/>
              <w:rPr>
                <w:rFonts w:cs="Arial"/>
                <w:sz w:val="16"/>
                <w:szCs w:val="16"/>
              </w:rPr>
            </w:pPr>
            <w:r>
              <w:rPr>
                <w:rFonts w:cs="Arial"/>
                <w:sz w:val="16"/>
                <w:szCs w:val="16"/>
              </w:rPr>
              <w:t>acciones</w:t>
            </w:r>
          </w:p>
        </w:tc>
        <w:tc>
          <w:tcPr>
            <w:tcW w:w="1128" w:type="dxa"/>
            <w:tcBorders>
              <w:top w:val="single" w:sz="4" w:space="0" w:color="auto"/>
              <w:left w:val="nil"/>
              <w:bottom w:val="single" w:sz="4" w:space="0" w:color="auto"/>
              <w:right w:val="nil"/>
            </w:tcBorders>
            <w:shd w:val="clear" w:color="auto" w:fill="8DB3E2" w:themeFill="text2" w:themeFillTint="66"/>
            <w:vAlign w:val="center"/>
          </w:tcPr>
          <w:p w:rsidR="00B30C77" w:rsidRDefault="00B30C77" w:rsidP="00B30C77">
            <w:pPr>
              <w:pStyle w:val="cuadroCabe"/>
              <w:jc w:val="right"/>
              <w:rPr>
                <w:rFonts w:cs="Arial"/>
                <w:sz w:val="16"/>
                <w:szCs w:val="16"/>
              </w:rPr>
            </w:pPr>
            <w:r>
              <w:rPr>
                <w:rFonts w:cs="Arial"/>
                <w:sz w:val="16"/>
                <w:szCs w:val="16"/>
              </w:rPr>
              <w:t>Coste total</w:t>
            </w:r>
          </w:p>
          <w:p w:rsidR="00B30C77" w:rsidRPr="00F02536" w:rsidRDefault="00B30C77" w:rsidP="00B30C77">
            <w:pPr>
              <w:pStyle w:val="cuadroCabe"/>
              <w:jc w:val="right"/>
              <w:rPr>
                <w:rFonts w:cs="Arial"/>
                <w:sz w:val="16"/>
                <w:szCs w:val="16"/>
              </w:rPr>
            </w:pPr>
            <w:r>
              <w:rPr>
                <w:rFonts w:cs="Arial"/>
                <w:sz w:val="16"/>
                <w:szCs w:val="16"/>
              </w:rPr>
              <w:t>adquisición</w:t>
            </w:r>
          </w:p>
        </w:tc>
        <w:tc>
          <w:tcPr>
            <w:tcW w:w="1026" w:type="dxa"/>
            <w:tcBorders>
              <w:top w:val="single" w:sz="4" w:space="0" w:color="auto"/>
              <w:left w:val="nil"/>
              <w:bottom w:val="single" w:sz="4" w:space="0" w:color="auto"/>
              <w:right w:val="nil"/>
            </w:tcBorders>
            <w:shd w:val="clear" w:color="auto" w:fill="8DB3E2" w:themeFill="text2" w:themeFillTint="66"/>
            <w:vAlign w:val="center"/>
          </w:tcPr>
          <w:p w:rsidR="00B30C77" w:rsidRPr="00F02536" w:rsidRDefault="00B30C77" w:rsidP="00B30C77">
            <w:pPr>
              <w:pStyle w:val="cuadroCabe"/>
              <w:jc w:val="right"/>
              <w:rPr>
                <w:rFonts w:cs="Arial"/>
                <w:sz w:val="16"/>
                <w:szCs w:val="16"/>
              </w:rPr>
            </w:pPr>
            <w:r>
              <w:rPr>
                <w:rFonts w:cs="Arial"/>
                <w:sz w:val="16"/>
                <w:szCs w:val="16"/>
              </w:rPr>
              <w:t>Seguro</w:t>
            </w:r>
          </w:p>
        </w:tc>
        <w:tc>
          <w:tcPr>
            <w:tcW w:w="1164" w:type="dxa"/>
            <w:tcBorders>
              <w:top w:val="single" w:sz="4" w:space="0" w:color="auto"/>
              <w:left w:val="nil"/>
              <w:bottom w:val="single" w:sz="4" w:space="0" w:color="auto"/>
              <w:right w:val="nil"/>
            </w:tcBorders>
            <w:shd w:val="clear" w:color="auto" w:fill="8DB3E2" w:themeFill="text2" w:themeFillTint="66"/>
            <w:vAlign w:val="center"/>
          </w:tcPr>
          <w:p w:rsidR="00B30C77" w:rsidRPr="00F02536" w:rsidRDefault="00B30C77" w:rsidP="00B30C77">
            <w:pPr>
              <w:pStyle w:val="cuadroCabe"/>
              <w:jc w:val="right"/>
              <w:rPr>
                <w:rFonts w:cs="Arial"/>
                <w:sz w:val="16"/>
                <w:szCs w:val="16"/>
              </w:rPr>
            </w:pPr>
            <w:r>
              <w:rPr>
                <w:rFonts w:cs="Arial"/>
                <w:sz w:val="16"/>
                <w:szCs w:val="16"/>
              </w:rPr>
              <w:t>Coste total</w:t>
            </w:r>
          </w:p>
        </w:tc>
        <w:tc>
          <w:tcPr>
            <w:tcW w:w="1189" w:type="dxa"/>
            <w:tcBorders>
              <w:top w:val="single" w:sz="4" w:space="0" w:color="auto"/>
              <w:left w:val="nil"/>
              <w:bottom w:val="single" w:sz="4" w:space="0" w:color="auto"/>
              <w:right w:val="nil"/>
            </w:tcBorders>
            <w:shd w:val="clear" w:color="auto" w:fill="8DB3E2" w:themeFill="text2" w:themeFillTint="66"/>
            <w:vAlign w:val="center"/>
          </w:tcPr>
          <w:p w:rsidR="00B30C77" w:rsidRDefault="00B30C77" w:rsidP="00B30C77">
            <w:pPr>
              <w:pStyle w:val="cuadroCabe"/>
              <w:jc w:val="right"/>
              <w:rPr>
                <w:rFonts w:cs="Arial"/>
                <w:sz w:val="16"/>
                <w:szCs w:val="16"/>
              </w:rPr>
            </w:pPr>
            <w:r>
              <w:rPr>
                <w:rFonts w:cs="Arial"/>
                <w:sz w:val="16"/>
                <w:szCs w:val="16"/>
              </w:rPr>
              <w:t>Coste total</w:t>
            </w:r>
          </w:p>
          <w:p w:rsidR="00B30C77" w:rsidRPr="00F02536" w:rsidRDefault="00B30C77" w:rsidP="00CD437C">
            <w:pPr>
              <w:pStyle w:val="cuadroCabe"/>
              <w:jc w:val="right"/>
              <w:rPr>
                <w:rFonts w:cs="Arial"/>
                <w:sz w:val="16"/>
                <w:szCs w:val="16"/>
              </w:rPr>
            </w:pPr>
            <w:r>
              <w:rPr>
                <w:rFonts w:cs="Arial"/>
                <w:sz w:val="16"/>
                <w:szCs w:val="16"/>
              </w:rPr>
              <w:t>por acci</w:t>
            </w:r>
            <w:r w:rsidR="00CD437C">
              <w:rPr>
                <w:rFonts w:cs="Arial"/>
                <w:sz w:val="16"/>
                <w:szCs w:val="16"/>
              </w:rPr>
              <w:t>ón</w:t>
            </w:r>
          </w:p>
        </w:tc>
        <w:tc>
          <w:tcPr>
            <w:tcW w:w="1232" w:type="dxa"/>
            <w:tcBorders>
              <w:top w:val="single" w:sz="4" w:space="0" w:color="auto"/>
              <w:left w:val="nil"/>
              <w:bottom w:val="single" w:sz="4" w:space="0" w:color="auto"/>
              <w:right w:val="nil"/>
            </w:tcBorders>
            <w:shd w:val="clear" w:color="auto" w:fill="8DB3E2" w:themeFill="text2" w:themeFillTint="66"/>
            <w:vAlign w:val="center"/>
          </w:tcPr>
          <w:p w:rsidR="00B30C77" w:rsidRPr="00F02536" w:rsidRDefault="00B30C77" w:rsidP="00B30C77">
            <w:pPr>
              <w:pStyle w:val="cuadroCabe"/>
              <w:jc w:val="right"/>
              <w:rPr>
                <w:rFonts w:cs="Arial"/>
                <w:sz w:val="16"/>
                <w:szCs w:val="16"/>
              </w:rPr>
            </w:pPr>
            <w:r>
              <w:rPr>
                <w:rFonts w:cs="Arial"/>
                <w:sz w:val="16"/>
                <w:szCs w:val="16"/>
              </w:rPr>
              <w:t>Precio me</w:t>
            </w:r>
            <w:r>
              <w:rPr>
                <w:rFonts w:cs="Arial"/>
                <w:sz w:val="16"/>
                <w:szCs w:val="16"/>
              </w:rPr>
              <w:t>r</w:t>
            </w:r>
            <w:r>
              <w:rPr>
                <w:rFonts w:cs="Arial"/>
                <w:sz w:val="16"/>
                <w:szCs w:val="16"/>
              </w:rPr>
              <w:t>cado acción</w:t>
            </w:r>
          </w:p>
        </w:tc>
        <w:tc>
          <w:tcPr>
            <w:tcW w:w="1008" w:type="dxa"/>
            <w:tcBorders>
              <w:top w:val="single" w:sz="4" w:space="0" w:color="auto"/>
              <w:left w:val="nil"/>
              <w:bottom w:val="single" w:sz="4" w:space="0" w:color="auto"/>
              <w:right w:val="nil"/>
            </w:tcBorders>
            <w:shd w:val="clear" w:color="auto" w:fill="8DB3E2" w:themeFill="text2" w:themeFillTint="66"/>
            <w:vAlign w:val="center"/>
          </w:tcPr>
          <w:p w:rsidR="00B30C77" w:rsidRPr="00F02536" w:rsidRDefault="00B30C77" w:rsidP="00B30C77">
            <w:pPr>
              <w:pStyle w:val="cuadroCabe"/>
              <w:jc w:val="right"/>
              <w:rPr>
                <w:rFonts w:cs="Arial"/>
                <w:sz w:val="16"/>
                <w:szCs w:val="16"/>
              </w:rPr>
            </w:pPr>
            <w:r>
              <w:rPr>
                <w:rFonts w:cs="Arial"/>
                <w:sz w:val="16"/>
                <w:szCs w:val="16"/>
              </w:rPr>
              <w:t>Deterioro</w:t>
            </w:r>
          </w:p>
        </w:tc>
      </w:tr>
      <w:tr w:rsidR="00B30C77" w:rsidRPr="00F02536" w:rsidTr="00C96355">
        <w:trPr>
          <w:trHeight w:val="255"/>
          <w:jc w:val="center"/>
        </w:trPr>
        <w:tc>
          <w:tcPr>
            <w:tcW w:w="1089" w:type="dxa"/>
            <w:tcBorders>
              <w:top w:val="single" w:sz="4" w:space="0" w:color="auto"/>
              <w:left w:val="nil"/>
              <w:bottom w:val="single" w:sz="2" w:space="0" w:color="auto"/>
              <w:right w:val="nil"/>
            </w:tcBorders>
            <w:shd w:val="clear" w:color="auto" w:fill="auto"/>
            <w:vAlign w:val="center"/>
            <w:hideMark/>
          </w:tcPr>
          <w:p w:rsidR="006944BB" w:rsidRPr="00F02536" w:rsidRDefault="006944BB" w:rsidP="00F02536">
            <w:pPr>
              <w:pStyle w:val="cuatexto"/>
              <w:jc w:val="left"/>
              <w:rPr>
                <w:sz w:val="18"/>
                <w:szCs w:val="18"/>
              </w:rPr>
            </w:pPr>
            <w:r w:rsidRPr="00F02536">
              <w:rPr>
                <w:sz w:val="18"/>
                <w:szCs w:val="18"/>
              </w:rPr>
              <w:t>2005</w:t>
            </w:r>
          </w:p>
        </w:tc>
        <w:tc>
          <w:tcPr>
            <w:tcW w:w="1067" w:type="dxa"/>
            <w:tcBorders>
              <w:top w:val="single" w:sz="4"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9.015.492</w:t>
            </w:r>
          </w:p>
        </w:tc>
        <w:tc>
          <w:tcPr>
            <w:tcW w:w="1128" w:type="dxa"/>
            <w:tcBorders>
              <w:top w:val="single" w:sz="4"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173.556.238</w:t>
            </w:r>
          </w:p>
        </w:tc>
        <w:tc>
          <w:tcPr>
            <w:tcW w:w="1026" w:type="dxa"/>
            <w:tcBorders>
              <w:top w:val="single" w:sz="4"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 </w:t>
            </w:r>
          </w:p>
        </w:tc>
        <w:tc>
          <w:tcPr>
            <w:tcW w:w="1164" w:type="dxa"/>
            <w:tcBorders>
              <w:top w:val="single" w:sz="4"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173.556.238</w:t>
            </w:r>
          </w:p>
        </w:tc>
        <w:tc>
          <w:tcPr>
            <w:tcW w:w="1189" w:type="dxa"/>
            <w:tcBorders>
              <w:top w:val="single" w:sz="4"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19,25</w:t>
            </w:r>
          </w:p>
        </w:tc>
        <w:tc>
          <w:tcPr>
            <w:tcW w:w="1232" w:type="dxa"/>
            <w:tcBorders>
              <w:top w:val="single" w:sz="4"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23,09</w:t>
            </w:r>
          </w:p>
        </w:tc>
        <w:tc>
          <w:tcPr>
            <w:tcW w:w="1008" w:type="dxa"/>
            <w:tcBorders>
              <w:top w:val="single" w:sz="4"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 </w:t>
            </w:r>
          </w:p>
        </w:tc>
      </w:tr>
      <w:tr w:rsidR="00B30C77" w:rsidRPr="00F02536" w:rsidTr="00C96355">
        <w:trPr>
          <w:trHeight w:val="255"/>
          <w:jc w:val="center"/>
        </w:trPr>
        <w:tc>
          <w:tcPr>
            <w:tcW w:w="1089"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F02536">
            <w:pPr>
              <w:pStyle w:val="cuatexto"/>
              <w:jc w:val="left"/>
              <w:rPr>
                <w:sz w:val="18"/>
                <w:szCs w:val="18"/>
              </w:rPr>
            </w:pPr>
            <w:r w:rsidRPr="00F02536">
              <w:rPr>
                <w:sz w:val="18"/>
                <w:szCs w:val="18"/>
              </w:rPr>
              <w:t>2006</w:t>
            </w:r>
          </w:p>
        </w:tc>
        <w:tc>
          <w:tcPr>
            <w:tcW w:w="1067"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9.015.492</w:t>
            </w:r>
          </w:p>
        </w:tc>
        <w:tc>
          <w:tcPr>
            <w:tcW w:w="1128"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173.556.238</w:t>
            </w:r>
          </w:p>
        </w:tc>
        <w:tc>
          <w:tcPr>
            <w:tcW w:w="1026"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 </w:t>
            </w:r>
          </w:p>
        </w:tc>
        <w:tc>
          <w:tcPr>
            <w:tcW w:w="1164"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173.556.238</w:t>
            </w:r>
          </w:p>
        </w:tc>
        <w:tc>
          <w:tcPr>
            <w:tcW w:w="1189"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19.25</w:t>
            </w:r>
          </w:p>
        </w:tc>
        <w:tc>
          <w:tcPr>
            <w:tcW w:w="1232"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33,12</w:t>
            </w:r>
          </w:p>
        </w:tc>
        <w:tc>
          <w:tcPr>
            <w:tcW w:w="1008"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 </w:t>
            </w:r>
          </w:p>
        </w:tc>
      </w:tr>
      <w:tr w:rsidR="00B30C77" w:rsidRPr="00F02536" w:rsidTr="00C96355">
        <w:trPr>
          <w:trHeight w:val="255"/>
          <w:jc w:val="center"/>
        </w:trPr>
        <w:tc>
          <w:tcPr>
            <w:tcW w:w="1089"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F02536">
            <w:pPr>
              <w:pStyle w:val="cuatexto"/>
              <w:jc w:val="left"/>
              <w:rPr>
                <w:sz w:val="18"/>
                <w:szCs w:val="18"/>
              </w:rPr>
            </w:pPr>
            <w:r w:rsidRPr="00F02536">
              <w:rPr>
                <w:sz w:val="18"/>
                <w:szCs w:val="18"/>
              </w:rPr>
              <w:t>2007 (1)</w:t>
            </w:r>
          </w:p>
        </w:tc>
        <w:tc>
          <w:tcPr>
            <w:tcW w:w="1067"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36.061.968</w:t>
            </w:r>
          </w:p>
        </w:tc>
        <w:tc>
          <w:tcPr>
            <w:tcW w:w="1128"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173.556.238</w:t>
            </w:r>
          </w:p>
        </w:tc>
        <w:tc>
          <w:tcPr>
            <w:tcW w:w="1026"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90.956.308</w:t>
            </w:r>
          </w:p>
        </w:tc>
        <w:tc>
          <w:tcPr>
            <w:tcW w:w="1164"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264.512.546</w:t>
            </w:r>
          </w:p>
        </w:tc>
        <w:tc>
          <w:tcPr>
            <w:tcW w:w="1189"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7,33</w:t>
            </w:r>
          </w:p>
        </w:tc>
        <w:tc>
          <w:tcPr>
            <w:tcW w:w="1232"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10,4</w:t>
            </w:r>
          </w:p>
        </w:tc>
        <w:tc>
          <w:tcPr>
            <w:tcW w:w="1008"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 </w:t>
            </w:r>
          </w:p>
        </w:tc>
      </w:tr>
      <w:tr w:rsidR="00B30C77" w:rsidRPr="00F02536" w:rsidTr="00C96355">
        <w:trPr>
          <w:trHeight w:val="255"/>
          <w:jc w:val="center"/>
        </w:trPr>
        <w:tc>
          <w:tcPr>
            <w:tcW w:w="1089"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F02536">
            <w:pPr>
              <w:pStyle w:val="cuatexto"/>
              <w:jc w:val="left"/>
              <w:rPr>
                <w:sz w:val="18"/>
                <w:szCs w:val="18"/>
              </w:rPr>
            </w:pPr>
            <w:r w:rsidRPr="00F02536">
              <w:rPr>
                <w:sz w:val="18"/>
                <w:szCs w:val="18"/>
              </w:rPr>
              <w:t>2008 (2)</w:t>
            </w:r>
          </w:p>
        </w:tc>
        <w:tc>
          <w:tcPr>
            <w:tcW w:w="1067"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28.849.574</w:t>
            </w:r>
          </w:p>
        </w:tc>
        <w:tc>
          <w:tcPr>
            <w:tcW w:w="1128"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138.844.989</w:t>
            </w:r>
          </w:p>
        </w:tc>
        <w:tc>
          <w:tcPr>
            <w:tcW w:w="1026"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-18.191.263</w:t>
            </w:r>
          </w:p>
        </w:tc>
        <w:tc>
          <w:tcPr>
            <w:tcW w:w="1164"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211.610.034</w:t>
            </w:r>
          </w:p>
        </w:tc>
        <w:tc>
          <w:tcPr>
            <w:tcW w:w="1189"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7,33</w:t>
            </w:r>
          </w:p>
        </w:tc>
        <w:tc>
          <w:tcPr>
            <w:tcW w:w="1232"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6.54</w:t>
            </w:r>
          </w:p>
        </w:tc>
        <w:tc>
          <w:tcPr>
            <w:tcW w:w="1008"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22.933.820</w:t>
            </w:r>
          </w:p>
        </w:tc>
      </w:tr>
      <w:tr w:rsidR="00B30C77" w:rsidRPr="00F02536" w:rsidTr="00C96355">
        <w:trPr>
          <w:trHeight w:val="255"/>
          <w:jc w:val="center"/>
        </w:trPr>
        <w:tc>
          <w:tcPr>
            <w:tcW w:w="1089"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F02536">
            <w:pPr>
              <w:pStyle w:val="cuatexto"/>
              <w:jc w:val="left"/>
              <w:rPr>
                <w:sz w:val="18"/>
                <w:szCs w:val="18"/>
              </w:rPr>
            </w:pPr>
            <w:r w:rsidRPr="00F02536">
              <w:rPr>
                <w:sz w:val="18"/>
                <w:szCs w:val="18"/>
              </w:rPr>
              <w:t>2009</w:t>
            </w:r>
          </w:p>
        </w:tc>
        <w:tc>
          <w:tcPr>
            <w:tcW w:w="1067"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28.849.574</w:t>
            </w:r>
          </w:p>
        </w:tc>
        <w:tc>
          <w:tcPr>
            <w:tcW w:w="1128"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138.844.989</w:t>
            </w:r>
          </w:p>
        </w:tc>
        <w:tc>
          <w:tcPr>
            <w:tcW w:w="1026"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 </w:t>
            </w:r>
          </w:p>
        </w:tc>
        <w:tc>
          <w:tcPr>
            <w:tcW w:w="1164"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211.610.034</w:t>
            </w:r>
          </w:p>
        </w:tc>
        <w:tc>
          <w:tcPr>
            <w:tcW w:w="1189"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7,33</w:t>
            </w:r>
          </w:p>
        </w:tc>
        <w:tc>
          <w:tcPr>
            <w:tcW w:w="1232"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6.67</w:t>
            </w:r>
          </w:p>
        </w:tc>
        <w:tc>
          <w:tcPr>
            <w:tcW w:w="1008"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-3.750.445</w:t>
            </w:r>
          </w:p>
        </w:tc>
      </w:tr>
      <w:tr w:rsidR="00B30C77" w:rsidRPr="00F02536" w:rsidTr="00C96355">
        <w:trPr>
          <w:trHeight w:val="255"/>
          <w:jc w:val="center"/>
        </w:trPr>
        <w:tc>
          <w:tcPr>
            <w:tcW w:w="1089"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F02536">
            <w:pPr>
              <w:pStyle w:val="cuatexto"/>
              <w:jc w:val="left"/>
              <w:rPr>
                <w:sz w:val="18"/>
                <w:szCs w:val="18"/>
              </w:rPr>
            </w:pPr>
            <w:r w:rsidRPr="00F02536">
              <w:rPr>
                <w:sz w:val="18"/>
                <w:szCs w:val="18"/>
              </w:rPr>
              <w:t>2010</w:t>
            </w:r>
          </w:p>
        </w:tc>
        <w:tc>
          <w:tcPr>
            <w:tcW w:w="1067"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28.849.574</w:t>
            </w:r>
          </w:p>
        </w:tc>
        <w:tc>
          <w:tcPr>
            <w:tcW w:w="1128"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138.844.989</w:t>
            </w:r>
          </w:p>
        </w:tc>
        <w:tc>
          <w:tcPr>
            <w:tcW w:w="1026"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 </w:t>
            </w:r>
          </w:p>
        </w:tc>
        <w:tc>
          <w:tcPr>
            <w:tcW w:w="1164"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211.610.034</w:t>
            </w:r>
          </w:p>
        </w:tc>
        <w:tc>
          <w:tcPr>
            <w:tcW w:w="1189"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7,33</w:t>
            </w:r>
          </w:p>
        </w:tc>
        <w:tc>
          <w:tcPr>
            <w:tcW w:w="1232"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5.74</w:t>
            </w:r>
          </w:p>
        </w:tc>
        <w:tc>
          <w:tcPr>
            <w:tcW w:w="1008"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26.830.104</w:t>
            </w:r>
          </w:p>
        </w:tc>
      </w:tr>
      <w:tr w:rsidR="00B30C77" w:rsidRPr="00F02536" w:rsidTr="00C96355">
        <w:trPr>
          <w:trHeight w:val="255"/>
          <w:jc w:val="center"/>
        </w:trPr>
        <w:tc>
          <w:tcPr>
            <w:tcW w:w="1089"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F02536">
            <w:pPr>
              <w:pStyle w:val="cuatexto"/>
              <w:jc w:val="left"/>
              <w:rPr>
                <w:sz w:val="18"/>
                <w:szCs w:val="18"/>
              </w:rPr>
            </w:pPr>
            <w:r w:rsidRPr="00F02536">
              <w:rPr>
                <w:sz w:val="18"/>
                <w:szCs w:val="18"/>
              </w:rPr>
              <w:t>2011</w:t>
            </w:r>
          </w:p>
        </w:tc>
        <w:tc>
          <w:tcPr>
            <w:tcW w:w="1067"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28.849.574</w:t>
            </w:r>
          </w:p>
        </w:tc>
        <w:tc>
          <w:tcPr>
            <w:tcW w:w="1128"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138.844.989</w:t>
            </w:r>
          </w:p>
        </w:tc>
        <w:tc>
          <w:tcPr>
            <w:tcW w:w="1026"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 </w:t>
            </w:r>
          </w:p>
        </w:tc>
        <w:tc>
          <w:tcPr>
            <w:tcW w:w="1164"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211.610.034</w:t>
            </w:r>
          </w:p>
        </w:tc>
        <w:tc>
          <w:tcPr>
            <w:tcW w:w="1189"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7,33</w:t>
            </w:r>
          </w:p>
        </w:tc>
        <w:tc>
          <w:tcPr>
            <w:tcW w:w="1232"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4.84</w:t>
            </w:r>
          </w:p>
        </w:tc>
        <w:tc>
          <w:tcPr>
            <w:tcW w:w="1008"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25.993.466</w:t>
            </w:r>
          </w:p>
        </w:tc>
      </w:tr>
      <w:tr w:rsidR="00B30C77" w:rsidRPr="00F02536" w:rsidTr="00C96355">
        <w:trPr>
          <w:trHeight w:val="255"/>
          <w:jc w:val="center"/>
        </w:trPr>
        <w:tc>
          <w:tcPr>
            <w:tcW w:w="1089"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F02536">
            <w:pPr>
              <w:pStyle w:val="cuatexto"/>
              <w:jc w:val="left"/>
              <w:rPr>
                <w:sz w:val="18"/>
                <w:szCs w:val="18"/>
              </w:rPr>
            </w:pPr>
            <w:r w:rsidRPr="00F02536">
              <w:rPr>
                <w:sz w:val="18"/>
                <w:szCs w:val="18"/>
              </w:rPr>
              <w:t>2012</w:t>
            </w:r>
          </w:p>
        </w:tc>
        <w:tc>
          <w:tcPr>
            <w:tcW w:w="1067"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28.849.574</w:t>
            </w:r>
          </w:p>
        </w:tc>
        <w:tc>
          <w:tcPr>
            <w:tcW w:w="1128"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138.844.989</w:t>
            </w:r>
          </w:p>
        </w:tc>
        <w:tc>
          <w:tcPr>
            <w:tcW w:w="1026"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 </w:t>
            </w:r>
          </w:p>
        </w:tc>
        <w:tc>
          <w:tcPr>
            <w:tcW w:w="1164"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211.610.034</w:t>
            </w:r>
          </w:p>
        </w:tc>
        <w:tc>
          <w:tcPr>
            <w:tcW w:w="1189"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7,33</w:t>
            </w:r>
          </w:p>
        </w:tc>
        <w:tc>
          <w:tcPr>
            <w:tcW w:w="1232"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4.20</w:t>
            </w:r>
          </w:p>
        </w:tc>
        <w:tc>
          <w:tcPr>
            <w:tcW w:w="1008"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18.579.126</w:t>
            </w:r>
          </w:p>
        </w:tc>
      </w:tr>
      <w:tr w:rsidR="00B30C77" w:rsidRPr="00F02536" w:rsidTr="00C96355">
        <w:trPr>
          <w:trHeight w:val="255"/>
          <w:jc w:val="center"/>
        </w:trPr>
        <w:tc>
          <w:tcPr>
            <w:tcW w:w="1089" w:type="dxa"/>
            <w:tcBorders>
              <w:top w:val="single" w:sz="2" w:space="0" w:color="auto"/>
              <w:left w:val="nil"/>
              <w:bottom w:val="single" w:sz="4" w:space="0" w:color="auto"/>
              <w:right w:val="nil"/>
            </w:tcBorders>
            <w:shd w:val="clear" w:color="auto" w:fill="auto"/>
            <w:vAlign w:val="center"/>
            <w:hideMark/>
          </w:tcPr>
          <w:p w:rsidR="006944BB" w:rsidRPr="00F02536" w:rsidRDefault="006944BB" w:rsidP="00F02536">
            <w:pPr>
              <w:pStyle w:val="cuatexto"/>
              <w:jc w:val="left"/>
              <w:rPr>
                <w:sz w:val="18"/>
                <w:szCs w:val="18"/>
              </w:rPr>
            </w:pPr>
            <w:r w:rsidRPr="00F02536">
              <w:rPr>
                <w:sz w:val="18"/>
                <w:szCs w:val="18"/>
              </w:rPr>
              <w:t>2013</w:t>
            </w:r>
          </w:p>
        </w:tc>
        <w:tc>
          <w:tcPr>
            <w:tcW w:w="1067" w:type="dxa"/>
            <w:tcBorders>
              <w:top w:val="single" w:sz="2" w:space="0" w:color="auto"/>
              <w:left w:val="nil"/>
              <w:bottom w:val="single" w:sz="4"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28.849.574</w:t>
            </w:r>
          </w:p>
        </w:tc>
        <w:tc>
          <w:tcPr>
            <w:tcW w:w="1128" w:type="dxa"/>
            <w:tcBorders>
              <w:top w:val="single" w:sz="2" w:space="0" w:color="auto"/>
              <w:left w:val="nil"/>
              <w:bottom w:val="single" w:sz="4"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138.844.989</w:t>
            </w:r>
          </w:p>
        </w:tc>
        <w:tc>
          <w:tcPr>
            <w:tcW w:w="1026" w:type="dxa"/>
            <w:tcBorders>
              <w:top w:val="single" w:sz="2" w:space="0" w:color="auto"/>
              <w:left w:val="nil"/>
              <w:bottom w:val="single" w:sz="4"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 </w:t>
            </w:r>
          </w:p>
        </w:tc>
        <w:tc>
          <w:tcPr>
            <w:tcW w:w="1164" w:type="dxa"/>
            <w:tcBorders>
              <w:top w:val="single" w:sz="2" w:space="0" w:color="auto"/>
              <w:left w:val="nil"/>
              <w:bottom w:val="single" w:sz="4"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211.610.034</w:t>
            </w:r>
          </w:p>
        </w:tc>
        <w:tc>
          <w:tcPr>
            <w:tcW w:w="1189" w:type="dxa"/>
            <w:tcBorders>
              <w:top w:val="single" w:sz="2" w:space="0" w:color="auto"/>
              <w:left w:val="nil"/>
              <w:bottom w:val="single" w:sz="4"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7,33</w:t>
            </w:r>
          </w:p>
        </w:tc>
        <w:tc>
          <w:tcPr>
            <w:tcW w:w="1232" w:type="dxa"/>
            <w:tcBorders>
              <w:top w:val="single" w:sz="2" w:space="0" w:color="auto"/>
              <w:left w:val="nil"/>
              <w:bottom w:val="single" w:sz="4"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4,63</w:t>
            </w:r>
          </w:p>
        </w:tc>
        <w:tc>
          <w:tcPr>
            <w:tcW w:w="1008" w:type="dxa"/>
            <w:tcBorders>
              <w:top w:val="single" w:sz="2" w:space="0" w:color="auto"/>
              <w:left w:val="nil"/>
              <w:bottom w:val="single" w:sz="4" w:space="0" w:color="auto"/>
              <w:right w:val="nil"/>
            </w:tcBorders>
            <w:shd w:val="clear" w:color="auto" w:fill="auto"/>
            <w:vAlign w:val="center"/>
            <w:hideMark/>
          </w:tcPr>
          <w:p w:rsidR="006944BB" w:rsidRPr="00F02536" w:rsidRDefault="006944BB" w:rsidP="00B30C77">
            <w:pPr>
              <w:pStyle w:val="cuatexto"/>
              <w:jc w:val="right"/>
              <w:rPr>
                <w:sz w:val="18"/>
                <w:szCs w:val="18"/>
              </w:rPr>
            </w:pPr>
            <w:r w:rsidRPr="00F02536">
              <w:rPr>
                <w:sz w:val="18"/>
                <w:szCs w:val="18"/>
              </w:rPr>
              <w:t>-12.693.812</w:t>
            </w:r>
          </w:p>
        </w:tc>
      </w:tr>
      <w:tr w:rsidR="00F02536" w:rsidRPr="00F02536" w:rsidTr="00C96355">
        <w:trPr>
          <w:trHeight w:val="312"/>
          <w:jc w:val="center"/>
        </w:trPr>
        <w:tc>
          <w:tcPr>
            <w:tcW w:w="1089" w:type="dxa"/>
            <w:tcBorders>
              <w:top w:val="single" w:sz="4" w:space="0" w:color="auto"/>
              <w:left w:val="nil"/>
              <w:bottom w:val="single" w:sz="4" w:space="0" w:color="auto"/>
              <w:right w:val="nil"/>
            </w:tcBorders>
            <w:shd w:val="clear" w:color="auto" w:fill="8DB3E2" w:themeFill="text2" w:themeFillTint="66"/>
            <w:vAlign w:val="center"/>
            <w:hideMark/>
          </w:tcPr>
          <w:p w:rsidR="006944BB" w:rsidRPr="00F02536" w:rsidRDefault="006944BB" w:rsidP="00F02536">
            <w:pPr>
              <w:pStyle w:val="cuadroCabe"/>
              <w:jc w:val="left"/>
              <w:rPr>
                <w:rFonts w:cs="Arial"/>
                <w:sz w:val="16"/>
                <w:szCs w:val="16"/>
              </w:rPr>
            </w:pPr>
            <w:r w:rsidRPr="0019612C">
              <w:rPr>
                <w:rFonts w:cs="Arial"/>
                <w:sz w:val="16"/>
                <w:szCs w:val="16"/>
              </w:rPr>
              <w:t xml:space="preserve">Total </w:t>
            </w:r>
          </w:p>
        </w:tc>
        <w:tc>
          <w:tcPr>
            <w:tcW w:w="1067" w:type="dxa"/>
            <w:tcBorders>
              <w:top w:val="single" w:sz="4" w:space="0" w:color="auto"/>
              <w:left w:val="nil"/>
              <w:bottom w:val="single" w:sz="4" w:space="0" w:color="auto"/>
              <w:right w:val="nil"/>
            </w:tcBorders>
            <w:shd w:val="clear" w:color="auto" w:fill="8DB3E2" w:themeFill="text2" w:themeFillTint="66"/>
            <w:vAlign w:val="center"/>
            <w:hideMark/>
          </w:tcPr>
          <w:p w:rsidR="006944BB" w:rsidRPr="00F02536" w:rsidRDefault="006944BB" w:rsidP="00B30C77">
            <w:pPr>
              <w:pStyle w:val="cuadroCabe"/>
              <w:jc w:val="right"/>
              <w:rPr>
                <w:rFonts w:cs="Arial"/>
                <w:sz w:val="16"/>
                <w:szCs w:val="16"/>
              </w:rPr>
            </w:pPr>
            <w:r w:rsidRPr="0019612C">
              <w:rPr>
                <w:rFonts w:cs="Arial"/>
                <w:sz w:val="16"/>
                <w:szCs w:val="16"/>
              </w:rPr>
              <w:t> </w:t>
            </w:r>
          </w:p>
        </w:tc>
        <w:tc>
          <w:tcPr>
            <w:tcW w:w="1128" w:type="dxa"/>
            <w:tcBorders>
              <w:top w:val="single" w:sz="4" w:space="0" w:color="auto"/>
              <w:left w:val="nil"/>
              <w:bottom w:val="single" w:sz="4" w:space="0" w:color="auto"/>
              <w:right w:val="nil"/>
            </w:tcBorders>
            <w:shd w:val="clear" w:color="auto" w:fill="8DB3E2" w:themeFill="text2" w:themeFillTint="66"/>
            <w:vAlign w:val="center"/>
            <w:hideMark/>
          </w:tcPr>
          <w:p w:rsidR="006944BB" w:rsidRPr="00F02536" w:rsidRDefault="006944BB" w:rsidP="00B30C77">
            <w:pPr>
              <w:pStyle w:val="cuadroCabe"/>
              <w:jc w:val="right"/>
              <w:rPr>
                <w:rFonts w:cs="Arial"/>
                <w:sz w:val="16"/>
                <w:szCs w:val="16"/>
              </w:rPr>
            </w:pPr>
            <w:r w:rsidRPr="0019612C">
              <w:rPr>
                <w:rFonts w:cs="Arial"/>
                <w:sz w:val="16"/>
                <w:szCs w:val="16"/>
              </w:rPr>
              <w:t> </w:t>
            </w:r>
          </w:p>
        </w:tc>
        <w:tc>
          <w:tcPr>
            <w:tcW w:w="1026" w:type="dxa"/>
            <w:tcBorders>
              <w:top w:val="single" w:sz="4" w:space="0" w:color="auto"/>
              <w:left w:val="nil"/>
              <w:bottom w:val="single" w:sz="4" w:space="0" w:color="auto"/>
              <w:right w:val="nil"/>
            </w:tcBorders>
            <w:shd w:val="clear" w:color="auto" w:fill="8DB3E2" w:themeFill="text2" w:themeFillTint="66"/>
            <w:vAlign w:val="center"/>
            <w:hideMark/>
          </w:tcPr>
          <w:p w:rsidR="006944BB" w:rsidRPr="00F02536" w:rsidRDefault="006944BB" w:rsidP="00B30C77">
            <w:pPr>
              <w:pStyle w:val="cuadroCabe"/>
              <w:jc w:val="right"/>
              <w:rPr>
                <w:rFonts w:cs="Arial"/>
                <w:sz w:val="16"/>
                <w:szCs w:val="16"/>
              </w:rPr>
            </w:pPr>
            <w:r w:rsidRPr="0019612C">
              <w:rPr>
                <w:rFonts w:cs="Arial"/>
                <w:sz w:val="16"/>
                <w:szCs w:val="16"/>
              </w:rPr>
              <w:t> </w:t>
            </w:r>
          </w:p>
        </w:tc>
        <w:tc>
          <w:tcPr>
            <w:tcW w:w="1164" w:type="dxa"/>
            <w:tcBorders>
              <w:top w:val="single" w:sz="4" w:space="0" w:color="auto"/>
              <w:left w:val="nil"/>
              <w:bottom w:val="single" w:sz="4" w:space="0" w:color="auto"/>
              <w:right w:val="nil"/>
            </w:tcBorders>
            <w:shd w:val="clear" w:color="auto" w:fill="8DB3E2" w:themeFill="text2" w:themeFillTint="66"/>
            <w:vAlign w:val="center"/>
            <w:hideMark/>
          </w:tcPr>
          <w:p w:rsidR="006944BB" w:rsidRPr="00F02536" w:rsidRDefault="006944BB" w:rsidP="00B30C77">
            <w:pPr>
              <w:pStyle w:val="cuadroCabe"/>
              <w:jc w:val="right"/>
              <w:rPr>
                <w:rFonts w:cs="Arial"/>
                <w:sz w:val="16"/>
                <w:szCs w:val="16"/>
              </w:rPr>
            </w:pPr>
            <w:r w:rsidRPr="0019612C">
              <w:rPr>
                <w:rFonts w:cs="Arial"/>
                <w:sz w:val="16"/>
                <w:szCs w:val="16"/>
              </w:rPr>
              <w:t>211.610.034</w:t>
            </w:r>
          </w:p>
        </w:tc>
        <w:tc>
          <w:tcPr>
            <w:tcW w:w="1189" w:type="dxa"/>
            <w:tcBorders>
              <w:top w:val="single" w:sz="4" w:space="0" w:color="auto"/>
              <w:left w:val="nil"/>
              <w:bottom w:val="single" w:sz="4" w:space="0" w:color="auto"/>
              <w:right w:val="nil"/>
            </w:tcBorders>
            <w:shd w:val="clear" w:color="auto" w:fill="8DB3E2" w:themeFill="text2" w:themeFillTint="66"/>
            <w:vAlign w:val="center"/>
            <w:hideMark/>
          </w:tcPr>
          <w:p w:rsidR="006944BB" w:rsidRPr="00F02536" w:rsidRDefault="006944BB" w:rsidP="00B30C77">
            <w:pPr>
              <w:pStyle w:val="cuadroCabe"/>
              <w:jc w:val="right"/>
              <w:rPr>
                <w:rFonts w:cs="Arial"/>
                <w:sz w:val="16"/>
                <w:szCs w:val="16"/>
              </w:rPr>
            </w:pPr>
            <w:r w:rsidRPr="0019612C">
              <w:rPr>
                <w:rFonts w:cs="Arial"/>
                <w:sz w:val="16"/>
                <w:szCs w:val="16"/>
              </w:rPr>
              <w:t> </w:t>
            </w:r>
          </w:p>
        </w:tc>
        <w:tc>
          <w:tcPr>
            <w:tcW w:w="1232" w:type="dxa"/>
            <w:tcBorders>
              <w:top w:val="single" w:sz="4" w:space="0" w:color="auto"/>
              <w:left w:val="nil"/>
              <w:bottom w:val="single" w:sz="4" w:space="0" w:color="auto"/>
              <w:right w:val="nil"/>
            </w:tcBorders>
            <w:shd w:val="clear" w:color="auto" w:fill="8DB3E2" w:themeFill="text2" w:themeFillTint="66"/>
            <w:vAlign w:val="center"/>
            <w:hideMark/>
          </w:tcPr>
          <w:p w:rsidR="006944BB" w:rsidRPr="00F02536" w:rsidRDefault="006944BB" w:rsidP="00B30C77">
            <w:pPr>
              <w:pStyle w:val="cuadroCabe"/>
              <w:jc w:val="right"/>
              <w:rPr>
                <w:rFonts w:cs="Arial"/>
                <w:sz w:val="16"/>
                <w:szCs w:val="16"/>
              </w:rPr>
            </w:pPr>
            <w:r w:rsidRPr="0019612C">
              <w:rPr>
                <w:rFonts w:cs="Arial"/>
                <w:sz w:val="16"/>
                <w:szCs w:val="16"/>
              </w:rPr>
              <w:t> </w:t>
            </w:r>
          </w:p>
        </w:tc>
        <w:tc>
          <w:tcPr>
            <w:tcW w:w="1008" w:type="dxa"/>
            <w:tcBorders>
              <w:top w:val="single" w:sz="4" w:space="0" w:color="auto"/>
              <w:left w:val="nil"/>
              <w:bottom w:val="single" w:sz="4" w:space="0" w:color="auto"/>
              <w:right w:val="nil"/>
            </w:tcBorders>
            <w:shd w:val="clear" w:color="auto" w:fill="8DB3E2" w:themeFill="text2" w:themeFillTint="66"/>
            <w:vAlign w:val="center"/>
            <w:hideMark/>
          </w:tcPr>
          <w:p w:rsidR="006944BB" w:rsidRPr="00F02536" w:rsidRDefault="006944BB" w:rsidP="00B30C77">
            <w:pPr>
              <w:pStyle w:val="cuadroCabe"/>
              <w:jc w:val="right"/>
              <w:rPr>
                <w:rFonts w:cs="Arial"/>
                <w:sz w:val="16"/>
                <w:szCs w:val="16"/>
              </w:rPr>
            </w:pPr>
            <w:r w:rsidRPr="0019612C">
              <w:rPr>
                <w:rFonts w:cs="Arial"/>
                <w:sz w:val="16"/>
                <w:szCs w:val="16"/>
              </w:rPr>
              <w:t>77.892.259</w:t>
            </w:r>
          </w:p>
        </w:tc>
      </w:tr>
    </w:tbl>
    <w:p w:rsidR="006944BB" w:rsidRPr="00484284" w:rsidRDefault="00C51D73" w:rsidP="00926B02">
      <w:pPr>
        <w:pStyle w:val="texto"/>
        <w:tabs>
          <w:tab w:val="clear" w:pos="2835"/>
          <w:tab w:val="clear" w:pos="3969"/>
          <w:tab w:val="clear" w:pos="5103"/>
          <w:tab w:val="clear" w:pos="6237"/>
          <w:tab w:val="clear" w:pos="7371"/>
        </w:tabs>
        <w:spacing w:before="160" w:after="80"/>
        <w:ind w:left="-40" w:firstLine="0"/>
        <w:rPr>
          <w:rFonts w:ascii="Arial Narrow" w:eastAsia="Calibri" w:hAnsi="Arial Narrow"/>
          <w:sz w:val="19"/>
          <w:szCs w:val="19"/>
          <w:lang w:eastAsia="es-ES"/>
        </w:rPr>
      </w:pPr>
      <w:r w:rsidRPr="00484284">
        <w:rPr>
          <w:rFonts w:ascii="Arial Narrow" w:eastAsia="Calibri" w:hAnsi="Arial Narrow"/>
          <w:sz w:val="19"/>
          <w:szCs w:val="19"/>
          <w:lang w:eastAsia="es-ES"/>
        </w:rPr>
        <w:t xml:space="preserve">(1) </w:t>
      </w:r>
      <w:r w:rsidR="006944BB" w:rsidRPr="00484284">
        <w:rPr>
          <w:rFonts w:ascii="Arial Narrow" w:eastAsia="Calibri" w:hAnsi="Arial Narrow"/>
          <w:sz w:val="19"/>
          <w:szCs w:val="19"/>
          <w:lang w:eastAsia="es-ES"/>
        </w:rPr>
        <w:t>Split 4 por 1 de acciones de Iberdrola</w:t>
      </w:r>
    </w:p>
    <w:p w:rsidR="006944BB" w:rsidRPr="00484284" w:rsidRDefault="00C51D73" w:rsidP="00F7545E">
      <w:pPr>
        <w:pStyle w:val="texto"/>
        <w:tabs>
          <w:tab w:val="clear" w:pos="2835"/>
          <w:tab w:val="clear" w:pos="3969"/>
          <w:tab w:val="clear" w:pos="5103"/>
          <w:tab w:val="clear" w:pos="6237"/>
          <w:tab w:val="clear" w:pos="7371"/>
        </w:tabs>
        <w:spacing w:before="40" w:after="300"/>
        <w:ind w:left="-40" w:firstLine="0"/>
        <w:rPr>
          <w:rFonts w:ascii="Arial Narrow" w:eastAsia="Calibri" w:hAnsi="Arial Narrow"/>
          <w:sz w:val="19"/>
          <w:szCs w:val="19"/>
          <w:lang w:eastAsia="es-ES"/>
        </w:rPr>
      </w:pPr>
      <w:r w:rsidRPr="00484284">
        <w:rPr>
          <w:rFonts w:ascii="Arial Narrow" w:eastAsia="Calibri" w:hAnsi="Arial Narrow"/>
          <w:sz w:val="19"/>
          <w:szCs w:val="19"/>
          <w:lang w:eastAsia="es-ES"/>
        </w:rPr>
        <w:t xml:space="preserve">(2) </w:t>
      </w:r>
      <w:r w:rsidR="006944BB" w:rsidRPr="00484284">
        <w:rPr>
          <w:rFonts w:ascii="Arial Narrow" w:eastAsia="Calibri" w:hAnsi="Arial Narrow"/>
          <w:sz w:val="19"/>
          <w:szCs w:val="19"/>
          <w:lang w:eastAsia="es-ES"/>
        </w:rPr>
        <w:t xml:space="preserve">Reducción de capital de </w:t>
      </w:r>
      <w:proofErr w:type="spellStart"/>
      <w:r w:rsidR="006944BB" w:rsidRPr="00484284">
        <w:rPr>
          <w:rFonts w:ascii="Arial Narrow" w:eastAsia="Calibri" w:hAnsi="Arial Narrow"/>
          <w:sz w:val="19"/>
          <w:szCs w:val="19"/>
          <w:lang w:eastAsia="es-ES"/>
        </w:rPr>
        <w:t>Sodena</w:t>
      </w:r>
      <w:proofErr w:type="spellEnd"/>
      <w:r w:rsidR="006944BB" w:rsidRPr="00484284">
        <w:rPr>
          <w:rFonts w:ascii="Arial Narrow" w:eastAsia="Calibri" w:hAnsi="Arial Narrow"/>
          <w:sz w:val="19"/>
          <w:szCs w:val="19"/>
          <w:lang w:eastAsia="es-ES"/>
        </w:rPr>
        <w:t xml:space="preserve"> con entrega de acciones de Iberdrola y</w:t>
      </w:r>
      <w:r w:rsidR="00FA5D62">
        <w:rPr>
          <w:rFonts w:ascii="Arial Narrow" w:eastAsia="Calibri" w:hAnsi="Arial Narrow"/>
          <w:sz w:val="19"/>
          <w:szCs w:val="19"/>
          <w:lang w:eastAsia="es-ES"/>
        </w:rPr>
        <w:t xml:space="preserve"> de la</w:t>
      </w:r>
      <w:r w:rsidR="006944BB" w:rsidRPr="00484284">
        <w:rPr>
          <w:rFonts w:ascii="Arial Narrow" w:eastAsia="Calibri" w:hAnsi="Arial Narrow"/>
          <w:sz w:val="19"/>
          <w:szCs w:val="19"/>
          <w:lang w:eastAsia="es-ES"/>
        </w:rPr>
        <w:t xml:space="preserve"> deuda asociada </w:t>
      </w:r>
      <w:r w:rsidR="00E63C0E">
        <w:rPr>
          <w:rFonts w:ascii="Arial Narrow" w:eastAsia="Calibri" w:hAnsi="Arial Narrow"/>
          <w:sz w:val="19"/>
          <w:szCs w:val="19"/>
          <w:lang w:eastAsia="es-ES"/>
        </w:rPr>
        <w:t xml:space="preserve">a la operación de </w:t>
      </w:r>
      <w:r w:rsidR="00ED31E9">
        <w:rPr>
          <w:rFonts w:ascii="Arial Narrow" w:eastAsia="Calibri" w:hAnsi="Arial Narrow"/>
          <w:sz w:val="19"/>
          <w:szCs w:val="19"/>
          <w:lang w:eastAsia="es-ES"/>
        </w:rPr>
        <w:t>cobertura</w:t>
      </w:r>
      <w:r w:rsidR="00FA5D62">
        <w:rPr>
          <w:rFonts w:ascii="Arial Narrow" w:eastAsia="Calibri" w:hAnsi="Arial Narrow"/>
          <w:sz w:val="19"/>
          <w:szCs w:val="19"/>
          <w:lang w:eastAsia="es-ES"/>
        </w:rPr>
        <w:t xml:space="preserve"> a TME 2001 </w:t>
      </w:r>
      <w:proofErr w:type="spellStart"/>
      <w:r w:rsidR="00FA5D62">
        <w:rPr>
          <w:rFonts w:ascii="Arial Narrow" w:eastAsia="Calibri" w:hAnsi="Arial Narrow"/>
          <w:sz w:val="19"/>
          <w:szCs w:val="19"/>
          <w:lang w:eastAsia="es-ES"/>
        </w:rPr>
        <w:t>Corpcan</w:t>
      </w:r>
      <w:proofErr w:type="spellEnd"/>
      <w:r w:rsidR="00FA5D62">
        <w:rPr>
          <w:rFonts w:ascii="Arial Narrow" w:eastAsia="Calibri" w:hAnsi="Arial Narrow"/>
          <w:sz w:val="19"/>
          <w:szCs w:val="19"/>
          <w:lang w:eastAsia="es-ES"/>
        </w:rPr>
        <w:t xml:space="preserve"> SL</w:t>
      </w:r>
      <w:r w:rsidR="00E63C0E">
        <w:rPr>
          <w:rFonts w:ascii="Arial Narrow" w:eastAsia="Calibri" w:hAnsi="Arial Narrow"/>
          <w:sz w:val="19"/>
          <w:szCs w:val="19"/>
          <w:lang w:eastAsia="es-ES"/>
        </w:rPr>
        <w:t>.</w:t>
      </w:r>
    </w:p>
    <w:bookmarkEnd w:id="14"/>
    <w:p w:rsidR="00FA5D62" w:rsidRDefault="00FA5D62" w:rsidP="00F7545E">
      <w:pPr>
        <w:pStyle w:val="texto"/>
        <w:numPr>
          <w:ilvl w:val="0"/>
          <w:numId w:val="23"/>
        </w:numPr>
        <w:tabs>
          <w:tab w:val="clear" w:pos="2835"/>
          <w:tab w:val="clear" w:pos="3969"/>
          <w:tab w:val="center" w:pos="0"/>
          <w:tab w:val="center" w:pos="284"/>
        </w:tabs>
        <w:ind w:left="0" w:firstLine="0"/>
        <w:rPr>
          <w:lang w:val="es-ES"/>
        </w:rPr>
      </w:pPr>
      <w:r>
        <w:rPr>
          <w:lang w:val="es-ES"/>
        </w:rPr>
        <w:t>Venta de acciones</w:t>
      </w:r>
    </w:p>
    <w:p w:rsidR="005302D8" w:rsidRDefault="006944BB" w:rsidP="00F7545E">
      <w:pPr>
        <w:pStyle w:val="texto"/>
        <w:rPr>
          <w:lang w:val="es-ES"/>
        </w:rPr>
      </w:pPr>
      <w:r w:rsidRPr="00E81B25">
        <w:rPr>
          <w:lang w:val="es-ES"/>
        </w:rPr>
        <w:t xml:space="preserve">En el año 2014, entre abril y octubre, </w:t>
      </w:r>
      <w:proofErr w:type="spellStart"/>
      <w:r w:rsidRPr="00E81B25">
        <w:rPr>
          <w:lang w:val="es-ES"/>
        </w:rPr>
        <w:t>Sodena</w:t>
      </w:r>
      <w:proofErr w:type="spellEnd"/>
      <w:r w:rsidR="00FA5D62">
        <w:rPr>
          <w:lang w:val="es-ES"/>
        </w:rPr>
        <w:t>, tal como se refleja en el anexo 1 de este informe,</w:t>
      </w:r>
      <w:r w:rsidRPr="00E81B25">
        <w:rPr>
          <w:lang w:val="es-ES"/>
        </w:rPr>
        <w:t xml:space="preserve"> vendió la totalidad de acciones de Iberdrola, 28.849.574 a</w:t>
      </w:r>
      <w:r w:rsidRPr="00E81B25">
        <w:rPr>
          <w:lang w:val="es-ES"/>
        </w:rPr>
        <w:t>c</w:t>
      </w:r>
      <w:r w:rsidRPr="00E81B25">
        <w:rPr>
          <w:lang w:val="es-ES"/>
        </w:rPr>
        <w:t xml:space="preserve">ciones por un importe total </w:t>
      </w:r>
      <w:r w:rsidR="000B5868">
        <w:rPr>
          <w:lang w:val="es-ES"/>
        </w:rPr>
        <w:t xml:space="preserve">bruto </w:t>
      </w:r>
      <w:r w:rsidRPr="00E81B25">
        <w:rPr>
          <w:lang w:val="es-ES"/>
        </w:rPr>
        <w:t>de 154.375.068 euros, lo que supone un pr</w:t>
      </w:r>
      <w:r w:rsidRPr="00E81B25">
        <w:rPr>
          <w:lang w:val="es-ES"/>
        </w:rPr>
        <w:t>e</w:t>
      </w:r>
      <w:r w:rsidRPr="00E81B25">
        <w:rPr>
          <w:lang w:val="es-ES"/>
        </w:rPr>
        <w:t>cio medio bruto de 5,35 euros por acción, precio inferior al coste de adquis</w:t>
      </w:r>
      <w:r w:rsidRPr="00E81B25">
        <w:rPr>
          <w:lang w:val="es-ES"/>
        </w:rPr>
        <w:t>i</w:t>
      </w:r>
      <w:r w:rsidRPr="00E81B25">
        <w:rPr>
          <w:lang w:val="es-ES"/>
        </w:rPr>
        <w:t>ción</w:t>
      </w:r>
      <w:r w:rsidR="00B604C2">
        <w:rPr>
          <w:lang w:val="es-ES"/>
        </w:rPr>
        <w:t>, incluid</w:t>
      </w:r>
      <w:r w:rsidR="00AB7736">
        <w:rPr>
          <w:lang w:val="es-ES"/>
        </w:rPr>
        <w:t>a</w:t>
      </w:r>
      <w:r w:rsidR="00B604C2">
        <w:rPr>
          <w:lang w:val="es-ES"/>
        </w:rPr>
        <w:t xml:space="preserve"> </w:t>
      </w:r>
      <w:r w:rsidR="00ED31E9">
        <w:rPr>
          <w:lang w:val="es-ES"/>
        </w:rPr>
        <w:t>la cobertura</w:t>
      </w:r>
      <w:r w:rsidR="00B604C2">
        <w:rPr>
          <w:lang w:val="es-ES"/>
        </w:rPr>
        <w:t>,</w:t>
      </w:r>
      <w:r w:rsidRPr="00E81B25">
        <w:rPr>
          <w:lang w:val="es-ES"/>
        </w:rPr>
        <w:t xml:space="preserve"> de 7,33 euros. </w:t>
      </w:r>
    </w:p>
    <w:p w:rsidR="006944BB" w:rsidRPr="00E81B25" w:rsidRDefault="006944BB" w:rsidP="00F7545E">
      <w:pPr>
        <w:pStyle w:val="texto"/>
        <w:rPr>
          <w:lang w:val="es-ES"/>
        </w:rPr>
      </w:pPr>
      <w:r w:rsidRPr="00E81B25">
        <w:rPr>
          <w:lang w:val="es-ES"/>
        </w:rPr>
        <w:t xml:space="preserve">Con los ingresos obtenidos en la venta de las acciones, </w:t>
      </w:r>
      <w:proofErr w:type="spellStart"/>
      <w:r w:rsidRPr="00E81B25">
        <w:rPr>
          <w:lang w:val="es-ES"/>
        </w:rPr>
        <w:t>Sodena</w:t>
      </w:r>
      <w:proofErr w:type="spellEnd"/>
      <w:r w:rsidRPr="00E81B25">
        <w:rPr>
          <w:lang w:val="es-ES"/>
        </w:rPr>
        <w:t xml:space="preserve"> S.L canceló 135 millones de deuda. </w:t>
      </w:r>
    </w:p>
    <w:p w:rsidR="006944BB" w:rsidRDefault="006944BB" w:rsidP="00F7545E">
      <w:pPr>
        <w:pStyle w:val="texto"/>
        <w:rPr>
          <w:lang w:val="es-ES"/>
        </w:rPr>
      </w:pPr>
      <w:r w:rsidRPr="00E81B25">
        <w:rPr>
          <w:lang w:val="es-ES"/>
        </w:rPr>
        <w:t xml:space="preserve">Una de las condiciones de la refinanciación </w:t>
      </w:r>
      <w:r w:rsidR="000B5868">
        <w:rPr>
          <w:lang w:val="es-ES"/>
        </w:rPr>
        <w:t xml:space="preserve">de la deuda de </w:t>
      </w:r>
      <w:proofErr w:type="spellStart"/>
      <w:r w:rsidR="000B5868">
        <w:rPr>
          <w:lang w:val="es-ES"/>
        </w:rPr>
        <w:t>Sodena</w:t>
      </w:r>
      <w:proofErr w:type="spellEnd"/>
      <w:r w:rsidR="000B5868">
        <w:rPr>
          <w:lang w:val="es-ES"/>
        </w:rPr>
        <w:t xml:space="preserve"> </w:t>
      </w:r>
      <w:r w:rsidRPr="00E81B25">
        <w:rPr>
          <w:lang w:val="es-ES"/>
        </w:rPr>
        <w:t>e</w:t>
      </w:r>
      <w:r w:rsidR="005302D8">
        <w:rPr>
          <w:lang w:val="es-ES"/>
        </w:rPr>
        <w:t>ra</w:t>
      </w:r>
      <w:r w:rsidRPr="00E81B25">
        <w:rPr>
          <w:lang w:val="es-ES"/>
        </w:rPr>
        <w:t xml:space="preserve"> que </w:t>
      </w:r>
      <w:r w:rsidR="000B5868">
        <w:rPr>
          <w:lang w:val="es-ES"/>
        </w:rPr>
        <w:t>ésta</w:t>
      </w:r>
      <w:r w:rsidRPr="00E81B25">
        <w:rPr>
          <w:lang w:val="es-ES"/>
        </w:rPr>
        <w:t xml:space="preserve"> </w:t>
      </w:r>
      <w:r w:rsidR="00B538B9">
        <w:rPr>
          <w:lang w:val="es-ES"/>
        </w:rPr>
        <w:t xml:space="preserve">estaba obligada a vender </w:t>
      </w:r>
      <w:r w:rsidRPr="00E81B25">
        <w:rPr>
          <w:lang w:val="es-ES"/>
        </w:rPr>
        <w:t>las acciones de Iberdrola a través de las entidades financieras con las que firmó el acuerdo de refinanciación, si superaban el pr</w:t>
      </w:r>
      <w:r w:rsidRPr="00E81B25">
        <w:rPr>
          <w:lang w:val="es-ES"/>
        </w:rPr>
        <w:t>e</w:t>
      </w:r>
      <w:r w:rsidRPr="00E81B25">
        <w:rPr>
          <w:lang w:val="es-ES"/>
        </w:rPr>
        <w:t>cio de cotización establecido</w:t>
      </w:r>
      <w:r w:rsidR="00396632">
        <w:rPr>
          <w:lang w:val="es-ES"/>
        </w:rPr>
        <w:t>,</w:t>
      </w:r>
      <w:r w:rsidRPr="00E81B25">
        <w:rPr>
          <w:lang w:val="es-ES"/>
        </w:rPr>
        <w:t xml:space="preserve"> </w:t>
      </w:r>
      <w:r w:rsidR="00B538B9">
        <w:rPr>
          <w:lang w:val="es-ES"/>
        </w:rPr>
        <w:t xml:space="preserve">si bien </w:t>
      </w:r>
      <w:proofErr w:type="spellStart"/>
      <w:r w:rsidR="00B538B9">
        <w:rPr>
          <w:lang w:val="es-ES"/>
        </w:rPr>
        <w:t>Sodena</w:t>
      </w:r>
      <w:proofErr w:type="spellEnd"/>
      <w:r w:rsidR="00B538B9">
        <w:rPr>
          <w:lang w:val="es-ES"/>
        </w:rPr>
        <w:t xml:space="preserve"> podía vender las acciones sin e</w:t>
      </w:r>
      <w:r w:rsidR="00B538B9">
        <w:rPr>
          <w:lang w:val="es-ES"/>
        </w:rPr>
        <w:t>s</w:t>
      </w:r>
      <w:r w:rsidR="00B538B9">
        <w:rPr>
          <w:lang w:val="es-ES"/>
        </w:rPr>
        <w:lastRenderedPageBreak/>
        <w:t>perar a que el precio de cotización alcanzara los tramos establecidos. En cua</w:t>
      </w:r>
      <w:r w:rsidR="00B538B9">
        <w:rPr>
          <w:lang w:val="es-ES"/>
        </w:rPr>
        <w:t>l</w:t>
      </w:r>
      <w:r w:rsidR="00B538B9">
        <w:rPr>
          <w:lang w:val="es-ES"/>
        </w:rPr>
        <w:t xml:space="preserve">quier caso, el importe obtenido por la venta se destinaría a </w:t>
      </w:r>
      <w:r w:rsidRPr="00E81B25">
        <w:rPr>
          <w:lang w:val="es-ES"/>
        </w:rPr>
        <w:t>la cancelación</w:t>
      </w:r>
      <w:r w:rsidR="00B538B9">
        <w:rPr>
          <w:lang w:val="es-ES"/>
        </w:rPr>
        <w:t xml:space="preserve"> </w:t>
      </w:r>
      <w:r w:rsidRPr="00E81B25">
        <w:rPr>
          <w:lang w:val="es-ES"/>
        </w:rPr>
        <w:t>de la deu</w:t>
      </w:r>
      <w:r w:rsidR="00B538B9">
        <w:rPr>
          <w:lang w:val="es-ES"/>
        </w:rPr>
        <w:t>da</w:t>
      </w:r>
      <w:r w:rsidRPr="00E81B25">
        <w:rPr>
          <w:lang w:val="es-ES"/>
        </w:rPr>
        <w:t>.</w:t>
      </w:r>
      <w:r w:rsidR="005302D8">
        <w:rPr>
          <w:lang w:val="es-ES"/>
        </w:rPr>
        <w:t xml:space="preserve"> </w:t>
      </w:r>
      <w:proofErr w:type="spellStart"/>
      <w:r w:rsidR="005302D8">
        <w:rPr>
          <w:lang w:val="es-ES"/>
        </w:rPr>
        <w:t>Sodena</w:t>
      </w:r>
      <w:proofErr w:type="spellEnd"/>
      <w:r w:rsidR="005302D8">
        <w:rPr>
          <w:lang w:val="es-ES"/>
        </w:rPr>
        <w:t xml:space="preserve"> vendió el </w:t>
      </w:r>
      <w:r w:rsidR="00540AA4">
        <w:rPr>
          <w:lang w:val="es-ES"/>
        </w:rPr>
        <w:t xml:space="preserve">primer </w:t>
      </w:r>
      <w:r w:rsidR="005302D8">
        <w:rPr>
          <w:lang w:val="es-ES"/>
        </w:rPr>
        <w:t>60 por ciento de las acciones conforme a las condiciones pactadas con las entidades financieras en el acuerdo de refinanci</w:t>
      </w:r>
      <w:r w:rsidR="005302D8">
        <w:rPr>
          <w:lang w:val="es-ES"/>
        </w:rPr>
        <w:t>a</w:t>
      </w:r>
      <w:r w:rsidR="005302D8">
        <w:rPr>
          <w:lang w:val="es-ES"/>
        </w:rPr>
        <w:t xml:space="preserve">ción de la deuda. El 40 por ciento </w:t>
      </w:r>
      <w:r w:rsidR="00540AA4">
        <w:rPr>
          <w:lang w:val="es-ES"/>
        </w:rPr>
        <w:t xml:space="preserve">restante </w:t>
      </w:r>
      <w:r w:rsidR="005302D8">
        <w:rPr>
          <w:lang w:val="es-ES"/>
        </w:rPr>
        <w:t xml:space="preserve">de las acciones se vendieron </w:t>
      </w:r>
      <w:r w:rsidR="00254602">
        <w:rPr>
          <w:lang w:val="es-ES"/>
        </w:rPr>
        <w:t>a un precio bruto de 5,50 euros</w:t>
      </w:r>
      <w:r w:rsidR="005302D8">
        <w:rPr>
          <w:lang w:val="es-ES"/>
        </w:rPr>
        <w:t>, inferior a</w:t>
      </w:r>
      <w:r w:rsidR="00540AA4">
        <w:rPr>
          <w:lang w:val="es-ES"/>
        </w:rPr>
        <w:t xml:space="preserve"> </w:t>
      </w:r>
      <w:r w:rsidR="005302D8">
        <w:rPr>
          <w:lang w:val="es-ES"/>
        </w:rPr>
        <w:t>l</w:t>
      </w:r>
      <w:r w:rsidR="00540AA4">
        <w:rPr>
          <w:lang w:val="es-ES"/>
        </w:rPr>
        <w:t>os</w:t>
      </w:r>
      <w:r w:rsidR="005302D8">
        <w:rPr>
          <w:lang w:val="es-ES"/>
        </w:rPr>
        <w:t xml:space="preserve"> </w:t>
      </w:r>
      <w:r w:rsidR="000551D4">
        <w:rPr>
          <w:lang w:val="es-ES"/>
        </w:rPr>
        <w:t xml:space="preserve">precios </w:t>
      </w:r>
      <w:r w:rsidR="005302D8">
        <w:rPr>
          <w:lang w:val="es-ES"/>
        </w:rPr>
        <w:t>acordado</w:t>
      </w:r>
      <w:r w:rsidR="00540AA4">
        <w:rPr>
          <w:lang w:val="es-ES"/>
        </w:rPr>
        <w:t>s</w:t>
      </w:r>
      <w:r w:rsidR="005302D8">
        <w:rPr>
          <w:lang w:val="es-ES"/>
        </w:rPr>
        <w:t xml:space="preserve"> en el citado acue</w:t>
      </w:r>
      <w:r w:rsidR="005302D8">
        <w:rPr>
          <w:lang w:val="es-ES"/>
        </w:rPr>
        <w:t>r</w:t>
      </w:r>
      <w:r w:rsidR="005302D8">
        <w:rPr>
          <w:lang w:val="es-ES"/>
        </w:rPr>
        <w:t>do</w:t>
      </w:r>
      <w:r w:rsidR="00540AA4">
        <w:rPr>
          <w:lang w:val="es-ES"/>
        </w:rPr>
        <w:t xml:space="preserve">, que estaban comprendidos entre  6 y </w:t>
      </w:r>
      <w:proofErr w:type="gramStart"/>
      <w:r w:rsidR="00540AA4">
        <w:rPr>
          <w:lang w:val="es-ES"/>
        </w:rPr>
        <w:t>el</w:t>
      </w:r>
      <w:proofErr w:type="gramEnd"/>
      <w:r w:rsidR="00540AA4">
        <w:rPr>
          <w:lang w:val="es-ES"/>
        </w:rPr>
        <w:t xml:space="preserve"> 6,75 </w:t>
      </w:r>
      <w:r w:rsidR="000551D4">
        <w:rPr>
          <w:lang w:val="es-ES"/>
        </w:rPr>
        <w:t>euros</w:t>
      </w:r>
      <w:r w:rsidR="005302D8">
        <w:rPr>
          <w:lang w:val="es-ES"/>
        </w:rPr>
        <w:t>.</w:t>
      </w:r>
      <w:r w:rsidR="007C7938">
        <w:rPr>
          <w:rStyle w:val="Refdenotaalpie"/>
          <w:lang w:val="es-ES"/>
        </w:rPr>
        <w:footnoteReference w:id="1"/>
      </w:r>
    </w:p>
    <w:p w:rsidR="00254602" w:rsidRDefault="00254602" w:rsidP="00F7545E">
      <w:pPr>
        <w:pStyle w:val="texto"/>
        <w:rPr>
          <w:lang w:val="es-ES"/>
        </w:rPr>
      </w:pPr>
      <w:r>
        <w:rPr>
          <w:lang w:val="es-ES"/>
        </w:rPr>
        <w:t xml:space="preserve">Al respecto, en el consejo de Administración de </w:t>
      </w:r>
      <w:proofErr w:type="spellStart"/>
      <w:r>
        <w:rPr>
          <w:lang w:val="es-ES"/>
        </w:rPr>
        <w:t>Sodena</w:t>
      </w:r>
      <w:proofErr w:type="spellEnd"/>
      <w:r>
        <w:rPr>
          <w:lang w:val="es-ES"/>
        </w:rPr>
        <w:t xml:space="preserve"> celebrado el 23 de octubre de 2014, su presidenta propuso que “dada la cotización actual de las acciones de Iberdrola, próxima al 5,50 euros por acción, y estando pendientes de venta el 40 por ciento del conjunto de acciones adquiridas por la sociedad en su día, ve oportuno proceder a la venta de las mismas de forma inmediata”</w:t>
      </w:r>
    </w:p>
    <w:p w:rsidR="00254602" w:rsidRDefault="00254602" w:rsidP="00F7545E">
      <w:pPr>
        <w:pStyle w:val="texto"/>
        <w:rPr>
          <w:lang w:val="es-ES"/>
        </w:rPr>
      </w:pPr>
      <w:r>
        <w:rPr>
          <w:lang w:val="es-ES"/>
        </w:rPr>
        <w:t xml:space="preserve">El director gerente de </w:t>
      </w:r>
      <w:proofErr w:type="spellStart"/>
      <w:r>
        <w:rPr>
          <w:lang w:val="es-ES"/>
        </w:rPr>
        <w:t>Sodena</w:t>
      </w:r>
      <w:proofErr w:type="spellEnd"/>
      <w:r>
        <w:rPr>
          <w:lang w:val="es-ES"/>
        </w:rPr>
        <w:t xml:space="preserve"> no consideró conveniente aceptar la propuesta desde un punto de vista económico </w:t>
      </w:r>
      <w:r w:rsidR="00240DB2">
        <w:rPr>
          <w:lang w:val="es-ES"/>
        </w:rPr>
        <w:t xml:space="preserve">y  manifestó </w:t>
      </w:r>
      <w:r>
        <w:rPr>
          <w:lang w:val="es-ES"/>
        </w:rPr>
        <w:t>que “la rentabilidad por div</w:t>
      </w:r>
      <w:r>
        <w:rPr>
          <w:lang w:val="es-ES"/>
        </w:rPr>
        <w:t>i</w:t>
      </w:r>
      <w:r>
        <w:rPr>
          <w:lang w:val="es-ES"/>
        </w:rPr>
        <w:t>dendos de dichas acciones es muy superior al coste de la financiación que se espera cancelar con el producto de su venta”.</w:t>
      </w:r>
    </w:p>
    <w:p w:rsidR="00254602" w:rsidRDefault="00254602" w:rsidP="00F7545E">
      <w:pPr>
        <w:pStyle w:val="texto"/>
        <w:rPr>
          <w:lang w:val="es-ES"/>
        </w:rPr>
      </w:pPr>
      <w:r>
        <w:rPr>
          <w:lang w:val="es-ES"/>
        </w:rPr>
        <w:t>Todos los consejeros mostraron su conformidad con la propuesta de la pres</w:t>
      </w:r>
      <w:r>
        <w:rPr>
          <w:lang w:val="es-ES"/>
        </w:rPr>
        <w:t>i</w:t>
      </w:r>
      <w:r>
        <w:rPr>
          <w:lang w:val="es-ES"/>
        </w:rPr>
        <w:t>denta de proceder a la enajenación de la totalidad de las acciones restantes.</w:t>
      </w:r>
    </w:p>
    <w:p w:rsidR="006944BB" w:rsidRPr="00E81B25" w:rsidRDefault="006944BB" w:rsidP="00AA672F">
      <w:pPr>
        <w:pStyle w:val="texto"/>
        <w:spacing w:after="260"/>
        <w:rPr>
          <w:lang w:val="es-ES"/>
        </w:rPr>
      </w:pPr>
      <w:r w:rsidRPr="00E81B25">
        <w:rPr>
          <w:lang w:val="es-ES"/>
        </w:rPr>
        <w:t>Los precios de cotización a partir de los cuales debía procederse a la venta de</w:t>
      </w:r>
      <w:r w:rsidR="00396632">
        <w:rPr>
          <w:lang w:val="es-ES"/>
        </w:rPr>
        <w:t>l porcentaje o número de acciones</w:t>
      </w:r>
      <w:r w:rsidRPr="00E81B25">
        <w:rPr>
          <w:lang w:val="es-ES"/>
        </w:rPr>
        <w:t xml:space="preserve"> </w:t>
      </w:r>
      <w:r w:rsidR="00396632">
        <w:rPr>
          <w:lang w:val="es-ES"/>
        </w:rPr>
        <w:t xml:space="preserve">establecido </w:t>
      </w:r>
      <w:r w:rsidRPr="00E81B25">
        <w:rPr>
          <w:lang w:val="es-ES"/>
        </w:rPr>
        <w:t>eran los siguientes:</w:t>
      </w:r>
    </w:p>
    <w:tbl>
      <w:tblPr>
        <w:tblW w:w="8739" w:type="dxa"/>
        <w:jc w:val="center"/>
        <w:tblCellMar>
          <w:left w:w="70" w:type="dxa"/>
          <w:right w:w="70" w:type="dxa"/>
        </w:tblCellMar>
        <w:tblLook w:val="04A0" w:firstRow="1" w:lastRow="0" w:firstColumn="1" w:lastColumn="0" w:noHBand="0" w:noVBand="1"/>
      </w:tblPr>
      <w:tblGrid>
        <w:gridCol w:w="2863"/>
        <w:gridCol w:w="2235"/>
        <w:gridCol w:w="3641"/>
      </w:tblGrid>
      <w:tr w:rsidR="006944BB" w:rsidRPr="00B944F7" w:rsidTr="004B7FDA">
        <w:trPr>
          <w:trHeight w:val="340"/>
          <w:jc w:val="center"/>
        </w:trPr>
        <w:tc>
          <w:tcPr>
            <w:tcW w:w="2863" w:type="dxa"/>
            <w:tcBorders>
              <w:top w:val="single" w:sz="4" w:space="0" w:color="auto"/>
              <w:left w:val="nil"/>
              <w:bottom w:val="single" w:sz="4" w:space="0" w:color="auto"/>
              <w:right w:val="nil"/>
            </w:tcBorders>
            <w:shd w:val="clear" w:color="auto" w:fill="8DB3E2" w:themeFill="text2" w:themeFillTint="66"/>
            <w:vAlign w:val="center"/>
          </w:tcPr>
          <w:p w:rsidR="006944BB" w:rsidRPr="00DA4CD3" w:rsidRDefault="006944BB" w:rsidP="00E84C6E">
            <w:pPr>
              <w:pStyle w:val="cuadroCabe"/>
              <w:tabs>
                <w:tab w:val="clear" w:pos="2835"/>
              </w:tabs>
              <w:ind w:left="-557" w:right="833"/>
              <w:jc w:val="center"/>
            </w:pPr>
            <w:r w:rsidRPr="00DA4CD3">
              <w:t>% acciones</w:t>
            </w:r>
          </w:p>
        </w:tc>
        <w:tc>
          <w:tcPr>
            <w:tcW w:w="2235" w:type="dxa"/>
            <w:tcBorders>
              <w:top w:val="single" w:sz="4" w:space="0" w:color="auto"/>
              <w:left w:val="nil"/>
              <w:bottom w:val="single" w:sz="4" w:space="0" w:color="auto"/>
              <w:right w:val="nil"/>
            </w:tcBorders>
            <w:shd w:val="clear" w:color="auto" w:fill="8DB3E2" w:themeFill="text2" w:themeFillTint="66"/>
            <w:vAlign w:val="center"/>
          </w:tcPr>
          <w:p w:rsidR="006944BB" w:rsidRPr="00DA4CD3" w:rsidRDefault="006944BB" w:rsidP="00AA672F">
            <w:pPr>
              <w:pStyle w:val="cuadroCabe"/>
              <w:ind w:right="125"/>
              <w:jc w:val="right"/>
            </w:pPr>
            <w:r w:rsidRPr="00DA4CD3">
              <w:t xml:space="preserve">Nº acciones </w:t>
            </w:r>
          </w:p>
        </w:tc>
        <w:tc>
          <w:tcPr>
            <w:tcW w:w="3641" w:type="dxa"/>
            <w:tcBorders>
              <w:top w:val="single" w:sz="4" w:space="0" w:color="auto"/>
              <w:left w:val="nil"/>
              <w:bottom w:val="single" w:sz="4" w:space="0" w:color="auto"/>
              <w:right w:val="nil"/>
            </w:tcBorders>
            <w:shd w:val="clear" w:color="auto" w:fill="8DB3E2" w:themeFill="text2" w:themeFillTint="66"/>
            <w:vAlign w:val="center"/>
          </w:tcPr>
          <w:p w:rsidR="00AA672F" w:rsidRDefault="006944BB" w:rsidP="00E84C6E">
            <w:pPr>
              <w:pStyle w:val="cuadroCabe"/>
              <w:ind w:right="13"/>
              <w:jc w:val="right"/>
            </w:pPr>
            <w:r w:rsidRPr="00DA4CD3">
              <w:t xml:space="preserve">Valor cotización </w:t>
            </w:r>
          </w:p>
          <w:p w:rsidR="006944BB" w:rsidRPr="00DA4CD3" w:rsidRDefault="006944BB" w:rsidP="00E84C6E">
            <w:pPr>
              <w:pStyle w:val="cuadroCabe"/>
              <w:ind w:right="13"/>
              <w:jc w:val="right"/>
            </w:pPr>
            <w:r w:rsidRPr="00DA4CD3">
              <w:t>igual o superior</w:t>
            </w:r>
          </w:p>
        </w:tc>
      </w:tr>
      <w:tr w:rsidR="006944BB" w:rsidRPr="00DA4CD3" w:rsidTr="004B7FDA">
        <w:trPr>
          <w:trHeight w:val="255"/>
          <w:jc w:val="center"/>
        </w:trPr>
        <w:tc>
          <w:tcPr>
            <w:tcW w:w="2863" w:type="dxa"/>
            <w:tcBorders>
              <w:top w:val="single" w:sz="4" w:space="0" w:color="auto"/>
              <w:left w:val="nil"/>
              <w:bottom w:val="single" w:sz="2" w:space="0" w:color="auto"/>
              <w:right w:val="nil"/>
            </w:tcBorders>
            <w:shd w:val="clear" w:color="auto" w:fill="auto"/>
            <w:vAlign w:val="center"/>
          </w:tcPr>
          <w:p w:rsidR="006944BB" w:rsidRPr="00DA4CD3" w:rsidRDefault="006944BB" w:rsidP="00E84C6E">
            <w:pPr>
              <w:pStyle w:val="cuatexto"/>
              <w:tabs>
                <w:tab w:val="clear" w:pos="2835"/>
              </w:tabs>
              <w:ind w:left="-557" w:right="1600"/>
              <w:jc w:val="right"/>
              <w:rPr>
                <w:szCs w:val="20"/>
              </w:rPr>
            </w:pPr>
            <w:r w:rsidRPr="00DA4CD3">
              <w:rPr>
                <w:szCs w:val="20"/>
              </w:rPr>
              <w:t>20</w:t>
            </w:r>
          </w:p>
        </w:tc>
        <w:tc>
          <w:tcPr>
            <w:tcW w:w="2235" w:type="dxa"/>
            <w:tcBorders>
              <w:top w:val="single" w:sz="4" w:space="0" w:color="auto"/>
              <w:left w:val="nil"/>
              <w:bottom w:val="single" w:sz="2" w:space="0" w:color="auto"/>
              <w:right w:val="nil"/>
            </w:tcBorders>
            <w:shd w:val="clear" w:color="auto" w:fill="auto"/>
            <w:vAlign w:val="center"/>
          </w:tcPr>
          <w:p w:rsidR="006944BB" w:rsidRPr="00DA4CD3" w:rsidRDefault="006944BB" w:rsidP="00AA672F">
            <w:pPr>
              <w:pStyle w:val="cuatexto"/>
              <w:ind w:right="125"/>
              <w:jc w:val="right"/>
              <w:rPr>
                <w:szCs w:val="20"/>
              </w:rPr>
            </w:pPr>
            <w:r w:rsidRPr="00DA4CD3">
              <w:rPr>
                <w:szCs w:val="20"/>
              </w:rPr>
              <w:t>5.769.915</w:t>
            </w:r>
          </w:p>
        </w:tc>
        <w:tc>
          <w:tcPr>
            <w:tcW w:w="3641" w:type="dxa"/>
            <w:tcBorders>
              <w:top w:val="single" w:sz="4" w:space="0" w:color="auto"/>
              <w:left w:val="nil"/>
              <w:bottom w:val="single" w:sz="2" w:space="0" w:color="auto"/>
              <w:right w:val="nil"/>
            </w:tcBorders>
            <w:shd w:val="clear" w:color="auto" w:fill="auto"/>
            <w:vAlign w:val="center"/>
          </w:tcPr>
          <w:p w:rsidR="006944BB" w:rsidRPr="00DA4CD3" w:rsidRDefault="006944BB" w:rsidP="00E84C6E">
            <w:pPr>
              <w:pStyle w:val="cuatexto"/>
              <w:ind w:right="13"/>
              <w:jc w:val="right"/>
              <w:rPr>
                <w:szCs w:val="20"/>
              </w:rPr>
            </w:pPr>
            <w:r w:rsidRPr="00DA4CD3">
              <w:rPr>
                <w:szCs w:val="20"/>
              </w:rPr>
              <w:t>4,813</w:t>
            </w:r>
          </w:p>
        </w:tc>
      </w:tr>
      <w:tr w:rsidR="006944BB" w:rsidRPr="00DA4CD3" w:rsidTr="004B7FDA">
        <w:trPr>
          <w:trHeight w:val="255"/>
          <w:jc w:val="center"/>
        </w:trPr>
        <w:tc>
          <w:tcPr>
            <w:tcW w:w="2863" w:type="dxa"/>
            <w:tcBorders>
              <w:top w:val="single" w:sz="2" w:space="0" w:color="auto"/>
              <w:left w:val="nil"/>
              <w:bottom w:val="single" w:sz="2" w:space="0" w:color="auto"/>
              <w:right w:val="nil"/>
            </w:tcBorders>
            <w:shd w:val="clear" w:color="auto" w:fill="auto"/>
            <w:vAlign w:val="center"/>
          </w:tcPr>
          <w:p w:rsidR="006944BB" w:rsidRPr="00DA4CD3" w:rsidRDefault="006944BB" w:rsidP="00E84C6E">
            <w:pPr>
              <w:pStyle w:val="cuatexto"/>
              <w:tabs>
                <w:tab w:val="clear" w:pos="2835"/>
              </w:tabs>
              <w:ind w:left="-557" w:right="1600"/>
              <w:jc w:val="right"/>
              <w:rPr>
                <w:szCs w:val="20"/>
              </w:rPr>
            </w:pPr>
            <w:r w:rsidRPr="00DA4CD3">
              <w:rPr>
                <w:szCs w:val="20"/>
              </w:rPr>
              <w:t>10</w:t>
            </w:r>
          </w:p>
        </w:tc>
        <w:tc>
          <w:tcPr>
            <w:tcW w:w="2235" w:type="dxa"/>
            <w:tcBorders>
              <w:top w:val="single" w:sz="2" w:space="0" w:color="auto"/>
              <w:left w:val="nil"/>
              <w:bottom w:val="single" w:sz="2" w:space="0" w:color="auto"/>
              <w:right w:val="nil"/>
            </w:tcBorders>
            <w:shd w:val="clear" w:color="auto" w:fill="auto"/>
            <w:vAlign w:val="center"/>
          </w:tcPr>
          <w:p w:rsidR="006944BB" w:rsidRPr="00DA4CD3" w:rsidRDefault="006944BB" w:rsidP="00AA672F">
            <w:pPr>
              <w:pStyle w:val="cuatexto"/>
              <w:ind w:right="125"/>
              <w:jc w:val="right"/>
              <w:rPr>
                <w:szCs w:val="20"/>
              </w:rPr>
            </w:pPr>
            <w:r w:rsidRPr="00DA4CD3">
              <w:rPr>
                <w:szCs w:val="20"/>
              </w:rPr>
              <w:t>2.884.957</w:t>
            </w:r>
          </w:p>
        </w:tc>
        <w:tc>
          <w:tcPr>
            <w:tcW w:w="3641" w:type="dxa"/>
            <w:tcBorders>
              <w:top w:val="single" w:sz="2" w:space="0" w:color="auto"/>
              <w:left w:val="nil"/>
              <w:bottom w:val="single" w:sz="2" w:space="0" w:color="auto"/>
              <w:right w:val="nil"/>
            </w:tcBorders>
            <w:shd w:val="clear" w:color="auto" w:fill="auto"/>
            <w:vAlign w:val="center"/>
          </w:tcPr>
          <w:p w:rsidR="006944BB" w:rsidRPr="00DA4CD3" w:rsidRDefault="006944BB" w:rsidP="00E84C6E">
            <w:pPr>
              <w:pStyle w:val="cuatexto"/>
              <w:ind w:right="13"/>
              <w:jc w:val="right"/>
              <w:rPr>
                <w:szCs w:val="20"/>
              </w:rPr>
            </w:pPr>
            <w:r w:rsidRPr="00DA4CD3">
              <w:rPr>
                <w:szCs w:val="20"/>
              </w:rPr>
              <w:t>5,00</w:t>
            </w:r>
          </w:p>
        </w:tc>
      </w:tr>
      <w:tr w:rsidR="006944BB" w:rsidRPr="00DA4CD3" w:rsidTr="004B7FDA">
        <w:trPr>
          <w:trHeight w:val="255"/>
          <w:jc w:val="center"/>
        </w:trPr>
        <w:tc>
          <w:tcPr>
            <w:tcW w:w="2863" w:type="dxa"/>
            <w:tcBorders>
              <w:top w:val="single" w:sz="2" w:space="0" w:color="auto"/>
              <w:left w:val="nil"/>
              <w:bottom w:val="single" w:sz="2" w:space="0" w:color="auto"/>
              <w:right w:val="nil"/>
            </w:tcBorders>
            <w:shd w:val="clear" w:color="auto" w:fill="auto"/>
            <w:vAlign w:val="center"/>
          </w:tcPr>
          <w:p w:rsidR="006944BB" w:rsidRPr="00DA4CD3" w:rsidRDefault="006944BB" w:rsidP="00E84C6E">
            <w:pPr>
              <w:pStyle w:val="cuatexto"/>
              <w:tabs>
                <w:tab w:val="clear" w:pos="2835"/>
              </w:tabs>
              <w:ind w:left="-557" w:right="1600"/>
              <w:jc w:val="right"/>
              <w:rPr>
                <w:szCs w:val="20"/>
              </w:rPr>
            </w:pPr>
            <w:r w:rsidRPr="00DA4CD3">
              <w:rPr>
                <w:szCs w:val="20"/>
              </w:rPr>
              <w:t>10</w:t>
            </w:r>
          </w:p>
        </w:tc>
        <w:tc>
          <w:tcPr>
            <w:tcW w:w="2235" w:type="dxa"/>
            <w:tcBorders>
              <w:top w:val="single" w:sz="2" w:space="0" w:color="auto"/>
              <w:left w:val="nil"/>
              <w:bottom w:val="single" w:sz="2" w:space="0" w:color="auto"/>
              <w:right w:val="nil"/>
            </w:tcBorders>
            <w:shd w:val="clear" w:color="auto" w:fill="auto"/>
            <w:vAlign w:val="center"/>
          </w:tcPr>
          <w:p w:rsidR="006944BB" w:rsidRPr="00DA4CD3" w:rsidRDefault="006944BB" w:rsidP="00AA672F">
            <w:pPr>
              <w:pStyle w:val="cuatexto"/>
              <w:ind w:right="125"/>
              <w:jc w:val="right"/>
              <w:rPr>
                <w:szCs w:val="20"/>
              </w:rPr>
            </w:pPr>
            <w:r w:rsidRPr="00DA4CD3">
              <w:rPr>
                <w:szCs w:val="20"/>
              </w:rPr>
              <w:t>2.884.957</w:t>
            </w:r>
          </w:p>
        </w:tc>
        <w:tc>
          <w:tcPr>
            <w:tcW w:w="3641" w:type="dxa"/>
            <w:tcBorders>
              <w:top w:val="single" w:sz="2" w:space="0" w:color="auto"/>
              <w:left w:val="nil"/>
              <w:bottom w:val="single" w:sz="2" w:space="0" w:color="auto"/>
              <w:right w:val="nil"/>
            </w:tcBorders>
            <w:shd w:val="clear" w:color="auto" w:fill="auto"/>
            <w:vAlign w:val="center"/>
          </w:tcPr>
          <w:p w:rsidR="006944BB" w:rsidRPr="00DA4CD3" w:rsidRDefault="006944BB" w:rsidP="00E84C6E">
            <w:pPr>
              <w:pStyle w:val="cuatexto"/>
              <w:ind w:right="13"/>
              <w:jc w:val="right"/>
              <w:rPr>
                <w:szCs w:val="20"/>
              </w:rPr>
            </w:pPr>
            <w:r w:rsidRPr="00DA4CD3">
              <w:rPr>
                <w:szCs w:val="20"/>
              </w:rPr>
              <w:t>5,25</w:t>
            </w:r>
          </w:p>
        </w:tc>
      </w:tr>
      <w:tr w:rsidR="006944BB" w:rsidRPr="00DA4CD3" w:rsidTr="004B7FDA">
        <w:trPr>
          <w:trHeight w:val="255"/>
          <w:jc w:val="center"/>
        </w:trPr>
        <w:tc>
          <w:tcPr>
            <w:tcW w:w="2863" w:type="dxa"/>
            <w:tcBorders>
              <w:top w:val="single" w:sz="2" w:space="0" w:color="auto"/>
              <w:left w:val="nil"/>
              <w:bottom w:val="single" w:sz="2" w:space="0" w:color="auto"/>
              <w:right w:val="nil"/>
            </w:tcBorders>
            <w:shd w:val="clear" w:color="auto" w:fill="auto"/>
            <w:vAlign w:val="center"/>
          </w:tcPr>
          <w:p w:rsidR="006944BB" w:rsidRPr="00DA4CD3" w:rsidRDefault="006944BB" w:rsidP="00E84C6E">
            <w:pPr>
              <w:pStyle w:val="cuatexto"/>
              <w:tabs>
                <w:tab w:val="clear" w:pos="2835"/>
              </w:tabs>
              <w:ind w:left="-557" w:right="1600"/>
              <w:jc w:val="right"/>
              <w:rPr>
                <w:szCs w:val="20"/>
              </w:rPr>
            </w:pPr>
            <w:r w:rsidRPr="00DA4CD3">
              <w:rPr>
                <w:szCs w:val="20"/>
              </w:rPr>
              <w:t>10</w:t>
            </w:r>
          </w:p>
        </w:tc>
        <w:tc>
          <w:tcPr>
            <w:tcW w:w="2235" w:type="dxa"/>
            <w:tcBorders>
              <w:top w:val="single" w:sz="2" w:space="0" w:color="auto"/>
              <w:left w:val="nil"/>
              <w:bottom w:val="single" w:sz="2" w:space="0" w:color="auto"/>
              <w:right w:val="nil"/>
            </w:tcBorders>
            <w:shd w:val="clear" w:color="auto" w:fill="auto"/>
            <w:vAlign w:val="center"/>
          </w:tcPr>
          <w:p w:rsidR="006944BB" w:rsidRPr="00DA4CD3" w:rsidRDefault="006944BB" w:rsidP="00AA672F">
            <w:pPr>
              <w:pStyle w:val="cuatexto"/>
              <w:ind w:right="125"/>
              <w:jc w:val="right"/>
              <w:rPr>
                <w:szCs w:val="20"/>
              </w:rPr>
            </w:pPr>
            <w:r w:rsidRPr="00DA4CD3">
              <w:rPr>
                <w:szCs w:val="20"/>
              </w:rPr>
              <w:t>2.884.957</w:t>
            </w:r>
          </w:p>
        </w:tc>
        <w:tc>
          <w:tcPr>
            <w:tcW w:w="3641" w:type="dxa"/>
            <w:tcBorders>
              <w:top w:val="single" w:sz="2" w:space="0" w:color="auto"/>
              <w:left w:val="nil"/>
              <w:bottom w:val="single" w:sz="2" w:space="0" w:color="auto"/>
              <w:right w:val="nil"/>
            </w:tcBorders>
            <w:shd w:val="clear" w:color="auto" w:fill="auto"/>
            <w:vAlign w:val="center"/>
          </w:tcPr>
          <w:p w:rsidR="006944BB" w:rsidRPr="00DA4CD3" w:rsidRDefault="006944BB" w:rsidP="00E84C6E">
            <w:pPr>
              <w:pStyle w:val="cuatexto"/>
              <w:ind w:right="13"/>
              <w:jc w:val="right"/>
              <w:rPr>
                <w:szCs w:val="20"/>
              </w:rPr>
            </w:pPr>
            <w:r w:rsidRPr="00DA4CD3">
              <w:rPr>
                <w:szCs w:val="20"/>
              </w:rPr>
              <w:t>5,50</w:t>
            </w:r>
          </w:p>
        </w:tc>
      </w:tr>
      <w:tr w:rsidR="006944BB" w:rsidRPr="00DA4CD3" w:rsidTr="004B7FDA">
        <w:trPr>
          <w:trHeight w:val="255"/>
          <w:jc w:val="center"/>
        </w:trPr>
        <w:tc>
          <w:tcPr>
            <w:tcW w:w="2863" w:type="dxa"/>
            <w:tcBorders>
              <w:top w:val="single" w:sz="2" w:space="0" w:color="auto"/>
              <w:left w:val="nil"/>
              <w:bottom w:val="single" w:sz="2" w:space="0" w:color="auto"/>
              <w:right w:val="nil"/>
            </w:tcBorders>
            <w:shd w:val="clear" w:color="auto" w:fill="auto"/>
            <w:vAlign w:val="center"/>
          </w:tcPr>
          <w:p w:rsidR="006944BB" w:rsidRPr="00DA4CD3" w:rsidRDefault="006944BB" w:rsidP="00E84C6E">
            <w:pPr>
              <w:pStyle w:val="cuatexto"/>
              <w:tabs>
                <w:tab w:val="clear" w:pos="2835"/>
              </w:tabs>
              <w:ind w:left="-557" w:right="1600"/>
              <w:jc w:val="right"/>
              <w:rPr>
                <w:szCs w:val="20"/>
              </w:rPr>
            </w:pPr>
            <w:r w:rsidRPr="00DA4CD3">
              <w:rPr>
                <w:szCs w:val="20"/>
              </w:rPr>
              <w:t>10</w:t>
            </w:r>
          </w:p>
        </w:tc>
        <w:tc>
          <w:tcPr>
            <w:tcW w:w="2235" w:type="dxa"/>
            <w:tcBorders>
              <w:top w:val="single" w:sz="2" w:space="0" w:color="auto"/>
              <w:left w:val="nil"/>
              <w:bottom w:val="single" w:sz="2" w:space="0" w:color="auto"/>
              <w:right w:val="nil"/>
            </w:tcBorders>
            <w:shd w:val="clear" w:color="auto" w:fill="auto"/>
            <w:vAlign w:val="center"/>
          </w:tcPr>
          <w:p w:rsidR="006944BB" w:rsidRPr="00DA4CD3" w:rsidRDefault="006944BB" w:rsidP="00AA672F">
            <w:pPr>
              <w:pStyle w:val="cuatexto"/>
              <w:ind w:right="125"/>
              <w:jc w:val="right"/>
              <w:rPr>
                <w:szCs w:val="20"/>
              </w:rPr>
            </w:pPr>
            <w:r w:rsidRPr="00DA4CD3">
              <w:rPr>
                <w:szCs w:val="20"/>
              </w:rPr>
              <w:t>2.884.957</w:t>
            </w:r>
          </w:p>
        </w:tc>
        <w:tc>
          <w:tcPr>
            <w:tcW w:w="3641" w:type="dxa"/>
            <w:tcBorders>
              <w:top w:val="single" w:sz="2" w:space="0" w:color="auto"/>
              <w:left w:val="nil"/>
              <w:bottom w:val="single" w:sz="2" w:space="0" w:color="auto"/>
              <w:right w:val="nil"/>
            </w:tcBorders>
            <w:shd w:val="clear" w:color="auto" w:fill="auto"/>
            <w:vAlign w:val="center"/>
          </w:tcPr>
          <w:p w:rsidR="006944BB" w:rsidRPr="00DA4CD3" w:rsidRDefault="006944BB" w:rsidP="00E84C6E">
            <w:pPr>
              <w:pStyle w:val="cuatexto"/>
              <w:ind w:right="13"/>
              <w:jc w:val="right"/>
              <w:rPr>
                <w:szCs w:val="20"/>
              </w:rPr>
            </w:pPr>
            <w:r w:rsidRPr="00DA4CD3">
              <w:rPr>
                <w:szCs w:val="20"/>
              </w:rPr>
              <w:t>5,75</w:t>
            </w:r>
          </w:p>
        </w:tc>
      </w:tr>
      <w:tr w:rsidR="006944BB" w:rsidRPr="00DA4CD3" w:rsidTr="004B7FDA">
        <w:trPr>
          <w:trHeight w:val="255"/>
          <w:jc w:val="center"/>
        </w:trPr>
        <w:tc>
          <w:tcPr>
            <w:tcW w:w="2863" w:type="dxa"/>
            <w:tcBorders>
              <w:top w:val="single" w:sz="2" w:space="0" w:color="auto"/>
              <w:left w:val="nil"/>
              <w:bottom w:val="single" w:sz="2" w:space="0" w:color="auto"/>
              <w:right w:val="nil"/>
            </w:tcBorders>
            <w:shd w:val="clear" w:color="auto" w:fill="auto"/>
            <w:vAlign w:val="center"/>
          </w:tcPr>
          <w:p w:rsidR="006944BB" w:rsidRPr="00DA4CD3" w:rsidRDefault="006944BB" w:rsidP="00E84C6E">
            <w:pPr>
              <w:pStyle w:val="cuatexto"/>
              <w:tabs>
                <w:tab w:val="clear" w:pos="2835"/>
              </w:tabs>
              <w:ind w:left="-557" w:right="1600"/>
              <w:jc w:val="right"/>
              <w:rPr>
                <w:szCs w:val="20"/>
              </w:rPr>
            </w:pPr>
            <w:r w:rsidRPr="00DA4CD3">
              <w:rPr>
                <w:szCs w:val="20"/>
              </w:rPr>
              <w:t>10</w:t>
            </w:r>
          </w:p>
        </w:tc>
        <w:tc>
          <w:tcPr>
            <w:tcW w:w="2235" w:type="dxa"/>
            <w:tcBorders>
              <w:top w:val="single" w:sz="2" w:space="0" w:color="auto"/>
              <w:left w:val="nil"/>
              <w:bottom w:val="single" w:sz="2" w:space="0" w:color="auto"/>
              <w:right w:val="nil"/>
            </w:tcBorders>
            <w:shd w:val="clear" w:color="auto" w:fill="auto"/>
            <w:vAlign w:val="center"/>
          </w:tcPr>
          <w:p w:rsidR="006944BB" w:rsidRPr="00DA4CD3" w:rsidRDefault="006944BB" w:rsidP="00AA672F">
            <w:pPr>
              <w:pStyle w:val="cuatexto"/>
              <w:ind w:right="125"/>
              <w:jc w:val="right"/>
              <w:rPr>
                <w:szCs w:val="20"/>
              </w:rPr>
            </w:pPr>
            <w:r w:rsidRPr="00DA4CD3">
              <w:rPr>
                <w:szCs w:val="20"/>
              </w:rPr>
              <w:t>2.884.957</w:t>
            </w:r>
          </w:p>
        </w:tc>
        <w:tc>
          <w:tcPr>
            <w:tcW w:w="3641" w:type="dxa"/>
            <w:tcBorders>
              <w:top w:val="single" w:sz="2" w:space="0" w:color="auto"/>
              <w:left w:val="nil"/>
              <w:bottom w:val="single" w:sz="2" w:space="0" w:color="auto"/>
              <w:right w:val="nil"/>
            </w:tcBorders>
            <w:shd w:val="clear" w:color="auto" w:fill="auto"/>
            <w:vAlign w:val="center"/>
          </w:tcPr>
          <w:p w:rsidR="006944BB" w:rsidRPr="00DA4CD3" w:rsidRDefault="006944BB" w:rsidP="00E84C6E">
            <w:pPr>
              <w:pStyle w:val="cuatexto"/>
              <w:ind w:right="13"/>
              <w:jc w:val="right"/>
              <w:rPr>
                <w:szCs w:val="20"/>
              </w:rPr>
            </w:pPr>
            <w:r w:rsidRPr="00DA4CD3">
              <w:rPr>
                <w:szCs w:val="20"/>
              </w:rPr>
              <w:t>6,00</w:t>
            </w:r>
          </w:p>
        </w:tc>
      </w:tr>
      <w:tr w:rsidR="006944BB" w:rsidRPr="00DA4CD3" w:rsidTr="004B7FDA">
        <w:trPr>
          <w:trHeight w:val="255"/>
          <w:jc w:val="center"/>
        </w:trPr>
        <w:tc>
          <w:tcPr>
            <w:tcW w:w="2863" w:type="dxa"/>
            <w:tcBorders>
              <w:top w:val="single" w:sz="2" w:space="0" w:color="auto"/>
              <w:left w:val="nil"/>
              <w:bottom w:val="single" w:sz="2" w:space="0" w:color="auto"/>
              <w:right w:val="nil"/>
            </w:tcBorders>
            <w:shd w:val="clear" w:color="auto" w:fill="auto"/>
            <w:vAlign w:val="center"/>
          </w:tcPr>
          <w:p w:rsidR="006944BB" w:rsidRPr="00DA4CD3" w:rsidRDefault="006944BB" w:rsidP="00E84C6E">
            <w:pPr>
              <w:pStyle w:val="cuatexto"/>
              <w:tabs>
                <w:tab w:val="clear" w:pos="2835"/>
              </w:tabs>
              <w:ind w:left="-557" w:right="1600"/>
              <w:jc w:val="right"/>
              <w:rPr>
                <w:szCs w:val="20"/>
              </w:rPr>
            </w:pPr>
            <w:r w:rsidRPr="00DA4CD3">
              <w:rPr>
                <w:szCs w:val="20"/>
              </w:rPr>
              <w:t>10</w:t>
            </w:r>
          </w:p>
        </w:tc>
        <w:tc>
          <w:tcPr>
            <w:tcW w:w="2235" w:type="dxa"/>
            <w:tcBorders>
              <w:top w:val="single" w:sz="2" w:space="0" w:color="auto"/>
              <w:left w:val="nil"/>
              <w:bottom w:val="single" w:sz="2" w:space="0" w:color="auto"/>
              <w:right w:val="nil"/>
            </w:tcBorders>
            <w:shd w:val="clear" w:color="auto" w:fill="auto"/>
            <w:vAlign w:val="center"/>
          </w:tcPr>
          <w:p w:rsidR="006944BB" w:rsidRPr="00DA4CD3" w:rsidRDefault="006944BB" w:rsidP="00AA672F">
            <w:pPr>
              <w:pStyle w:val="cuatexto"/>
              <w:ind w:right="125"/>
              <w:jc w:val="right"/>
              <w:rPr>
                <w:szCs w:val="20"/>
              </w:rPr>
            </w:pPr>
            <w:r w:rsidRPr="00DA4CD3">
              <w:rPr>
                <w:szCs w:val="20"/>
              </w:rPr>
              <w:t>2.884.957</w:t>
            </w:r>
          </w:p>
        </w:tc>
        <w:tc>
          <w:tcPr>
            <w:tcW w:w="3641" w:type="dxa"/>
            <w:tcBorders>
              <w:top w:val="single" w:sz="2" w:space="0" w:color="auto"/>
              <w:left w:val="nil"/>
              <w:bottom w:val="single" w:sz="2" w:space="0" w:color="auto"/>
              <w:right w:val="nil"/>
            </w:tcBorders>
            <w:shd w:val="clear" w:color="auto" w:fill="auto"/>
            <w:vAlign w:val="center"/>
          </w:tcPr>
          <w:p w:rsidR="006944BB" w:rsidRPr="00DA4CD3" w:rsidRDefault="006944BB" w:rsidP="00E84C6E">
            <w:pPr>
              <w:pStyle w:val="cuatexto"/>
              <w:ind w:right="13"/>
              <w:jc w:val="right"/>
              <w:rPr>
                <w:szCs w:val="20"/>
              </w:rPr>
            </w:pPr>
            <w:r w:rsidRPr="00DA4CD3">
              <w:rPr>
                <w:szCs w:val="20"/>
              </w:rPr>
              <w:t>6,25</w:t>
            </w:r>
          </w:p>
        </w:tc>
      </w:tr>
      <w:tr w:rsidR="006944BB" w:rsidRPr="00DA4CD3" w:rsidTr="004B7FDA">
        <w:trPr>
          <w:trHeight w:val="255"/>
          <w:jc w:val="center"/>
        </w:trPr>
        <w:tc>
          <w:tcPr>
            <w:tcW w:w="2863" w:type="dxa"/>
            <w:tcBorders>
              <w:top w:val="single" w:sz="2" w:space="0" w:color="auto"/>
              <w:left w:val="nil"/>
              <w:bottom w:val="single" w:sz="2" w:space="0" w:color="auto"/>
              <w:right w:val="nil"/>
            </w:tcBorders>
            <w:shd w:val="clear" w:color="auto" w:fill="auto"/>
            <w:vAlign w:val="center"/>
          </w:tcPr>
          <w:p w:rsidR="006944BB" w:rsidRPr="00DA4CD3" w:rsidRDefault="006944BB" w:rsidP="00E84C6E">
            <w:pPr>
              <w:pStyle w:val="cuatexto"/>
              <w:tabs>
                <w:tab w:val="clear" w:pos="2835"/>
              </w:tabs>
              <w:ind w:left="-557" w:right="1600"/>
              <w:jc w:val="right"/>
              <w:rPr>
                <w:szCs w:val="20"/>
              </w:rPr>
            </w:pPr>
            <w:r w:rsidRPr="00DA4CD3">
              <w:rPr>
                <w:szCs w:val="20"/>
              </w:rPr>
              <w:t>10</w:t>
            </w:r>
          </w:p>
        </w:tc>
        <w:tc>
          <w:tcPr>
            <w:tcW w:w="2235" w:type="dxa"/>
            <w:tcBorders>
              <w:top w:val="single" w:sz="2" w:space="0" w:color="auto"/>
              <w:left w:val="nil"/>
              <w:bottom w:val="single" w:sz="2" w:space="0" w:color="auto"/>
              <w:right w:val="nil"/>
            </w:tcBorders>
            <w:shd w:val="clear" w:color="auto" w:fill="auto"/>
            <w:vAlign w:val="center"/>
          </w:tcPr>
          <w:p w:rsidR="006944BB" w:rsidRPr="00DA4CD3" w:rsidRDefault="006944BB" w:rsidP="00AA672F">
            <w:pPr>
              <w:pStyle w:val="cuatexto"/>
              <w:ind w:right="125"/>
              <w:jc w:val="right"/>
              <w:rPr>
                <w:szCs w:val="20"/>
              </w:rPr>
            </w:pPr>
            <w:r w:rsidRPr="00DA4CD3">
              <w:rPr>
                <w:szCs w:val="20"/>
              </w:rPr>
              <w:t>2.884.957</w:t>
            </w:r>
          </w:p>
        </w:tc>
        <w:tc>
          <w:tcPr>
            <w:tcW w:w="3641" w:type="dxa"/>
            <w:tcBorders>
              <w:top w:val="single" w:sz="2" w:space="0" w:color="auto"/>
              <w:left w:val="nil"/>
              <w:bottom w:val="single" w:sz="2" w:space="0" w:color="auto"/>
              <w:right w:val="nil"/>
            </w:tcBorders>
            <w:shd w:val="clear" w:color="auto" w:fill="auto"/>
            <w:vAlign w:val="center"/>
          </w:tcPr>
          <w:p w:rsidR="006944BB" w:rsidRPr="00DA4CD3" w:rsidRDefault="006944BB" w:rsidP="00E84C6E">
            <w:pPr>
              <w:pStyle w:val="cuatexto"/>
              <w:ind w:right="13"/>
              <w:jc w:val="right"/>
              <w:rPr>
                <w:szCs w:val="20"/>
              </w:rPr>
            </w:pPr>
            <w:r w:rsidRPr="00DA4CD3">
              <w:rPr>
                <w:szCs w:val="20"/>
              </w:rPr>
              <w:t>6,50</w:t>
            </w:r>
          </w:p>
        </w:tc>
      </w:tr>
      <w:tr w:rsidR="006944BB" w:rsidRPr="00DA4CD3" w:rsidTr="004B7FDA">
        <w:trPr>
          <w:trHeight w:val="255"/>
          <w:jc w:val="center"/>
        </w:trPr>
        <w:tc>
          <w:tcPr>
            <w:tcW w:w="2863" w:type="dxa"/>
            <w:tcBorders>
              <w:top w:val="single" w:sz="2" w:space="0" w:color="auto"/>
              <w:left w:val="nil"/>
              <w:bottom w:val="single" w:sz="2" w:space="0" w:color="auto"/>
              <w:right w:val="nil"/>
            </w:tcBorders>
            <w:shd w:val="clear" w:color="auto" w:fill="auto"/>
            <w:vAlign w:val="center"/>
          </w:tcPr>
          <w:p w:rsidR="006944BB" w:rsidRPr="00DA4CD3" w:rsidRDefault="006944BB" w:rsidP="00E84C6E">
            <w:pPr>
              <w:pStyle w:val="cuatexto"/>
              <w:tabs>
                <w:tab w:val="clear" w:pos="2835"/>
              </w:tabs>
              <w:ind w:left="-557" w:right="1600"/>
              <w:jc w:val="right"/>
              <w:rPr>
                <w:szCs w:val="20"/>
              </w:rPr>
            </w:pPr>
            <w:r w:rsidRPr="00DA4CD3">
              <w:rPr>
                <w:szCs w:val="20"/>
              </w:rPr>
              <w:t>10</w:t>
            </w:r>
          </w:p>
        </w:tc>
        <w:tc>
          <w:tcPr>
            <w:tcW w:w="2235" w:type="dxa"/>
            <w:tcBorders>
              <w:top w:val="single" w:sz="2" w:space="0" w:color="auto"/>
              <w:left w:val="nil"/>
              <w:bottom w:val="single" w:sz="2" w:space="0" w:color="auto"/>
              <w:right w:val="nil"/>
            </w:tcBorders>
            <w:shd w:val="clear" w:color="auto" w:fill="auto"/>
            <w:vAlign w:val="center"/>
          </w:tcPr>
          <w:p w:rsidR="006944BB" w:rsidRPr="00DA4CD3" w:rsidRDefault="006944BB" w:rsidP="00AA672F">
            <w:pPr>
              <w:pStyle w:val="cuatexto"/>
              <w:ind w:right="125"/>
              <w:jc w:val="right"/>
              <w:rPr>
                <w:szCs w:val="20"/>
              </w:rPr>
            </w:pPr>
            <w:r w:rsidRPr="00DA4CD3">
              <w:rPr>
                <w:szCs w:val="20"/>
              </w:rPr>
              <w:t>2.884.957</w:t>
            </w:r>
          </w:p>
        </w:tc>
        <w:tc>
          <w:tcPr>
            <w:tcW w:w="3641" w:type="dxa"/>
            <w:tcBorders>
              <w:top w:val="single" w:sz="2" w:space="0" w:color="auto"/>
              <w:left w:val="nil"/>
              <w:bottom w:val="single" w:sz="2" w:space="0" w:color="auto"/>
              <w:right w:val="nil"/>
            </w:tcBorders>
            <w:shd w:val="clear" w:color="auto" w:fill="auto"/>
            <w:vAlign w:val="center"/>
          </w:tcPr>
          <w:p w:rsidR="006944BB" w:rsidRPr="00DA4CD3" w:rsidRDefault="006944BB" w:rsidP="00E84C6E">
            <w:pPr>
              <w:pStyle w:val="cuatexto"/>
              <w:ind w:right="13"/>
              <w:jc w:val="right"/>
              <w:rPr>
                <w:szCs w:val="20"/>
              </w:rPr>
            </w:pPr>
            <w:r w:rsidRPr="00DA4CD3">
              <w:rPr>
                <w:szCs w:val="20"/>
              </w:rPr>
              <w:t>6,75</w:t>
            </w:r>
          </w:p>
        </w:tc>
      </w:tr>
      <w:tr w:rsidR="006944BB" w:rsidRPr="00DA4CD3" w:rsidTr="004B7FDA">
        <w:trPr>
          <w:trHeight w:val="255"/>
          <w:jc w:val="center"/>
        </w:trPr>
        <w:tc>
          <w:tcPr>
            <w:tcW w:w="2863" w:type="dxa"/>
            <w:tcBorders>
              <w:top w:val="single" w:sz="2" w:space="0" w:color="auto"/>
              <w:left w:val="nil"/>
              <w:bottom w:val="single" w:sz="4" w:space="0" w:color="auto"/>
              <w:right w:val="nil"/>
            </w:tcBorders>
            <w:shd w:val="clear" w:color="auto" w:fill="auto"/>
            <w:vAlign w:val="center"/>
          </w:tcPr>
          <w:p w:rsidR="006944BB" w:rsidRPr="00DA4CD3" w:rsidRDefault="006944BB" w:rsidP="00E84C6E">
            <w:pPr>
              <w:pStyle w:val="cuatexto"/>
              <w:tabs>
                <w:tab w:val="clear" w:pos="2835"/>
              </w:tabs>
              <w:ind w:left="-557" w:right="1600"/>
              <w:jc w:val="right"/>
              <w:rPr>
                <w:szCs w:val="20"/>
              </w:rPr>
            </w:pPr>
            <w:r w:rsidRPr="00DA4CD3">
              <w:rPr>
                <w:szCs w:val="20"/>
              </w:rPr>
              <w:fldChar w:fldCharType="begin"/>
            </w:r>
            <w:r w:rsidRPr="00DA4CD3">
              <w:rPr>
                <w:szCs w:val="20"/>
              </w:rPr>
              <w:instrText xml:space="preserve"> =SUM(ABOVE) </w:instrText>
            </w:r>
            <w:r w:rsidRPr="00DA4CD3">
              <w:rPr>
                <w:szCs w:val="20"/>
              </w:rPr>
              <w:fldChar w:fldCharType="separate"/>
            </w:r>
            <w:r w:rsidRPr="00DA4CD3">
              <w:rPr>
                <w:szCs w:val="20"/>
              </w:rPr>
              <w:t>100</w:t>
            </w:r>
            <w:r w:rsidRPr="00DA4CD3">
              <w:rPr>
                <w:szCs w:val="20"/>
              </w:rPr>
              <w:fldChar w:fldCharType="end"/>
            </w:r>
          </w:p>
        </w:tc>
        <w:tc>
          <w:tcPr>
            <w:tcW w:w="2235" w:type="dxa"/>
            <w:tcBorders>
              <w:top w:val="single" w:sz="2" w:space="0" w:color="auto"/>
              <w:left w:val="nil"/>
              <w:bottom w:val="single" w:sz="4" w:space="0" w:color="auto"/>
              <w:right w:val="nil"/>
            </w:tcBorders>
            <w:shd w:val="clear" w:color="auto" w:fill="auto"/>
            <w:vAlign w:val="center"/>
          </w:tcPr>
          <w:p w:rsidR="006944BB" w:rsidRPr="00DA4CD3" w:rsidRDefault="006944BB" w:rsidP="00AA672F">
            <w:pPr>
              <w:pStyle w:val="cuatexto"/>
              <w:ind w:right="125"/>
              <w:jc w:val="right"/>
              <w:rPr>
                <w:szCs w:val="20"/>
              </w:rPr>
            </w:pPr>
            <w:r w:rsidRPr="00DA4CD3">
              <w:rPr>
                <w:szCs w:val="20"/>
              </w:rPr>
              <w:fldChar w:fldCharType="begin"/>
            </w:r>
            <w:r w:rsidRPr="00DA4CD3">
              <w:rPr>
                <w:szCs w:val="20"/>
              </w:rPr>
              <w:instrText xml:space="preserve"> =SUM(ABOVE) </w:instrText>
            </w:r>
            <w:r w:rsidRPr="00DA4CD3">
              <w:rPr>
                <w:szCs w:val="20"/>
              </w:rPr>
              <w:fldChar w:fldCharType="separate"/>
            </w:r>
            <w:r w:rsidRPr="00DA4CD3">
              <w:rPr>
                <w:szCs w:val="20"/>
              </w:rPr>
              <w:t>28.849.57</w:t>
            </w:r>
            <w:r w:rsidRPr="00DA4CD3">
              <w:rPr>
                <w:szCs w:val="20"/>
              </w:rPr>
              <w:fldChar w:fldCharType="end"/>
            </w:r>
            <w:r w:rsidRPr="00DA4CD3">
              <w:rPr>
                <w:szCs w:val="20"/>
              </w:rPr>
              <w:t>4</w:t>
            </w:r>
          </w:p>
        </w:tc>
        <w:tc>
          <w:tcPr>
            <w:tcW w:w="3641" w:type="dxa"/>
            <w:tcBorders>
              <w:top w:val="single" w:sz="2" w:space="0" w:color="auto"/>
              <w:left w:val="nil"/>
              <w:bottom w:val="single" w:sz="4" w:space="0" w:color="auto"/>
              <w:right w:val="nil"/>
            </w:tcBorders>
            <w:shd w:val="clear" w:color="auto" w:fill="auto"/>
            <w:vAlign w:val="center"/>
          </w:tcPr>
          <w:p w:rsidR="006944BB" w:rsidRPr="00DA4CD3" w:rsidRDefault="006944BB" w:rsidP="00E84C6E">
            <w:pPr>
              <w:pStyle w:val="cuatexto"/>
              <w:ind w:right="13"/>
              <w:jc w:val="right"/>
              <w:rPr>
                <w:szCs w:val="20"/>
              </w:rPr>
            </w:pPr>
          </w:p>
        </w:tc>
      </w:tr>
    </w:tbl>
    <w:p w:rsidR="00B604C2" w:rsidRDefault="00B604C2" w:rsidP="006944BB">
      <w:pPr>
        <w:pStyle w:val="atitulo1"/>
      </w:pPr>
      <w:r>
        <w:br w:type="page"/>
      </w:r>
    </w:p>
    <w:p w:rsidR="006944BB" w:rsidRPr="00F43938" w:rsidRDefault="006944BB" w:rsidP="006944BB">
      <w:pPr>
        <w:pStyle w:val="atitulo1"/>
      </w:pPr>
      <w:bookmarkStart w:id="15" w:name="_Toc441141964"/>
      <w:r w:rsidRPr="00F43938">
        <w:lastRenderedPageBreak/>
        <w:t xml:space="preserve">III. Objetivo </w:t>
      </w:r>
      <w:bookmarkEnd w:id="5"/>
      <w:bookmarkEnd w:id="6"/>
      <w:r w:rsidRPr="00F43938">
        <w:t>y alcance</w:t>
      </w:r>
      <w:bookmarkEnd w:id="7"/>
      <w:bookmarkEnd w:id="15"/>
    </w:p>
    <w:p w:rsidR="006944BB" w:rsidRPr="00E81B25" w:rsidRDefault="006944BB" w:rsidP="006944BB">
      <w:pPr>
        <w:pStyle w:val="texto"/>
        <w:rPr>
          <w:lang w:val="es-ES"/>
        </w:rPr>
      </w:pPr>
      <w:r w:rsidRPr="00E81B25">
        <w:rPr>
          <w:lang w:val="es-ES"/>
        </w:rPr>
        <w:t xml:space="preserve">El objetivo de la fiscalización es calcular el resultado y la rentabilidad que </w:t>
      </w:r>
      <w:proofErr w:type="spellStart"/>
      <w:r w:rsidRPr="00E81B25">
        <w:rPr>
          <w:lang w:val="es-ES"/>
        </w:rPr>
        <w:t>Sodena</w:t>
      </w:r>
      <w:proofErr w:type="spellEnd"/>
      <w:r w:rsidRPr="00E81B25">
        <w:rPr>
          <w:lang w:val="es-ES"/>
        </w:rPr>
        <w:t xml:space="preserve"> obtuvo en la operación de compra-venta de las acciones de Iberdrola.</w:t>
      </w:r>
    </w:p>
    <w:p w:rsidR="006944BB" w:rsidRDefault="006944BB" w:rsidP="006944BB">
      <w:pPr>
        <w:pStyle w:val="texto"/>
        <w:rPr>
          <w:lang w:val="es-ES"/>
        </w:rPr>
      </w:pPr>
      <w:r w:rsidRPr="00E81B25">
        <w:rPr>
          <w:lang w:val="es-ES"/>
        </w:rPr>
        <w:t>El alcance del trabajo comprende el periodo 2005-2014, desde la adquisición de las acciones hasta su venta.</w:t>
      </w:r>
    </w:p>
    <w:p w:rsidR="003169E3" w:rsidRPr="00E81B25" w:rsidRDefault="003169E3" w:rsidP="003169E3">
      <w:pPr>
        <w:pStyle w:val="texto"/>
        <w:rPr>
          <w:lang w:val="es-ES"/>
        </w:rPr>
      </w:pPr>
      <w:r w:rsidRPr="00E81B25">
        <w:rPr>
          <w:lang w:val="es-ES"/>
        </w:rPr>
        <w:t>La fiscalización se ha realizado de acuerdo con los principios y normas de auditoría del Sector Público aprobados por la Comisión de Coordinación de los Órganos Públicos del Control Externo del Estado Español y las ISSAI-ES 100 de principios fundamentales de fiscalización del Sector Público aprobada</w:t>
      </w:r>
      <w:r w:rsidR="00396632">
        <w:rPr>
          <w:lang w:val="es-ES"/>
        </w:rPr>
        <w:t>s</w:t>
      </w:r>
      <w:r w:rsidRPr="00E81B25">
        <w:rPr>
          <w:lang w:val="es-ES"/>
        </w:rPr>
        <w:t xml:space="preserve"> por las Instituciones Públicas de control Externo, incluyendo todas aquellas pru</w:t>
      </w:r>
      <w:r w:rsidRPr="00E81B25">
        <w:rPr>
          <w:lang w:val="es-ES"/>
        </w:rPr>
        <w:t>e</w:t>
      </w:r>
      <w:r w:rsidRPr="00E81B25">
        <w:rPr>
          <w:lang w:val="es-ES"/>
        </w:rPr>
        <w:t>bas y procedimientos necesarios para cumplir el objetivo del trabajo.</w:t>
      </w:r>
    </w:p>
    <w:p w:rsidR="000B5868" w:rsidRPr="00744B30" w:rsidRDefault="00744B30" w:rsidP="00744B30">
      <w:pPr>
        <w:pStyle w:val="texto"/>
        <w:rPr>
          <w:lang w:val="es-ES"/>
        </w:rPr>
      </w:pPr>
      <w:r>
        <w:rPr>
          <w:lang w:val="es-ES"/>
        </w:rPr>
        <w:t xml:space="preserve">1. </w:t>
      </w:r>
      <w:r w:rsidRPr="00744B30">
        <w:rPr>
          <w:lang w:val="es-ES"/>
        </w:rPr>
        <w:t>La m</w:t>
      </w:r>
      <w:r w:rsidR="004470EA" w:rsidRPr="00744B30">
        <w:rPr>
          <w:lang w:val="es-ES"/>
        </w:rPr>
        <w:t xml:space="preserve">etodología </w:t>
      </w:r>
      <w:r w:rsidR="000B5868" w:rsidRPr="00744B30">
        <w:rPr>
          <w:lang w:val="es-ES"/>
        </w:rPr>
        <w:t>seguida para el cálculo de</w:t>
      </w:r>
      <w:r w:rsidR="00921BB6" w:rsidRPr="00744B30">
        <w:rPr>
          <w:lang w:val="es-ES"/>
        </w:rPr>
        <w:t>l resultado financiero</w:t>
      </w:r>
      <w:r w:rsidRPr="00744B30">
        <w:rPr>
          <w:lang w:val="es-ES"/>
        </w:rPr>
        <w:t xml:space="preserve"> ha sido la siguiente</w:t>
      </w:r>
      <w:r w:rsidR="00921BB6" w:rsidRPr="00744B30">
        <w:rPr>
          <w:lang w:val="es-ES"/>
        </w:rPr>
        <w:t xml:space="preserve"> </w:t>
      </w:r>
      <w:r w:rsidR="004470EA" w:rsidRPr="00744B30">
        <w:rPr>
          <w:lang w:val="es-ES"/>
        </w:rPr>
        <w:t xml:space="preserve"> </w:t>
      </w:r>
    </w:p>
    <w:p w:rsidR="006944BB" w:rsidRPr="000B5868" w:rsidRDefault="006944BB" w:rsidP="000B5868">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szCs w:val="26"/>
        </w:rPr>
      </w:pPr>
      <w:r w:rsidRPr="000B5868">
        <w:rPr>
          <w:szCs w:val="26"/>
        </w:rPr>
        <w:t xml:space="preserve">Se han considerado </w:t>
      </w:r>
      <w:r w:rsidR="00C96355">
        <w:rPr>
          <w:szCs w:val="26"/>
        </w:rPr>
        <w:t>los siguientes</w:t>
      </w:r>
      <w:r w:rsidRPr="000B5868">
        <w:rPr>
          <w:szCs w:val="26"/>
        </w:rPr>
        <w:t xml:space="preserve"> flujos financieros netos directamente r</w:t>
      </w:r>
      <w:r w:rsidRPr="000B5868">
        <w:rPr>
          <w:szCs w:val="26"/>
        </w:rPr>
        <w:t>e</w:t>
      </w:r>
      <w:r w:rsidRPr="000B5868">
        <w:rPr>
          <w:szCs w:val="26"/>
        </w:rPr>
        <w:t>lacionados con la operación</w:t>
      </w:r>
      <w:r w:rsidR="00C96355">
        <w:rPr>
          <w:szCs w:val="26"/>
        </w:rPr>
        <w:t>:</w:t>
      </w:r>
      <w:r w:rsidRPr="000B5868">
        <w:rPr>
          <w:szCs w:val="26"/>
        </w:rPr>
        <w:t xml:space="preserve"> coste de adquisición, </w:t>
      </w:r>
      <w:r w:rsidR="00C96355">
        <w:rPr>
          <w:szCs w:val="26"/>
        </w:rPr>
        <w:t>coste</w:t>
      </w:r>
      <w:r w:rsidRPr="000B5868">
        <w:rPr>
          <w:szCs w:val="26"/>
        </w:rPr>
        <w:t xml:space="preserve"> de </w:t>
      </w:r>
      <w:r w:rsidR="00ED31E9">
        <w:rPr>
          <w:szCs w:val="26"/>
        </w:rPr>
        <w:t>cobertura</w:t>
      </w:r>
      <w:r w:rsidRPr="000B5868">
        <w:rPr>
          <w:szCs w:val="26"/>
        </w:rPr>
        <w:t xml:space="preserve">, gastos de custodia, dividendos netos cobrados, </w:t>
      </w:r>
      <w:r w:rsidR="005302D8" w:rsidRPr="000B5868">
        <w:rPr>
          <w:szCs w:val="26"/>
        </w:rPr>
        <w:t xml:space="preserve">retenciones practicadas a los </w:t>
      </w:r>
      <w:r w:rsidRPr="000B5868">
        <w:rPr>
          <w:szCs w:val="26"/>
        </w:rPr>
        <w:t>dividendos recuperad</w:t>
      </w:r>
      <w:r w:rsidR="005302D8" w:rsidRPr="000B5868">
        <w:rPr>
          <w:szCs w:val="26"/>
        </w:rPr>
        <w:t>a</w:t>
      </w:r>
      <w:r w:rsidRPr="000B5868">
        <w:rPr>
          <w:szCs w:val="26"/>
        </w:rPr>
        <w:t xml:space="preserve">s a través del impuesto de sociedades, </w:t>
      </w:r>
      <w:r w:rsidR="000B5868">
        <w:rPr>
          <w:szCs w:val="26"/>
        </w:rPr>
        <w:t xml:space="preserve">reducción de capital de </w:t>
      </w:r>
      <w:proofErr w:type="spellStart"/>
      <w:r w:rsidR="000B5868">
        <w:rPr>
          <w:szCs w:val="26"/>
        </w:rPr>
        <w:t>Sod</w:t>
      </w:r>
      <w:r w:rsidR="000B5868">
        <w:rPr>
          <w:szCs w:val="26"/>
        </w:rPr>
        <w:t>e</w:t>
      </w:r>
      <w:r w:rsidR="000B5868">
        <w:rPr>
          <w:szCs w:val="26"/>
        </w:rPr>
        <w:t>na</w:t>
      </w:r>
      <w:proofErr w:type="spellEnd"/>
      <w:r w:rsidR="000B5868">
        <w:rPr>
          <w:szCs w:val="26"/>
        </w:rPr>
        <w:t xml:space="preserve"> mediante entrega de acciones de Iberdrola, </w:t>
      </w:r>
      <w:r w:rsidRPr="000B5868">
        <w:rPr>
          <w:szCs w:val="26"/>
        </w:rPr>
        <w:t>ingresos netos de la venta y ca</w:t>
      </w:r>
      <w:r w:rsidRPr="000B5868">
        <w:rPr>
          <w:szCs w:val="26"/>
        </w:rPr>
        <w:t>r</w:t>
      </w:r>
      <w:r w:rsidRPr="000B5868">
        <w:rPr>
          <w:szCs w:val="26"/>
        </w:rPr>
        <w:t xml:space="preserve">ga financiera del crédito aplicado a la financiación de la operación de </w:t>
      </w:r>
      <w:r w:rsidR="00ED31E9">
        <w:rPr>
          <w:szCs w:val="26"/>
        </w:rPr>
        <w:t>cobertura</w:t>
      </w:r>
      <w:r w:rsidRPr="000B5868">
        <w:rPr>
          <w:szCs w:val="26"/>
        </w:rPr>
        <w:t xml:space="preserve"> del precio de las acciones. </w:t>
      </w:r>
      <w:r w:rsidR="003169E3">
        <w:rPr>
          <w:szCs w:val="26"/>
        </w:rPr>
        <w:t xml:space="preserve">No se han considerado </w:t>
      </w:r>
      <w:r w:rsidR="00C96355">
        <w:rPr>
          <w:szCs w:val="26"/>
        </w:rPr>
        <w:t>los ingresos por</w:t>
      </w:r>
      <w:r w:rsidR="003169E3">
        <w:rPr>
          <w:szCs w:val="26"/>
        </w:rPr>
        <w:t xml:space="preserve"> la deuda di</w:t>
      </w:r>
      <w:r w:rsidR="003169E3">
        <w:rPr>
          <w:szCs w:val="26"/>
        </w:rPr>
        <w:t>s</w:t>
      </w:r>
      <w:r w:rsidR="003169E3">
        <w:rPr>
          <w:szCs w:val="26"/>
        </w:rPr>
        <w:t>puesta para financiar la operación analizada ni la</w:t>
      </w:r>
      <w:r w:rsidR="00C96355">
        <w:rPr>
          <w:szCs w:val="26"/>
        </w:rPr>
        <w:t>s</w:t>
      </w:r>
      <w:r w:rsidR="003169E3">
        <w:rPr>
          <w:szCs w:val="26"/>
        </w:rPr>
        <w:t xml:space="preserve"> amorti</w:t>
      </w:r>
      <w:r w:rsidR="00C96355">
        <w:rPr>
          <w:szCs w:val="26"/>
        </w:rPr>
        <w:t>zaciones</w:t>
      </w:r>
      <w:r w:rsidR="003169E3">
        <w:rPr>
          <w:szCs w:val="26"/>
        </w:rPr>
        <w:t xml:space="preserve"> de la misma.</w:t>
      </w:r>
    </w:p>
    <w:p w:rsidR="006944BB" w:rsidRPr="00C96355" w:rsidRDefault="006944BB" w:rsidP="00C96355">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szCs w:val="26"/>
        </w:rPr>
      </w:pPr>
      <w:r w:rsidRPr="00C96355">
        <w:rPr>
          <w:szCs w:val="26"/>
        </w:rPr>
        <w:t xml:space="preserve">No se ha </w:t>
      </w:r>
      <w:r w:rsidR="00921BB6" w:rsidRPr="00C96355">
        <w:rPr>
          <w:szCs w:val="26"/>
        </w:rPr>
        <w:t>tenido en cuenta</w:t>
      </w:r>
      <w:r w:rsidRPr="00C96355">
        <w:rPr>
          <w:szCs w:val="26"/>
        </w:rPr>
        <w:t xml:space="preserve"> el coste de oportunidad correspondiente a los beneficios</w:t>
      </w:r>
      <w:r w:rsidR="006A320C">
        <w:rPr>
          <w:szCs w:val="26"/>
        </w:rPr>
        <w:t xml:space="preserve"> económicos o sociales</w:t>
      </w:r>
      <w:r w:rsidRPr="00C96355">
        <w:rPr>
          <w:szCs w:val="26"/>
        </w:rPr>
        <w:t xml:space="preserve"> que se hubieran obtenido invirtiendo el i</w:t>
      </w:r>
      <w:r w:rsidRPr="00C96355">
        <w:rPr>
          <w:szCs w:val="26"/>
        </w:rPr>
        <w:t>m</w:t>
      </w:r>
      <w:r w:rsidRPr="00C96355">
        <w:rPr>
          <w:szCs w:val="26"/>
        </w:rPr>
        <w:t>porte destinado a la compra de las acciones</w:t>
      </w:r>
      <w:r w:rsidR="006A320C">
        <w:rPr>
          <w:szCs w:val="26"/>
        </w:rPr>
        <w:t xml:space="preserve"> en otras actuaciones públicas</w:t>
      </w:r>
      <w:r w:rsidRPr="00C96355">
        <w:rPr>
          <w:szCs w:val="26"/>
        </w:rPr>
        <w:t>.</w:t>
      </w:r>
    </w:p>
    <w:p w:rsidR="000B5868" w:rsidRPr="000B5868" w:rsidRDefault="000B5868" w:rsidP="000B5868">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szCs w:val="26"/>
        </w:rPr>
      </w:pPr>
      <w:r w:rsidRPr="000B5868">
        <w:rPr>
          <w:szCs w:val="26"/>
        </w:rPr>
        <w:t>La operación de reducción de capital mediante la entrega de acciones se ha incluido como un ingreso por venta de acciones al precio de cotización del día de su formalización.</w:t>
      </w:r>
    </w:p>
    <w:p w:rsidR="006944BB" w:rsidRPr="000B5868" w:rsidRDefault="006944BB" w:rsidP="000B5868">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szCs w:val="26"/>
        </w:rPr>
      </w:pPr>
      <w:r w:rsidRPr="000B5868">
        <w:rPr>
          <w:szCs w:val="26"/>
        </w:rPr>
        <w:t xml:space="preserve">Respecto al crédito </w:t>
      </w:r>
      <w:r w:rsidR="00921BB6">
        <w:rPr>
          <w:szCs w:val="26"/>
        </w:rPr>
        <w:t xml:space="preserve">de 120 millones concertado en </w:t>
      </w:r>
      <w:r w:rsidR="00B604C2">
        <w:rPr>
          <w:szCs w:val="26"/>
        </w:rPr>
        <w:t>2005</w:t>
      </w:r>
      <w:r w:rsidR="00921BB6">
        <w:rPr>
          <w:szCs w:val="26"/>
        </w:rPr>
        <w:t xml:space="preserve">, </w:t>
      </w:r>
      <w:r w:rsidRPr="000B5868">
        <w:rPr>
          <w:szCs w:val="26"/>
        </w:rPr>
        <w:t>se ha</w:t>
      </w:r>
      <w:r w:rsidR="00921BB6">
        <w:rPr>
          <w:szCs w:val="26"/>
        </w:rPr>
        <w:t xml:space="preserve"> imputado</w:t>
      </w:r>
      <w:r w:rsidRPr="000B5868">
        <w:rPr>
          <w:szCs w:val="26"/>
        </w:rPr>
        <w:t xml:space="preserve"> </w:t>
      </w:r>
      <w:r w:rsidR="00921BB6">
        <w:rPr>
          <w:szCs w:val="26"/>
        </w:rPr>
        <w:t xml:space="preserve">la carga financiera de </w:t>
      </w:r>
      <w:r w:rsidRPr="000B5868">
        <w:rPr>
          <w:szCs w:val="26"/>
        </w:rPr>
        <w:t xml:space="preserve">90.956.308 euros dispuestos </w:t>
      </w:r>
      <w:r w:rsidR="00FA5D62">
        <w:rPr>
          <w:szCs w:val="26"/>
        </w:rPr>
        <w:t xml:space="preserve">en mayo de 2007 </w:t>
      </w:r>
      <w:r w:rsidRPr="000B5868">
        <w:rPr>
          <w:szCs w:val="26"/>
        </w:rPr>
        <w:t>para liquidar la operación</w:t>
      </w:r>
      <w:r w:rsidR="00ED31E9">
        <w:rPr>
          <w:szCs w:val="26"/>
        </w:rPr>
        <w:t xml:space="preserve"> </w:t>
      </w:r>
      <w:r w:rsidRPr="000B5868">
        <w:rPr>
          <w:szCs w:val="26"/>
        </w:rPr>
        <w:t xml:space="preserve">de </w:t>
      </w:r>
      <w:r w:rsidR="00ED31E9">
        <w:rPr>
          <w:szCs w:val="26"/>
        </w:rPr>
        <w:t>cobertura</w:t>
      </w:r>
      <w:r w:rsidRPr="000B5868">
        <w:rPr>
          <w:szCs w:val="26"/>
        </w:rPr>
        <w:t xml:space="preserve"> de las acciones y</w:t>
      </w:r>
      <w:r w:rsidR="000B5868">
        <w:rPr>
          <w:szCs w:val="26"/>
        </w:rPr>
        <w:t xml:space="preserve"> </w:t>
      </w:r>
      <w:r w:rsidR="00921BB6">
        <w:rPr>
          <w:szCs w:val="26"/>
        </w:rPr>
        <w:t xml:space="preserve">la carga financiera de </w:t>
      </w:r>
      <w:r w:rsidR="000B5868">
        <w:rPr>
          <w:szCs w:val="26"/>
        </w:rPr>
        <w:t>70.319.848 euros</w:t>
      </w:r>
      <w:r w:rsidRPr="000B5868">
        <w:rPr>
          <w:szCs w:val="26"/>
        </w:rPr>
        <w:t xml:space="preserve"> desde marzo de 2008, fecha en que </w:t>
      </w:r>
      <w:proofErr w:type="spellStart"/>
      <w:r w:rsidRPr="000B5868">
        <w:rPr>
          <w:szCs w:val="26"/>
        </w:rPr>
        <w:t>Sodena</w:t>
      </w:r>
      <w:proofErr w:type="spellEnd"/>
      <w:r w:rsidRPr="000B5868">
        <w:rPr>
          <w:szCs w:val="26"/>
        </w:rPr>
        <w:t xml:space="preserve"> redujo capital, </w:t>
      </w:r>
      <w:r w:rsidR="00BB396D">
        <w:rPr>
          <w:szCs w:val="26"/>
        </w:rPr>
        <w:t xml:space="preserve">entregando </w:t>
      </w:r>
      <w:r w:rsidR="000B5868">
        <w:rPr>
          <w:szCs w:val="26"/>
        </w:rPr>
        <w:t>a</w:t>
      </w:r>
      <w:r w:rsidR="000B5868">
        <w:rPr>
          <w:szCs w:val="26"/>
        </w:rPr>
        <w:t>c</w:t>
      </w:r>
      <w:r w:rsidR="000B5868">
        <w:rPr>
          <w:szCs w:val="26"/>
        </w:rPr>
        <w:t>ciones</w:t>
      </w:r>
      <w:r w:rsidR="00BB396D">
        <w:rPr>
          <w:szCs w:val="26"/>
        </w:rPr>
        <w:t xml:space="preserve"> de Iberdrola </w:t>
      </w:r>
      <w:r w:rsidR="000B5868">
        <w:rPr>
          <w:szCs w:val="26"/>
        </w:rPr>
        <w:t>y el crédito asociado a las mismas.</w:t>
      </w:r>
      <w:r w:rsidRPr="000B5868">
        <w:rPr>
          <w:szCs w:val="26"/>
        </w:rPr>
        <w:t xml:space="preserve"> </w:t>
      </w:r>
    </w:p>
    <w:p w:rsidR="006944BB" w:rsidRPr="00E81B25" w:rsidRDefault="006944BB" w:rsidP="006944BB">
      <w:pPr>
        <w:pStyle w:val="texto"/>
        <w:rPr>
          <w:lang w:val="es-ES"/>
        </w:rPr>
      </w:pPr>
      <w:r w:rsidRPr="00E81B25">
        <w:rPr>
          <w:lang w:val="es-ES"/>
        </w:rPr>
        <w:t xml:space="preserve">En el periodo de marzo de 2008 a 31 de marzo de 2014, </w:t>
      </w:r>
      <w:r w:rsidR="00921BB6">
        <w:rPr>
          <w:lang w:val="es-ES"/>
        </w:rPr>
        <w:t>la carga financiera</w:t>
      </w:r>
      <w:r w:rsidRPr="00E81B25">
        <w:rPr>
          <w:lang w:val="es-ES"/>
        </w:rPr>
        <w:t xml:space="preserve"> del crédito de 70.319.848 </w:t>
      </w:r>
      <w:r w:rsidR="00921BB6">
        <w:rPr>
          <w:lang w:val="es-ES"/>
        </w:rPr>
        <w:t xml:space="preserve">euros </w:t>
      </w:r>
      <w:r w:rsidRPr="00E81B25">
        <w:rPr>
          <w:lang w:val="es-ES"/>
        </w:rPr>
        <w:t>se ha calculado sobre el importe resultante de la suma del capital y los intereses liquidados en el ejercicio anterior, dado que dichos intereses incrementaban el crédito dispuesto. Se ha aplicado en cada p</w:t>
      </w:r>
      <w:r w:rsidRPr="00E81B25">
        <w:rPr>
          <w:lang w:val="es-ES"/>
        </w:rPr>
        <w:t>e</w:t>
      </w:r>
      <w:r w:rsidRPr="00E81B25">
        <w:rPr>
          <w:lang w:val="es-ES"/>
        </w:rPr>
        <w:t xml:space="preserve">riodo de liquidación de intereses, el interés </w:t>
      </w:r>
      <w:r w:rsidR="005302D8">
        <w:rPr>
          <w:lang w:val="es-ES"/>
        </w:rPr>
        <w:t>y</w:t>
      </w:r>
      <w:r w:rsidRPr="00E81B25">
        <w:rPr>
          <w:lang w:val="es-ES"/>
        </w:rPr>
        <w:t xml:space="preserve"> el diferencial</w:t>
      </w:r>
      <w:r w:rsidR="005302D8">
        <w:rPr>
          <w:lang w:val="es-ES"/>
        </w:rPr>
        <w:t>, ambos ponderados,</w:t>
      </w:r>
      <w:r w:rsidRPr="00E81B25">
        <w:rPr>
          <w:lang w:val="es-ES"/>
        </w:rPr>
        <w:t xml:space="preserve"> </w:t>
      </w:r>
      <w:r w:rsidRPr="00E81B25">
        <w:rPr>
          <w:lang w:val="es-ES"/>
        </w:rPr>
        <w:lastRenderedPageBreak/>
        <w:t xml:space="preserve">en función del volumen de deuda concertado con cada una de las seis entidades financieras. </w:t>
      </w:r>
    </w:p>
    <w:p w:rsidR="006944BB" w:rsidRPr="00E81B25" w:rsidRDefault="006944BB" w:rsidP="00D537FD">
      <w:pPr>
        <w:pStyle w:val="texto"/>
        <w:rPr>
          <w:lang w:val="es-ES"/>
        </w:rPr>
      </w:pPr>
      <w:r w:rsidRPr="00E81B25">
        <w:rPr>
          <w:lang w:val="es-ES"/>
        </w:rPr>
        <w:t xml:space="preserve">Desde el 1 de abril de 2014, fecha en que se </w:t>
      </w:r>
      <w:proofErr w:type="spellStart"/>
      <w:r w:rsidRPr="00E81B25">
        <w:rPr>
          <w:lang w:val="es-ES"/>
        </w:rPr>
        <w:t>refinancia</w:t>
      </w:r>
      <w:proofErr w:type="spellEnd"/>
      <w:r w:rsidRPr="00E81B25">
        <w:rPr>
          <w:lang w:val="es-ES"/>
        </w:rPr>
        <w:t xml:space="preserve"> la deuda, se ha </w:t>
      </w:r>
      <w:r w:rsidR="00921BB6">
        <w:rPr>
          <w:lang w:val="es-ES"/>
        </w:rPr>
        <w:t>imp</w:t>
      </w:r>
      <w:r w:rsidR="00921BB6">
        <w:rPr>
          <w:lang w:val="es-ES"/>
        </w:rPr>
        <w:t>u</w:t>
      </w:r>
      <w:r w:rsidR="00921BB6">
        <w:rPr>
          <w:lang w:val="es-ES"/>
        </w:rPr>
        <w:t>tado</w:t>
      </w:r>
      <w:r w:rsidRPr="00E81B25">
        <w:rPr>
          <w:lang w:val="es-ES"/>
        </w:rPr>
        <w:t xml:space="preserve"> el interés acordado con cada entidad financiera.</w:t>
      </w:r>
    </w:p>
    <w:p w:rsidR="006944BB" w:rsidRDefault="006944BB" w:rsidP="00921BB6">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szCs w:val="26"/>
        </w:rPr>
      </w:pPr>
      <w:r w:rsidRPr="00921BB6">
        <w:rPr>
          <w:szCs w:val="26"/>
        </w:rPr>
        <w:t>A fin de eliminar el efecto de la inflación y homogeneizar el poder adquis</w:t>
      </w:r>
      <w:r w:rsidRPr="00921BB6">
        <w:rPr>
          <w:szCs w:val="26"/>
        </w:rPr>
        <w:t>i</w:t>
      </w:r>
      <w:r w:rsidRPr="00921BB6">
        <w:rPr>
          <w:szCs w:val="26"/>
        </w:rPr>
        <w:t>tivo de magnitudes liquidadas en diferentes periodos de tiempo, se han capital</w:t>
      </w:r>
      <w:r w:rsidRPr="00921BB6">
        <w:rPr>
          <w:szCs w:val="26"/>
        </w:rPr>
        <w:t>i</w:t>
      </w:r>
      <w:r w:rsidRPr="00921BB6">
        <w:rPr>
          <w:szCs w:val="26"/>
        </w:rPr>
        <w:t xml:space="preserve">zado </w:t>
      </w:r>
      <w:r w:rsidR="00C96355">
        <w:rPr>
          <w:szCs w:val="26"/>
        </w:rPr>
        <w:t xml:space="preserve">todos </w:t>
      </w:r>
      <w:r w:rsidRPr="00921BB6">
        <w:rPr>
          <w:szCs w:val="26"/>
        </w:rPr>
        <w:t>los gastos e ingresos asociados a las acciones de Iberdrola</w:t>
      </w:r>
      <w:r w:rsidR="00C96355">
        <w:rPr>
          <w:szCs w:val="26"/>
        </w:rPr>
        <w:t>,</w:t>
      </w:r>
      <w:r w:rsidR="00C96355" w:rsidRPr="00C96355">
        <w:rPr>
          <w:szCs w:val="26"/>
        </w:rPr>
        <w:t xml:space="preserve"> </w:t>
      </w:r>
      <w:r w:rsidR="00C96355">
        <w:rPr>
          <w:szCs w:val="26"/>
        </w:rPr>
        <w:t>detall</w:t>
      </w:r>
      <w:r w:rsidR="00C96355">
        <w:rPr>
          <w:szCs w:val="26"/>
        </w:rPr>
        <w:t>a</w:t>
      </w:r>
      <w:r w:rsidR="00C96355">
        <w:rPr>
          <w:szCs w:val="26"/>
        </w:rPr>
        <w:t>dos en los anexos de este informe,</w:t>
      </w:r>
      <w:r w:rsidRPr="00921BB6">
        <w:rPr>
          <w:szCs w:val="26"/>
        </w:rPr>
        <w:t xml:space="preserve"> con el IPC acumulado desde el mes siguie</w:t>
      </w:r>
      <w:r w:rsidRPr="00921BB6">
        <w:rPr>
          <w:szCs w:val="26"/>
        </w:rPr>
        <w:t>n</w:t>
      </w:r>
      <w:r w:rsidRPr="00921BB6">
        <w:rPr>
          <w:szCs w:val="26"/>
        </w:rPr>
        <w:t xml:space="preserve">te a </w:t>
      </w:r>
      <w:r w:rsidR="00C96355">
        <w:rPr>
          <w:szCs w:val="26"/>
        </w:rPr>
        <w:t xml:space="preserve">su </w:t>
      </w:r>
      <w:r w:rsidRPr="00921BB6">
        <w:rPr>
          <w:szCs w:val="26"/>
        </w:rPr>
        <w:t>liquidación hasta 31 de octubre de 2014, fecha de venta del último p</w:t>
      </w:r>
      <w:r w:rsidRPr="00921BB6">
        <w:rPr>
          <w:szCs w:val="26"/>
        </w:rPr>
        <w:t>a</w:t>
      </w:r>
      <w:r w:rsidRPr="00921BB6">
        <w:rPr>
          <w:szCs w:val="26"/>
        </w:rPr>
        <w:t xml:space="preserve">quete de acciones. </w:t>
      </w:r>
    </w:p>
    <w:p w:rsidR="006E2A1A" w:rsidRDefault="006E2A1A" w:rsidP="006E2A1A">
      <w:pPr>
        <w:pStyle w:val="texto"/>
        <w:rPr>
          <w:lang w:val="es-ES"/>
        </w:rPr>
      </w:pPr>
      <w:r>
        <w:rPr>
          <w:lang w:val="es-ES"/>
        </w:rPr>
        <w:t xml:space="preserve">Por tanto, el factor de capitalización empleado para calcular el importe de una operación en una fecha posterior ha sido el IPC acumulado en el periodo comprendido entre el mes siguiente </w:t>
      </w:r>
      <w:r w:rsidR="00BB396D">
        <w:rPr>
          <w:lang w:val="es-ES"/>
        </w:rPr>
        <w:t>a</w:t>
      </w:r>
      <w:r>
        <w:rPr>
          <w:lang w:val="es-ES"/>
        </w:rPr>
        <w:t xml:space="preserve"> la realización de la operación y 31 de o</w:t>
      </w:r>
      <w:r>
        <w:rPr>
          <w:lang w:val="es-ES"/>
        </w:rPr>
        <w:t>c</w:t>
      </w:r>
      <w:r>
        <w:rPr>
          <w:lang w:val="es-ES"/>
        </w:rPr>
        <w:t>tubre de 2014.</w:t>
      </w:r>
    </w:p>
    <w:p w:rsidR="006944BB" w:rsidRDefault="006944BB" w:rsidP="006944BB">
      <w:pPr>
        <w:pStyle w:val="texto"/>
        <w:rPr>
          <w:lang w:val="es-ES"/>
        </w:rPr>
      </w:pPr>
      <w:r w:rsidRPr="00E81B25">
        <w:rPr>
          <w:lang w:val="es-ES"/>
        </w:rPr>
        <w:t>Así mismo, se han actualizado a 31 de octubre de 2014 las retenciones pra</w:t>
      </w:r>
      <w:r w:rsidRPr="00E81B25">
        <w:rPr>
          <w:lang w:val="es-ES"/>
        </w:rPr>
        <w:t>c</w:t>
      </w:r>
      <w:r w:rsidRPr="00E81B25">
        <w:rPr>
          <w:lang w:val="es-ES"/>
        </w:rPr>
        <w:t xml:space="preserve">ticadas sobre los dividendos, </w:t>
      </w:r>
      <w:r w:rsidR="00B604C2">
        <w:rPr>
          <w:lang w:val="es-ES"/>
        </w:rPr>
        <w:t>que se recuperarán</w:t>
      </w:r>
      <w:r w:rsidRPr="00E81B25">
        <w:rPr>
          <w:lang w:val="es-ES"/>
        </w:rPr>
        <w:t xml:space="preserve"> en la liquidación del impuesto de sociedades en 2015 y 2016.</w:t>
      </w:r>
      <w:r w:rsidR="006E2A1A">
        <w:rPr>
          <w:lang w:val="es-ES"/>
        </w:rPr>
        <w:t xml:space="preserve"> El factor de actualización pa</w:t>
      </w:r>
      <w:r w:rsidR="00C10EED">
        <w:rPr>
          <w:lang w:val="es-ES"/>
        </w:rPr>
        <w:t xml:space="preserve">ra calcular el valor en una fecha anterior a la de recuperación </w:t>
      </w:r>
      <w:r w:rsidR="006E2A1A">
        <w:rPr>
          <w:lang w:val="es-ES"/>
        </w:rPr>
        <w:t xml:space="preserve">de las retenciones ha sido el IPC acumulado en el periodo comprendido entre el 31 de octubre de 2014 y la fecha de recuperación de las retenciones. </w:t>
      </w:r>
    </w:p>
    <w:p w:rsidR="00527FA9" w:rsidRDefault="00527FA9" w:rsidP="00527FA9">
      <w:pPr>
        <w:pStyle w:val="texto"/>
        <w:rPr>
          <w:lang w:val="es-ES"/>
        </w:rPr>
      </w:pPr>
      <w:r w:rsidRPr="00E81B25">
        <w:rPr>
          <w:lang w:val="es-ES"/>
        </w:rPr>
        <w:t>El IPC se ha obtenido de la información publicada por el Instituto Nacional de Estadística sobre la variación de dicho índice entre dos periodos cualesqui</w:t>
      </w:r>
      <w:r w:rsidRPr="00E81B25">
        <w:rPr>
          <w:lang w:val="es-ES"/>
        </w:rPr>
        <w:t>e</w:t>
      </w:r>
      <w:r w:rsidRPr="00E81B25">
        <w:rPr>
          <w:lang w:val="es-ES"/>
        </w:rPr>
        <w:t>ra y para la Comunidad Foral de Navarra.</w:t>
      </w:r>
    </w:p>
    <w:p w:rsidR="00921BB6" w:rsidRPr="00E81B25" w:rsidRDefault="00921BB6" w:rsidP="006944BB">
      <w:pPr>
        <w:pStyle w:val="texto"/>
        <w:rPr>
          <w:lang w:val="es-ES"/>
        </w:rPr>
      </w:pPr>
      <w:r>
        <w:rPr>
          <w:lang w:val="es-ES"/>
        </w:rPr>
        <w:t>El resultado financiero de la operación se ha calculado por diferencia entre los ingresos y los gastos de la misma, expresados ambos en valores reales o e</w:t>
      </w:r>
      <w:r>
        <w:rPr>
          <w:lang w:val="es-ES"/>
        </w:rPr>
        <w:t>u</w:t>
      </w:r>
      <w:r>
        <w:rPr>
          <w:lang w:val="es-ES"/>
        </w:rPr>
        <w:t>ros constantes</w:t>
      </w:r>
      <w:r w:rsidR="002334ED">
        <w:rPr>
          <w:lang w:val="es-ES"/>
        </w:rPr>
        <w:t xml:space="preserve">, esto </w:t>
      </w:r>
      <w:proofErr w:type="gramStart"/>
      <w:r w:rsidR="002334ED">
        <w:rPr>
          <w:lang w:val="es-ES"/>
        </w:rPr>
        <w:t>es</w:t>
      </w:r>
      <w:proofErr w:type="gramEnd"/>
      <w:r w:rsidR="00C10EED">
        <w:rPr>
          <w:lang w:val="es-ES"/>
        </w:rPr>
        <w:t>,</w:t>
      </w:r>
      <w:r w:rsidR="002334ED">
        <w:rPr>
          <w:lang w:val="es-ES"/>
        </w:rPr>
        <w:t xml:space="preserve"> descontada la inflación,</w:t>
      </w:r>
      <w:r>
        <w:rPr>
          <w:lang w:val="es-ES"/>
        </w:rPr>
        <w:t xml:space="preserve"> a 31 de octubre de 2014.</w:t>
      </w:r>
    </w:p>
    <w:p w:rsidR="00D805F6" w:rsidRPr="007A4233" w:rsidRDefault="00D805F6" w:rsidP="007A4233">
      <w:pPr>
        <w:pStyle w:val="texto"/>
        <w:rPr>
          <w:lang w:val="es-ES"/>
        </w:rPr>
      </w:pPr>
      <w:r w:rsidRPr="007A4233">
        <w:rPr>
          <w:lang w:val="es-ES"/>
        </w:rPr>
        <w:t xml:space="preserve">2. </w:t>
      </w:r>
      <w:r w:rsidR="007A4233" w:rsidRPr="007A4233">
        <w:rPr>
          <w:lang w:val="es-ES"/>
        </w:rPr>
        <w:t xml:space="preserve">La metodología </w:t>
      </w:r>
      <w:r w:rsidR="00921BB6" w:rsidRPr="007A4233">
        <w:rPr>
          <w:lang w:val="es-ES"/>
        </w:rPr>
        <w:t>seguida para el cálculo de la Tasa Interna de Rentabilidad de</w:t>
      </w:r>
      <w:r w:rsidR="00B604C2">
        <w:rPr>
          <w:lang w:val="es-ES"/>
        </w:rPr>
        <w:t xml:space="preserve"> la inversión</w:t>
      </w:r>
      <w:r w:rsidR="00921BB6" w:rsidRPr="007A4233">
        <w:rPr>
          <w:lang w:val="es-ES"/>
        </w:rPr>
        <w:t xml:space="preserve"> </w:t>
      </w:r>
      <w:r w:rsidR="007A4233" w:rsidRPr="007A4233">
        <w:rPr>
          <w:lang w:val="es-ES"/>
        </w:rPr>
        <w:t>ha sido la siguiente:</w:t>
      </w:r>
    </w:p>
    <w:p w:rsidR="00D907E0" w:rsidRDefault="009D0D3A" w:rsidP="00921BB6">
      <w:pPr>
        <w:pStyle w:val="texto"/>
        <w:rPr>
          <w:lang w:val="es-ES"/>
        </w:rPr>
      </w:pPr>
      <w:r>
        <w:rPr>
          <w:lang w:val="es-ES"/>
        </w:rPr>
        <w:t xml:space="preserve">La Tasa Interna de Rentabilidad </w:t>
      </w:r>
      <w:r w:rsidR="00BB396D">
        <w:rPr>
          <w:lang w:val="es-ES"/>
        </w:rPr>
        <w:t xml:space="preserve">(TIR) </w:t>
      </w:r>
      <w:r w:rsidR="00B604C2">
        <w:rPr>
          <w:lang w:val="es-ES"/>
        </w:rPr>
        <w:t xml:space="preserve">de un proyecto </w:t>
      </w:r>
      <w:r w:rsidR="00D907E0">
        <w:rPr>
          <w:lang w:val="es-ES"/>
        </w:rPr>
        <w:t>se define</w:t>
      </w:r>
      <w:r>
        <w:rPr>
          <w:lang w:val="es-ES"/>
        </w:rPr>
        <w:t xml:space="preserve"> como el tipo de descuento que hace que el valor actual de una inversión sea cero</w:t>
      </w:r>
      <w:r w:rsidR="006A320C">
        <w:rPr>
          <w:lang w:val="es-ES"/>
        </w:rPr>
        <w:t>, igualando en el periodo analizado los flujos de ingresos y</w:t>
      </w:r>
      <w:r w:rsidR="00D907E0">
        <w:rPr>
          <w:lang w:val="es-ES"/>
        </w:rPr>
        <w:t xml:space="preserve"> </w:t>
      </w:r>
      <w:r w:rsidR="006A320C">
        <w:rPr>
          <w:lang w:val="es-ES"/>
        </w:rPr>
        <w:t>desembolsos</w:t>
      </w:r>
      <w:r w:rsidR="00D907E0">
        <w:rPr>
          <w:lang w:val="es-ES"/>
        </w:rPr>
        <w:t xml:space="preserve">. </w:t>
      </w:r>
      <w:r w:rsidR="006A320C">
        <w:rPr>
          <w:lang w:val="es-ES"/>
        </w:rPr>
        <w:t>En su cálculo n</w:t>
      </w:r>
      <w:r w:rsidR="00D907E0">
        <w:rPr>
          <w:lang w:val="es-ES"/>
        </w:rPr>
        <w:t>o suele incluirse la carga financiera de la deuda asociada a la financia</w:t>
      </w:r>
      <w:r w:rsidR="006A320C">
        <w:rPr>
          <w:lang w:val="es-ES"/>
        </w:rPr>
        <w:t>ción de la inversión</w:t>
      </w:r>
      <w:r w:rsidR="00D907E0">
        <w:rPr>
          <w:lang w:val="es-ES"/>
        </w:rPr>
        <w:t xml:space="preserve">, a </w:t>
      </w:r>
      <w:r w:rsidR="006A320C">
        <w:rPr>
          <w:lang w:val="es-ES"/>
        </w:rPr>
        <w:t xml:space="preserve">fin </w:t>
      </w:r>
      <w:r w:rsidR="00D907E0">
        <w:rPr>
          <w:lang w:val="es-ES"/>
        </w:rPr>
        <w:t xml:space="preserve">de no condicionar </w:t>
      </w:r>
      <w:r w:rsidR="003169E3">
        <w:rPr>
          <w:lang w:val="es-ES"/>
        </w:rPr>
        <w:t xml:space="preserve">su </w:t>
      </w:r>
      <w:r w:rsidR="00D907E0">
        <w:rPr>
          <w:lang w:val="es-ES"/>
        </w:rPr>
        <w:t>viabilidad a las fuentes de financiación empleadas.</w:t>
      </w:r>
    </w:p>
    <w:p w:rsidR="00D907E0" w:rsidRDefault="00C96355" w:rsidP="00921BB6">
      <w:pPr>
        <w:pStyle w:val="texto"/>
        <w:rPr>
          <w:lang w:val="es-ES"/>
        </w:rPr>
      </w:pPr>
      <w:r>
        <w:rPr>
          <w:lang w:val="es-ES"/>
        </w:rPr>
        <w:t>Teniendo en cuenta dicho criterio, hem</w:t>
      </w:r>
      <w:r w:rsidR="00D907E0">
        <w:rPr>
          <w:lang w:val="es-ES"/>
        </w:rPr>
        <w:t>os calculado la TIR imputando todos los flujos de gastos e ingresos relacionados con las acciones de Iberdrola, e</w:t>
      </w:r>
      <w:r w:rsidR="00D907E0">
        <w:rPr>
          <w:lang w:val="es-ES"/>
        </w:rPr>
        <w:t>x</w:t>
      </w:r>
      <w:r w:rsidR="00D907E0">
        <w:rPr>
          <w:lang w:val="es-ES"/>
        </w:rPr>
        <w:t xml:space="preserve">cepto la carga financiera de la deuda dispuesta para </w:t>
      </w:r>
      <w:r w:rsidR="00240DB2">
        <w:rPr>
          <w:lang w:val="es-ES"/>
        </w:rPr>
        <w:t>la financiación de la liqu</w:t>
      </w:r>
      <w:r w:rsidR="00240DB2">
        <w:rPr>
          <w:lang w:val="es-ES"/>
        </w:rPr>
        <w:t>i</w:t>
      </w:r>
      <w:r w:rsidR="00240DB2">
        <w:rPr>
          <w:lang w:val="es-ES"/>
        </w:rPr>
        <w:t>d</w:t>
      </w:r>
      <w:r w:rsidR="005E32C2">
        <w:rPr>
          <w:lang w:val="es-ES"/>
        </w:rPr>
        <w:t xml:space="preserve">ación de la operación de </w:t>
      </w:r>
      <w:r w:rsidR="00ED31E9">
        <w:rPr>
          <w:lang w:val="es-ES"/>
        </w:rPr>
        <w:t>cobertura</w:t>
      </w:r>
      <w:r w:rsidR="005E32C2">
        <w:rPr>
          <w:lang w:val="es-ES"/>
        </w:rPr>
        <w:t xml:space="preserve"> del valor de las acciones.</w:t>
      </w:r>
    </w:p>
    <w:p w:rsidR="00D907E0" w:rsidRDefault="00B604C2" w:rsidP="00921BB6">
      <w:pPr>
        <w:pStyle w:val="texto"/>
        <w:rPr>
          <w:lang w:val="es-ES"/>
        </w:rPr>
      </w:pPr>
      <w:r>
        <w:rPr>
          <w:lang w:val="es-ES"/>
        </w:rPr>
        <w:lastRenderedPageBreak/>
        <w:t>Dada la relevancia de los gastos financieros en esta operación, t</w:t>
      </w:r>
      <w:r w:rsidR="00C96355">
        <w:rPr>
          <w:lang w:val="es-ES"/>
        </w:rPr>
        <w:t>ambién</w:t>
      </w:r>
      <w:r w:rsidR="00D907E0" w:rsidRPr="00C96355">
        <w:rPr>
          <w:lang w:val="es-ES"/>
        </w:rPr>
        <w:t xml:space="preserve"> h</w:t>
      </w:r>
      <w:r w:rsidR="00D907E0" w:rsidRPr="00C96355">
        <w:rPr>
          <w:lang w:val="es-ES"/>
        </w:rPr>
        <w:t>e</w:t>
      </w:r>
      <w:r w:rsidR="00D907E0" w:rsidRPr="00C96355">
        <w:rPr>
          <w:lang w:val="es-ES"/>
        </w:rPr>
        <w:t xml:space="preserve">mos calculado la </w:t>
      </w:r>
      <w:r>
        <w:rPr>
          <w:lang w:val="es-ES"/>
        </w:rPr>
        <w:t xml:space="preserve">tasa de rentabilidad </w:t>
      </w:r>
      <w:r w:rsidR="00D907E0" w:rsidRPr="00C96355">
        <w:rPr>
          <w:lang w:val="es-ES"/>
        </w:rPr>
        <w:t>incluyendo la carga financiera de la deuda</w:t>
      </w:r>
      <w:r w:rsidR="00D907E0">
        <w:rPr>
          <w:lang w:val="es-ES"/>
        </w:rPr>
        <w:t xml:space="preserve"> </w:t>
      </w:r>
      <w:r w:rsidR="005E32C2">
        <w:rPr>
          <w:lang w:val="es-ES"/>
        </w:rPr>
        <w:t xml:space="preserve">dispuesta para financiar la liquidación de la operación de </w:t>
      </w:r>
      <w:r w:rsidR="00ED31E9">
        <w:rPr>
          <w:lang w:val="es-ES"/>
        </w:rPr>
        <w:t>cobertura</w:t>
      </w:r>
      <w:r w:rsidR="005E32C2">
        <w:rPr>
          <w:lang w:val="es-ES"/>
        </w:rPr>
        <w:t xml:space="preserve"> del valor de las acciones</w:t>
      </w:r>
      <w:r w:rsidR="00D907E0">
        <w:rPr>
          <w:lang w:val="es-ES"/>
        </w:rPr>
        <w:t xml:space="preserve">, no así los ingresos por los importes dispuestos ni los desembolsos por la amortización de </w:t>
      </w:r>
      <w:r w:rsidR="005E32C2">
        <w:rPr>
          <w:lang w:val="es-ES"/>
        </w:rPr>
        <w:t xml:space="preserve">dicha </w:t>
      </w:r>
      <w:r w:rsidR="00D907E0">
        <w:rPr>
          <w:lang w:val="es-ES"/>
        </w:rPr>
        <w:t>deuda.</w:t>
      </w:r>
    </w:p>
    <w:p w:rsidR="002334ED" w:rsidRDefault="00D907E0" w:rsidP="00921BB6">
      <w:pPr>
        <w:pStyle w:val="texto"/>
        <w:rPr>
          <w:lang w:val="es-ES"/>
        </w:rPr>
      </w:pPr>
      <w:r>
        <w:rPr>
          <w:lang w:val="es-ES"/>
        </w:rPr>
        <w:t xml:space="preserve">En </w:t>
      </w:r>
      <w:r w:rsidR="003169E3">
        <w:rPr>
          <w:lang w:val="es-ES"/>
        </w:rPr>
        <w:t xml:space="preserve">ambos casos, se han considerado los </w:t>
      </w:r>
      <w:r w:rsidR="009D0D3A">
        <w:rPr>
          <w:lang w:val="es-ES"/>
        </w:rPr>
        <w:t>flujos de gastos e ingresos relaci</w:t>
      </w:r>
      <w:r w:rsidR="009D0D3A">
        <w:rPr>
          <w:lang w:val="es-ES"/>
        </w:rPr>
        <w:t>o</w:t>
      </w:r>
      <w:r w:rsidR="009D0D3A">
        <w:rPr>
          <w:lang w:val="es-ES"/>
        </w:rPr>
        <w:t>nados con la operación</w:t>
      </w:r>
      <w:r w:rsidR="003169E3">
        <w:rPr>
          <w:lang w:val="es-ES"/>
        </w:rPr>
        <w:t xml:space="preserve"> </w:t>
      </w:r>
      <w:r w:rsidR="005E32C2">
        <w:rPr>
          <w:lang w:val="es-ES"/>
        </w:rPr>
        <w:t xml:space="preserve">de compra venta de las acciones </w:t>
      </w:r>
      <w:r w:rsidR="003169E3">
        <w:rPr>
          <w:lang w:val="es-ES"/>
        </w:rPr>
        <w:t>en el día de su liquid</w:t>
      </w:r>
      <w:r w:rsidR="003169E3">
        <w:rPr>
          <w:lang w:val="es-ES"/>
        </w:rPr>
        <w:t>a</w:t>
      </w:r>
      <w:r w:rsidR="003169E3">
        <w:rPr>
          <w:lang w:val="es-ES"/>
        </w:rPr>
        <w:t>ción.</w:t>
      </w:r>
      <w:r w:rsidR="009D0D3A">
        <w:rPr>
          <w:lang w:val="es-ES"/>
        </w:rPr>
        <w:t xml:space="preserve"> </w:t>
      </w:r>
    </w:p>
    <w:p w:rsidR="006944BB" w:rsidRPr="00044428" w:rsidRDefault="006944BB" w:rsidP="006944BB">
      <w:pPr>
        <w:pStyle w:val="atitulo1"/>
      </w:pPr>
      <w:r w:rsidRPr="0010542F">
        <w:rPr>
          <w:rFonts w:eastAsia="Calibri"/>
          <w:lang w:eastAsia="es-ES"/>
        </w:rPr>
        <w:br w:type="page"/>
      </w:r>
      <w:bookmarkStart w:id="16" w:name="_Toc400951999"/>
      <w:bookmarkStart w:id="17" w:name="_Toc441141965"/>
      <w:bookmarkEnd w:id="8"/>
      <w:bookmarkEnd w:id="9"/>
      <w:bookmarkEnd w:id="10"/>
      <w:bookmarkEnd w:id="11"/>
      <w:r w:rsidRPr="00044428">
        <w:lastRenderedPageBreak/>
        <w:t xml:space="preserve">IV. </w:t>
      </w:r>
      <w:bookmarkEnd w:id="16"/>
      <w:r w:rsidRPr="00044428">
        <w:t>Conclusi</w:t>
      </w:r>
      <w:r w:rsidR="000B342D">
        <w:t>o</w:t>
      </w:r>
      <w:r w:rsidRPr="00044428">
        <w:t>n</w:t>
      </w:r>
      <w:r>
        <w:t>es y recome</w:t>
      </w:r>
      <w:r w:rsidR="000B342D">
        <w:t>n</w:t>
      </w:r>
      <w:r>
        <w:t>daciones</w:t>
      </w:r>
      <w:bookmarkEnd w:id="17"/>
    </w:p>
    <w:p w:rsidR="006944BB" w:rsidRPr="00712D03" w:rsidRDefault="006944BB" w:rsidP="006944BB">
      <w:pPr>
        <w:pStyle w:val="atitulo2"/>
        <w:spacing w:before="240"/>
      </w:pPr>
      <w:bookmarkStart w:id="18" w:name="_Toc441141966"/>
      <w:r>
        <w:t>I</w:t>
      </w:r>
      <w:r w:rsidRPr="00712D03">
        <w:t>V.1. Resultado financiero</w:t>
      </w:r>
      <w:bookmarkEnd w:id="18"/>
    </w:p>
    <w:p w:rsidR="006944BB" w:rsidRPr="00D537FD" w:rsidRDefault="006944BB" w:rsidP="00D537FD">
      <w:pPr>
        <w:pStyle w:val="texto"/>
        <w:spacing w:after="240"/>
        <w:rPr>
          <w:lang w:val="es-ES"/>
        </w:rPr>
      </w:pPr>
      <w:r w:rsidRPr="00D537FD">
        <w:rPr>
          <w:lang w:val="es-ES"/>
        </w:rPr>
        <w:t>El resultado financiero, calculado como la diferencia entre los ingresos y gastos asociados directamente a la operación de compra venta de acciones</w:t>
      </w:r>
      <w:r w:rsidR="005E32C2">
        <w:rPr>
          <w:lang w:val="es-ES"/>
        </w:rPr>
        <w:t xml:space="preserve"> de Iberdrola</w:t>
      </w:r>
      <w:r w:rsidRPr="00D537FD">
        <w:rPr>
          <w:lang w:val="es-ES"/>
        </w:rPr>
        <w:t xml:space="preserve">, expresados en euros </w:t>
      </w:r>
      <w:r w:rsidR="003A08C5">
        <w:rPr>
          <w:lang w:val="es-ES"/>
        </w:rPr>
        <w:t>constantes</w:t>
      </w:r>
      <w:r w:rsidR="006A320C">
        <w:rPr>
          <w:lang w:val="es-ES"/>
        </w:rPr>
        <w:t xml:space="preserve">, esto es, </w:t>
      </w:r>
      <w:r w:rsidR="009A4D66">
        <w:rPr>
          <w:lang w:val="es-ES"/>
        </w:rPr>
        <w:t xml:space="preserve">capitalizados todos los flujos financieros a 31 de octubre de 2014 conforme al IPC </w:t>
      </w:r>
      <w:r w:rsidR="005E32C2">
        <w:rPr>
          <w:lang w:val="es-ES"/>
        </w:rPr>
        <w:t xml:space="preserve">acumulado </w:t>
      </w:r>
      <w:r w:rsidR="009A4D66">
        <w:rPr>
          <w:lang w:val="es-ES"/>
        </w:rPr>
        <w:t>de cada peri</w:t>
      </w:r>
      <w:r w:rsidR="009A4D66">
        <w:rPr>
          <w:lang w:val="es-ES"/>
        </w:rPr>
        <w:t>o</w:t>
      </w:r>
      <w:r w:rsidR="009A4D66">
        <w:rPr>
          <w:lang w:val="es-ES"/>
        </w:rPr>
        <w:t>do</w:t>
      </w:r>
      <w:r w:rsidR="006A320C">
        <w:rPr>
          <w:lang w:val="es-ES"/>
        </w:rPr>
        <w:t>, f</w:t>
      </w:r>
      <w:r w:rsidRPr="00D537FD">
        <w:rPr>
          <w:lang w:val="es-ES"/>
        </w:rPr>
        <w:t xml:space="preserve">ue negativo en </w:t>
      </w:r>
      <w:r w:rsidR="00390971">
        <w:rPr>
          <w:lang w:val="es-ES"/>
        </w:rPr>
        <w:t>19.653.</w:t>
      </w:r>
      <w:r w:rsidR="000B3F12">
        <w:rPr>
          <w:lang w:val="es-ES"/>
        </w:rPr>
        <w:t>412</w:t>
      </w:r>
      <w:r w:rsidRPr="00D537FD">
        <w:rPr>
          <w:lang w:val="es-ES"/>
        </w:rPr>
        <w:t xml:space="preserve"> euros, tal como se muestra en el siguiente cu</w:t>
      </w:r>
      <w:r w:rsidRPr="00D537FD">
        <w:rPr>
          <w:lang w:val="es-ES"/>
        </w:rPr>
        <w:t>a</w:t>
      </w:r>
      <w:r w:rsidRPr="00D537FD">
        <w:rPr>
          <w:lang w:val="es-ES"/>
        </w:rPr>
        <w:t>dro.</w:t>
      </w:r>
    </w:p>
    <w:tbl>
      <w:tblPr>
        <w:tblW w:w="8816" w:type="dxa"/>
        <w:jc w:val="center"/>
        <w:tblCellMar>
          <w:left w:w="70" w:type="dxa"/>
          <w:right w:w="70" w:type="dxa"/>
        </w:tblCellMar>
        <w:tblLook w:val="04A0" w:firstRow="1" w:lastRow="0" w:firstColumn="1" w:lastColumn="0" w:noHBand="0" w:noVBand="1"/>
      </w:tblPr>
      <w:tblGrid>
        <w:gridCol w:w="5757"/>
        <w:gridCol w:w="3059"/>
      </w:tblGrid>
      <w:tr w:rsidR="006944BB" w:rsidRPr="00B944F7" w:rsidTr="00CB7D4E">
        <w:trPr>
          <w:trHeight w:val="312"/>
          <w:jc w:val="center"/>
        </w:trPr>
        <w:tc>
          <w:tcPr>
            <w:tcW w:w="5757" w:type="dxa"/>
            <w:tcBorders>
              <w:top w:val="single" w:sz="4" w:space="0" w:color="auto"/>
              <w:left w:val="nil"/>
              <w:bottom w:val="single" w:sz="4" w:space="0" w:color="auto"/>
              <w:right w:val="nil"/>
            </w:tcBorders>
            <w:shd w:val="clear" w:color="auto" w:fill="8DB3E2" w:themeFill="text2" w:themeFillTint="66"/>
            <w:vAlign w:val="center"/>
          </w:tcPr>
          <w:p w:rsidR="006944BB" w:rsidRPr="009E73DE" w:rsidRDefault="006944BB" w:rsidP="00CB7D4E">
            <w:pPr>
              <w:pStyle w:val="cuadroCabe"/>
              <w:jc w:val="left"/>
            </w:pPr>
            <w:r w:rsidRPr="009E73DE">
              <w:t>Concepto</w:t>
            </w:r>
          </w:p>
        </w:tc>
        <w:tc>
          <w:tcPr>
            <w:tcW w:w="3059" w:type="dxa"/>
            <w:tcBorders>
              <w:top w:val="single" w:sz="4" w:space="0" w:color="auto"/>
              <w:left w:val="nil"/>
              <w:bottom w:val="single" w:sz="4" w:space="0" w:color="auto"/>
              <w:right w:val="nil"/>
            </w:tcBorders>
            <w:shd w:val="clear" w:color="auto" w:fill="8DB3E2" w:themeFill="text2" w:themeFillTint="66"/>
            <w:vAlign w:val="center"/>
          </w:tcPr>
          <w:p w:rsidR="00D543F9" w:rsidRDefault="006944BB" w:rsidP="00CB7D4E">
            <w:pPr>
              <w:pStyle w:val="cuadroCabe"/>
              <w:jc w:val="right"/>
            </w:pPr>
            <w:r w:rsidRPr="009E73DE">
              <w:t>Importe</w:t>
            </w:r>
            <w:r w:rsidR="00CB7D4E">
              <w:t xml:space="preserve"> </w:t>
            </w:r>
            <w:r w:rsidRPr="009E73DE">
              <w:t>capitalizado</w:t>
            </w:r>
            <w:r w:rsidR="00D543F9">
              <w:t xml:space="preserve"> </w:t>
            </w:r>
          </w:p>
          <w:p w:rsidR="006944BB" w:rsidRPr="009E73DE" w:rsidRDefault="00D543F9" w:rsidP="00CB7D4E">
            <w:pPr>
              <w:pStyle w:val="cuadroCabe"/>
              <w:jc w:val="right"/>
            </w:pPr>
            <w:r>
              <w:t>a 31/10/2014</w:t>
            </w:r>
          </w:p>
        </w:tc>
      </w:tr>
      <w:tr w:rsidR="006944BB" w:rsidRPr="009E73DE" w:rsidTr="00CB7D4E">
        <w:trPr>
          <w:trHeight w:val="227"/>
          <w:jc w:val="center"/>
        </w:trPr>
        <w:tc>
          <w:tcPr>
            <w:tcW w:w="5757" w:type="dxa"/>
            <w:tcBorders>
              <w:top w:val="single" w:sz="4" w:space="0" w:color="auto"/>
              <w:left w:val="nil"/>
              <w:bottom w:val="single" w:sz="2" w:space="0" w:color="auto"/>
              <w:right w:val="nil"/>
            </w:tcBorders>
            <w:shd w:val="clear" w:color="auto" w:fill="auto"/>
            <w:vAlign w:val="center"/>
          </w:tcPr>
          <w:p w:rsidR="006944BB" w:rsidRPr="009E73DE" w:rsidRDefault="006944BB" w:rsidP="00CB7D4E">
            <w:pPr>
              <w:pStyle w:val="cuatexto"/>
              <w:jc w:val="left"/>
              <w:rPr>
                <w:szCs w:val="20"/>
              </w:rPr>
            </w:pPr>
            <w:r w:rsidRPr="009E73DE">
              <w:rPr>
                <w:szCs w:val="20"/>
              </w:rPr>
              <w:t>Venta de acciones</w:t>
            </w:r>
          </w:p>
        </w:tc>
        <w:tc>
          <w:tcPr>
            <w:tcW w:w="3059" w:type="dxa"/>
            <w:tcBorders>
              <w:top w:val="single" w:sz="4" w:space="0" w:color="auto"/>
              <w:left w:val="nil"/>
              <w:bottom w:val="single" w:sz="2" w:space="0" w:color="auto"/>
              <w:right w:val="nil"/>
            </w:tcBorders>
            <w:shd w:val="clear" w:color="auto" w:fill="auto"/>
            <w:vAlign w:val="center"/>
          </w:tcPr>
          <w:p w:rsidR="006944BB" w:rsidRPr="009E73DE" w:rsidRDefault="006944BB" w:rsidP="009E73DE">
            <w:pPr>
              <w:pStyle w:val="cuatexto"/>
              <w:jc w:val="right"/>
              <w:rPr>
                <w:szCs w:val="20"/>
              </w:rPr>
            </w:pPr>
            <w:r w:rsidRPr="009E73DE">
              <w:rPr>
                <w:szCs w:val="20"/>
              </w:rPr>
              <w:t>153.389.273</w:t>
            </w:r>
          </w:p>
        </w:tc>
      </w:tr>
      <w:tr w:rsidR="006944BB" w:rsidRPr="009E73DE" w:rsidTr="00CB7D4E">
        <w:trPr>
          <w:trHeight w:val="227"/>
          <w:jc w:val="center"/>
        </w:trPr>
        <w:tc>
          <w:tcPr>
            <w:tcW w:w="5757" w:type="dxa"/>
            <w:tcBorders>
              <w:top w:val="single" w:sz="2" w:space="0" w:color="auto"/>
              <w:left w:val="nil"/>
              <w:bottom w:val="single" w:sz="2" w:space="0" w:color="auto"/>
              <w:right w:val="nil"/>
            </w:tcBorders>
            <w:shd w:val="clear" w:color="auto" w:fill="auto"/>
            <w:vAlign w:val="center"/>
          </w:tcPr>
          <w:p w:rsidR="006944BB" w:rsidRPr="009E73DE" w:rsidRDefault="006944BB" w:rsidP="00CB7D4E">
            <w:pPr>
              <w:pStyle w:val="cuatexto"/>
              <w:jc w:val="left"/>
              <w:rPr>
                <w:szCs w:val="20"/>
              </w:rPr>
            </w:pPr>
            <w:r w:rsidRPr="009E73DE">
              <w:rPr>
                <w:szCs w:val="20"/>
              </w:rPr>
              <w:t>Entrega acciones para reducción de capital</w:t>
            </w:r>
          </w:p>
        </w:tc>
        <w:tc>
          <w:tcPr>
            <w:tcW w:w="3059" w:type="dxa"/>
            <w:tcBorders>
              <w:top w:val="single" w:sz="2" w:space="0" w:color="auto"/>
              <w:left w:val="nil"/>
              <w:bottom w:val="single" w:sz="2" w:space="0" w:color="auto"/>
              <w:right w:val="nil"/>
            </w:tcBorders>
            <w:shd w:val="clear" w:color="auto" w:fill="auto"/>
            <w:vAlign w:val="center"/>
          </w:tcPr>
          <w:p w:rsidR="006944BB" w:rsidRPr="009E73DE" w:rsidRDefault="006944BB" w:rsidP="009E73DE">
            <w:pPr>
              <w:pStyle w:val="cuatexto"/>
              <w:jc w:val="right"/>
              <w:rPr>
                <w:szCs w:val="20"/>
              </w:rPr>
            </w:pPr>
            <w:r w:rsidRPr="009E73DE">
              <w:rPr>
                <w:szCs w:val="20"/>
              </w:rPr>
              <w:t>78.422.664</w:t>
            </w:r>
          </w:p>
        </w:tc>
      </w:tr>
      <w:tr w:rsidR="006944BB" w:rsidRPr="009E73DE" w:rsidTr="00CB7D4E">
        <w:trPr>
          <w:trHeight w:val="227"/>
          <w:jc w:val="center"/>
        </w:trPr>
        <w:tc>
          <w:tcPr>
            <w:tcW w:w="5757" w:type="dxa"/>
            <w:tcBorders>
              <w:top w:val="single" w:sz="2" w:space="0" w:color="auto"/>
              <w:left w:val="nil"/>
              <w:bottom w:val="single" w:sz="4" w:space="0" w:color="auto"/>
              <w:right w:val="nil"/>
            </w:tcBorders>
            <w:shd w:val="clear" w:color="auto" w:fill="auto"/>
            <w:vAlign w:val="center"/>
          </w:tcPr>
          <w:p w:rsidR="006944BB" w:rsidRPr="009E73DE" w:rsidRDefault="006944BB" w:rsidP="00CB7D4E">
            <w:pPr>
              <w:pStyle w:val="cuatexto"/>
              <w:jc w:val="left"/>
              <w:rPr>
                <w:szCs w:val="20"/>
              </w:rPr>
            </w:pPr>
            <w:r w:rsidRPr="009E73DE">
              <w:rPr>
                <w:szCs w:val="20"/>
              </w:rPr>
              <w:t>Dividendos</w:t>
            </w:r>
          </w:p>
        </w:tc>
        <w:tc>
          <w:tcPr>
            <w:tcW w:w="3059" w:type="dxa"/>
            <w:tcBorders>
              <w:top w:val="single" w:sz="2" w:space="0" w:color="auto"/>
              <w:left w:val="nil"/>
              <w:bottom w:val="single" w:sz="4" w:space="0" w:color="auto"/>
              <w:right w:val="nil"/>
            </w:tcBorders>
            <w:shd w:val="clear" w:color="auto" w:fill="auto"/>
            <w:vAlign w:val="center"/>
          </w:tcPr>
          <w:p w:rsidR="006944BB" w:rsidRPr="009E73DE" w:rsidRDefault="000B3F12" w:rsidP="009E73DE">
            <w:pPr>
              <w:pStyle w:val="cuatexto"/>
              <w:jc w:val="right"/>
              <w:rPr>
                <w:szCs w:val="20"/>
              </w:rPr>
            </w:pPr>
            <w:r>
              <w:rPr>
                <w:szCs w:val="20"/>
              </w:rPr>
              <w:t>90.477.242</w:t>
            </w:r>
          </w:p>
        </w:tc>
      </w:tr>
      <w:tr w:rsidR="006944BB" w:rsidRPr="006C3D85" w:rsidTr="00CB7D4E">
        <w:trPr>
          <w:trHeight w:val="255"/>
          <w:jc w:val="center"/>
        </w:trPr>
        <w:tc>
          <w:tcPr>
            <w:tcW w:w="5757" w:type="dxa"/>
            <w:tcBorders>
              <w:top w:val="single" w:sz="4" w:space="0" w:color="auto"/>
              <w:left w:val="nil"/>
              <w:bottom w:val="single" w:sz="4" w:space="0" w:color="auto"/>
              <w:right w:val="nil"/>
            </w:tcBorders>
            <w:shd w:val="clear" w:color="auto" w:fill="auto"/>
            <w:vAlign w:val="center"/>
          </w:tcPr>
          <w:p w:rsidR="006944BB" w:rsidRPr="006C3D85" w:rsidRDefault="006944BB" w:rsidP="00CB7D4E">
            <w:pPr>
              <w:pStyle w:val="cuadroCabe"/>
              <w:jc w:val="left"/>
              <w:rPr>
                <w:i/>
              </w:rPr>
            </w:pPr>
            <w:r w:rsidRPr="006C3D85">
              <w:rPr>
                <w:i/>
              </w:rPr>
              <w:t>Total ingresos</w:t>
            </w:r>
          </w:p>
        </w:tc>
        <w:tc>
          <w:tcPr>
            <w:tcW w:w="3059" w:type="dxa"/>
            <w:tcBorders>
              <w:top w:val="single" w:sz="4" w:space="0" w:color="auto"/>
              <w:left w:val="nil"/>
              <w:bottom w:val="single" w:sz="4" w:space="0" w:color="auto"/>
              <w:right w:val="nil"/>
            </w:tcBorders>
            <w:shd w:val="clear" w:color="auto" w:fill="auto"/>
            <w:vAlign w:val="center"/>
          </w:tcPr>
          <w:p w:rsidR="006944BB" w:rsidRPr="006C3D85" w:rsidRDefault="000B3F12" w:rsidP="000B3F12">
            <w:pPr>
              <w:pStyle w:val="cuadroCabe"/>
              <w:jc w:val="right"/>
              <w:rPr>
                <w:i/>
              </w:rPr>
            </w:pPr>
            <w:r>
              <w:rPr>
                <w:i/>
              </w:rPr>
              <w:t>322.289.178</w:t>
            </w:r>
          </w:p>
        </w:tc>
      </w:tr>
      <w:tr w:rsidR="006944BB" w:rsidRPr="009E73DE" w:rsidTr="00CB7D4E">
        <w:trPr>
          <w:trHeight w:val="227"/>
          <w:jc w:val="center"/>
        </w:trPr>
        <w:tc>
          <w:tcPr>
            <w:tcW w:w="5757" w:type="dxa"/>
            <w:tcBorders>
              <w:top w:val="single" w:sz="4" w:space="0" w:color="auto"/>
              <w:left w:val="nil"/>
              <w:bottom w:val="single" w:sz="2" w:space="0" w:color="auto"/>
              <w:right w:val="nil"/>
            </w:tcBorders>
            <w:shd w:val="clear" w:color="auto" w:fill="auto"/>
            <w:vAlign w:val="center"/>
          </w:tcPr>
          <w:p w:rsidR="006944BB" w:rsidRPr="009E73DE" w:rsidRDefault="006944BB" w:rsidP="00CB7D4E">
            <w:pPr>
              <w:pStyle w:val="cuatexto"/>
              <w:jc w:val="left"/>
              <w:rPr>
                <w:szCs w:val="20"/>
              </w:rPr>
            </w:pPr>
            <w:r w:rsidRPr="009E73DE">
              <w:rPr>
                <w:szCs w:val="20"/>
              </w:rPr>
              <w:t>Compra de acciones</w:t>
            </w:r>
          </w:p>
        </w:tc>
        <w:tc>
          <w:tcPr>
            <w:tcW w:w="3059" w:type="dxa"/>
            <w:tcBorders>
              <w:top w:val="single" w:sz="4" w:space="0" w:color="auto"/>
              <w:left w:val="nil"/>
              <w:bottom w:val="single" w:sz="2" w:space="0" w:color="auto"/>
              <w:right w:val="nil"/>
            </w:tcBorders>
            <w:shd w:val="clear" w:color="auto" w:fill="auto"/>
            <w:vAlign w:val="center"/>
          </w:tcPr>
          <w:p w:rsidR="006944BB" w:rsidRPr="009E73DE" w:rsidRDefault="006944BB" w:rsidP="009E73DE">
            <w:pPr>
              <w:pStyle w:val="cuatexto"/>
              <w:jc w:val="right"/>
              <w:rPr>
                <w:szCs w:val="20"/>
              </w:rPr>
            </w:pPr>
            <w:r w:rsidRPr="009E73DE">
              <w:rPr>
                <w:szCs w:val="20"/>
              </w:rPr>
              <w:t>209.655.935</w:t>
            </w:r>
          </w:p>
        </w:tc>
      </w:tr>
      <w:tr w:rsidR="006944BB" w:rsidRPr="009E73DE" w:rsidTr="00CB7D4E">
        <w:trPr>
          <w:trHeight w:val="227"/>
          <w:jc w:val="center"/>
        </w:trPr>
        <w:tc>
          <w:tcPr>
            <w:tcW w:w="5757" w:type="dxa"/>
            <w:tcBorders>
              <w:top w:val="single" w:sz="2" w:space="0" w:color="auto"/>
              <w:left w:val="nil"/>
              <w:bottom w:val="single" w:sz="2" w:space="0" w:color="auto"/>
              <w:right w:val="nil"/>
            </w:tcBorders>
            <w:shd w:val="clear" w:color="auto" w:fill="auto"/>
            <w:vAlign w:val="center"/>
          </w:tcPr>
          <w:p w:rsidR="006944BB" w:rsidRPr="009E73DE" w:rsidRDefault="00ED31E9" w:rsidP="00B35083">
            <w:pPr>
              <w:pStyle w:val="cuatexto"/>
              <w:jc w:val="left"/>
              <w:rPr>
                <w:szCs w:val="20"/>
              </w:rPr>
            </w:pPr>
            <w:r>
              <w:rPr>
                <w:szCs w:val="20"/>
              </w:rPr>
              <w:t>Cobertura</w:t>
            </w:r>
            <w:r w:rsidR="00B35083">
              <w:rPr>
                <w:szCs w:val="20"/>
              </w:rPr>
              <w:t xml:space="preserve"> del valor de adquisición de las acciones</w:t>
            </w:r>
          </w:p>
        </w:tc>
        <w:tc>
          <w:tcPr>
            <w:tcW w:w="3059" w:type="dxa"/>
            <w:tcBorders>
              <w:top w:val="single" w:sz="2" w:space="0" w:color="auto"/>
              <w:left w:val="nil"/>
              <w:bottom w:val="single" w:sz="2" w:space="0" w:color="auto"/>
              <w:right w:val="nil"/>
            </w:tcBorders>
            <w:shd w:val="clear" w:color="auto" w:fill="auto"/>
            <w:vAlign w:val="center"/>
          </w:tcPr>
          <w:p w:rsidR="006944BB" w:rsidRPr="009E73DE" w:rsidRDefault="006944BB" w:rsidP="009E73DE">
            <w:pPr>
              <w:pStyle w:val="cuatexto"/>
              <w:jc w:val="right"/>
              <w:rPr>
                <w:szCs w:val="20"/>
              </w:rPr>
            </w:pPr>
            <w:r w:rsidRPr="009E73DE">
              <w:rPr>
                <w:szCs w:val="20"/>
              </w:rPr>
              <w:t>111.053.139</w:t>
            </w:r>
          </w:p>
        </w:tc>
      </w:tr>
      <w:tr w:rsidR="006944BB" w:rsidRPr="009E73DE" w:rsidTr="00CB7D4E">
        <w:trPr>
          <w:trHeight w:val="227"/>
          <w:jc w:val="center"/>
        </w:trPr>
        <w:tc>
          <w:tcPr>
            <w:tcW w:w="5757" w:type="dxa"/>
            <w:tcBorders>
              <w:top w:val="single" w:sz="2" w:space="0" w:color="auto"/>
              <w:left w:val="nil"/>
              <w:bottom w:val="single" w:sz="2" w:space="0" w:color="auto"/>
              <w:right w:val="nil"/>
            </w:tcBorders>
            <w:shd w:val="clear" w:color="auto" w:fill="auto"/>
            <w:vAlign w:val="center"/>
          </w:tcPr>
          <w:p w:rsidR="006944BB" w:rsidRPr="009E73DE" w:rsidRDefault="006944BB" w:rsidP="00CB7D4E">
            <w:pPr>
              <w:pStyle w:val="cuatexto"/>
              <w:jc w:val="left"/>
              <w:rPr>
                <w:szCs w:val="20"/>
              </w:rPr>
            </w:pPr>
            <w:r w:rsidRPr="009E73DE">
              <w:rPr>
                <w:szCs w:val="20"/>
              </w:rPr>
              <w:t>Custodia de acciones</w:t>
            </w:r>
          </w:p>
        </w:tc>
        <w:tc>
          <w:tcPr>
            <w:tcW w:w="3059" w:type="dxa"/>
            <w:tcBorders>
              <w:top w:val="single" w:sz="2" w:space="0" w:color="auto"/>
              <w:left w:val="nil"/>
              <w:bottom w:val="single" w:sz="2" w:space="0" w:color="auto"/>
              <w:right w:val="nil"/>
            </w:tcBorders>
            <w:shd w:val="clear" w:color="auto" w:fill="auto"/>
            <w:vAlign w:val="center"/>
          </w:tcPr>
          <w:p w:rsidR="006944BB" w:rsidRPr="009E73DE" w:rsidRDefault="006944BB" w:rsidP="009E73DE">
            <w:pPr>
              <w:pStyle w:val="cuatexto"/>
              <w:jc w:val="right"/>
              <w:rPr>
                <w:szCs w:val="20"/>
              </w:rPr>
            </w:pPr>
            <w:r w:rsidRPr="009E73DE">
              <w:rPr>
                <w:szCs w:val="20"/>
              </w:rPr>
              <w:t>216.502</w:t>
            </w:r>
          </w:p>
        </w:tc>
      </w:tr>
      <w:tr w:rsidR="006944BB" w:rsidRPr="009E73DE" w:rsidTr="00CB7D4E">
        <w:trPr>
          <w:trHeight w:val="227"/>
          <w:jc w:val="center"/>
        </w:trPr>
        <w:tc>
          <w:tcPr>
            <w:tcW w:w="5757" w:type="dxa"/>
            <w:tcBorders>
              <w:top w:val="single" w:sz="2" w:space="0" w:color="auto"/>
              <w:left w:val="nil"/>
              <w:bottom w:val="single" w:sz="4" w:space="0" w:color="auto"/>
              <w:right w:val="nil"/>
            </w:tcBorders>
            <w:shd w:val="clear" w:color="auto" w:fill="auto"/>
            <w:vAlign w:val="center"/>
          </w:tcPr>
          <w:p w:rsidR="006944BB" w:rsidRPr="009E73DE" w:rsidRDefault="006944BB" w:rsidP="00ED31E9">
            <w:pPr>
              <w:pStyle w:val="cuatexto"/>
              <w:jc w:val="left"/>
              <w:rPr>
                <w:szCs w:val="20"/>
              </w:rPr>
            </w:pPr>
            <w:r w:rsidRPr="009E73DE">
              <w:rPr>
                <w:szCs w:val="20"/>
              </w:rPr>
              <w:t xml:space="preserve">Intereses deuda asociada a la </w:t>
            </w:r>
            <w:r w:rsidR="00B35083">
              <w:rPr>
                <w:szCs w:val="20"/>
              </w:rPr>
              <w:t xml:space="preserve">operación de </w:t>
            </w:r>
            <w:r w:rsidR="00ED31E9">
              <w:rPr>
                <w:szCs w:val="20"/>
              </w:rPr>
              <w:t>cobertura</w:t>
            </w:r>
          </w:p>
        </w:tc>
        <w:tc>
          <w:tcPr>
            <w:tcW w:w="3059" w:type="dxa"/>
            <w:tcBorders>
              <w:top w:val="single" w:sz="2" w:space="0" w:color="auto"/>
              <w:left w:val="nil"/>
              <w:bottom w:val="single" w:sz="4" w:space="0" w:color="auto"/>
              <w:right w:val="nil"/>
            </w:tcBorders>
            <w:shd w:val="clear" w:color="auto" w:fill="auto"/>
            <w:vAlign w:val="center"/>
          </w:tcPr>
          <w:p w:rsidR="006944BB" w:rsidRPr="009E73DE" w:rsidRDefault="00390971" w:rsidP="009E73DE">
            <w:pPr>
              <w:pStyle w:val="cuatexto"/>
              <w:jc w:val="right"/>
              <w:rPr>
                <w:szCs w:val="20"/>
              </w:rPr>
            </w:pPr>
            <w:r>
              <w:rPr>
                <w:szCs w:val="20"/>
              </w:rPr>
              <w:t>21.017.014</w:t>
            </w:r>
          </w:p>
        </w:tc>
      </w:tr>
      <w:tr w:rsidR="006944BB" w:rsidRPr="006C3D85" w:rsidTr="00CB7D4E">
        <w:trPr>
          <w:trHeight w:val="255"/>
          <w:jc w:val="center"/>
        </w:trPr>
        <w:tc>
          <w:tcPr>
            <w:tcW w:w="5757" w:type="dxa"/>
            <w:tcBorders>
              <w:top w:val="single" w:sz="4" w:space="0" w:color="auto"/>
              <w:left w:val="nil"/>
              <w:bottom w:val="single" w:sz="4" w:space="0" w:color="auto"/>
              <w:right w:val="nil"/>
            </w:tcBorders>
            <w:shd w:val="clear" w:color="auto" w:fill="auto"/>
            <w:vAlign w:val="center"/>
          </w:tcPr>
          <w:p w:rsidR="006944BB" w:rsidRPr="006C3D85" w:rsidRDefault="006944BB" w:rsidP="00CB7D4E">
            <w:pPr>
              <w:pStyle w:val="cuadroCabe"/>
              <w:jc w:val="left"/>
              <w:rPr>
                <w:i/>
              </w:rPr>
            </w:pPr>
            <w:r w:rsidRPr="006C3D85">
              <w:rPr>
                <w:i/>
              </w:rPr>
              <w:t>Total gastos</w:t>
            </w:r>
          </w:p>
        </w:tc>
        <w:tc>
          <w:tcPr>
            <w:tcW w:w="3059" w:type="dxa"/>
            <w:tcBorders>
              <w:top w:val="single" w:sz="4" w:space="0" w:color="auto"/>
              <w:left w:val="nil"/>
              <w:bottom w:val="single" w:sz="4" w:space="0" w:color="auto"/>
              <w:right w:val="nil"/>
            </w:tcBorders>
            <w:shd w:val="clear" w:color="auto" w:fill="auto"/>
            <w:vAlign w:val="center"/>
          </w:tcPr>
          <w:p w:rsidR="006944BB" w:rsidRPr="006C3D85" w:rsidRDefault="00390971" w:rsidP="00390971">
            <w:pPr>
              <w:pStyle w:val="cuadroCabe"/>
              <w:jc w:val="right"/>
              <w:rPr>
                <w:i/>
              </w:rPr>
            </w:pPr>
            <w:r>
              <w:rPr>
                <w:i/>
              </w:rPr>
              <w:t>341.942.591</w:t>
            </w:r>
          </w:p>
        </w:tc>
      </w:tr>
      <w:tr w:rsidR="006944BB" w:rsidRPr="00044428" w:rsidTr="00CB7D4E">
        <w:trPr>
          <w:trHeight w:val="312"/>
          <w:jc w:val="center"/>
        </w:trPr>
        <w:tc>
          <w:tcPr>
            <w:tcW w:w="5757" w:type="dxa"/>
            <w:tcBorders>
              <w:top w:val="single" w:sz="4" w:space="0" w:color="auto"/>
              <w:left w:val="nil"/>
              <w:bottom w:val="single" w:sz="4" w:space="0" w:color="auto"/>
              <w:right w:val="nil"/>
            </w:tcBorders>
            <w:shd w:val="clear" w:color="auto" w:fill="8DB3E2" w:themeFill="text2" w:themeFillTint="66"/>
            <w:vAlign w:val="center"/>
          </w:tcPr>
          <w:p w:rsidR="006944BB" w:rsidRPr="009E73DE" w:rsidRDefault="006944BB" w:rsidP="00CB7D4E">
            <w:pPr>
              <w:pStyle w:val="cuadroCabe"/>
              <w:jc w:val="left"/>
            </w:pPr>
            <w:r w:rsidRPr="009E73DE">
              <w:t>Resultado</w:t>
            </w:r>
          </w:p>
        </w:tc>
        <w:tc>
          <w:tcPr>
            <w:tcW w:w="3059" w:type="dxa"/>
            <w:tcBorders>
              <w:top w:val="single" w:sz="4" w:space="0" w:color="auto"/>
              <w:left w:val="nil"/>
              <w:bottom w:val="single" w:sz="4" w:space="0" w:color="auto"/>
              <w:right w:val="nil"/>
            </w:tcBorders>
            <w:shd w:val="clear" w:color="auto" w:fill="8DB3E2" w:themeFill="text2" w:themeFillTint="66"/>
            <w:vAlign w:val="center"/>
          </w:tcPr>
          <w:p w:rsidR="006944BB" w:rsidRPr="009E73DE" w:rsidRDefault="000B3F12" w:rsidP="009E73DE">
            <w:pPr>
              <w:pStyle w:val="cuadroCabe"/>
              <w:jc w:val="right"/>
            </w:pPr>
            <w:r>
              <w:t>-19.653.412</w:t>
            </w:r>
          </w:p>
        </w:tc>
      </w:tr>
    </w:tbl>
    <w:p w:rsidR="006944BB" w:rsidRPr="008D3B0E" w:rsidRDefault="006944BB" w:rsidP="00BF55EA">
      <w:pPr>
        <w:pStyle w:val="atitulo2"/>
        <w:spacing w:before="360"/>
      </w:pPr>
      <w:bookmarkStart w:id="19" w:name="_Toc441141967"/>
      <w:r w:rsidRPr="008D3B0E">
        <w:t xml:space="preserve">IV.2. </w:t>
      </w:r>
      <w:r w:rsidR="00BB396D">
        <w:t>Rentabilidad</w:t>
      </w:r>
      <w:bookmarkEnd w:id="19"/>
    </w:p>
    <w:p w:rsidR="00724C22" w:rsidRDefault="006944BB" w:rsidP="00BE00E8">
      <w:pPr>
        <w:pStyle w:val="texto"/>
        <w:numPr>
          <w:ilvl w:val="0"/>
          <w:numId w:val="24"/>
        </w:numPr>
        <w:tabs>
          <w:tab w:val="clear" w:pos="2835"/>
          <w:tab w:val="clear" w:pos="3969"/>
          <w:tab w:val="clear" w:pos="5103"/>
          <w:tab w:val="center" w:pos="0"/>
          <w:tab w:val="center" w:pos="284"/>
          <w:tab w:val="center" w:pos="709"/>
        </w:tabs>
        <w:spacing w:after="160"/>
        <w:ind w:left="0" w:firstLine="426"/>
        <w:rPr>
          <w:lang w:val="es-ES"/>
        </w:rPr>
      </w:pPr>
      <w:r w:rsidRPr="00E81B25">
        <w:rPr>
          <w:lang w:val="es-ES"/>
        </w:rPr>
        <w:t>La Tasa Interna de Rentabilidad de la inversión en acciones de Iberdrola, tasa para la cual se igualan</w:t>
      </w:r>
      <w:r w:rsidR="00396632">
        <w:rPr>
          <w:lang w:val="es-ES"/>
        </w:rPr>
        <w:t>,</w:t>
      </w:r>
      <w:r w:rsidRPr="00E81B25">
        <w:rPr>
          <w:lang w:val="es-ES"/>
        </w:rPr>
        <w:t xml:space="preserve"> </w:t>
      </w:r>
      <w:r w:rsidR="006A320C">
        <w:rPr>
          <w:lang w:val="es-ES"/>
        </w:rPr>
        <w:t>en el periodo comprendido entre la compra de a</w:t>
      </w:r>
      <w:r w:rsidR="006A320C">
        <w:rPr>
          <w:lang w:val="es-ES"/>
        </w:rPr>
        <w:t>c</w:t>
      </w:r>
      <w:r w:rsidR="006A320C">
        <w:rPr>
          <w:lang w:val="es-ES"/>
        </w:rPr>
        <w:t>ciones y su venta,</w:t>
      </w:r>
      <w:r w:rsidR="00C14BDA">
        <w:rPr>
          <w:lang w:val="es-ES"/>
        </w:rPr>
        <w:t xml:space="preserve"> </w:t>
      </w:r>
      <w:r w:rsidRPr="00E81B25">
        <w:rPr>
          <w:lang w:val="es-ES"/>
        </w:rPr>
        <w:t xml:space="preserve">los </w:t>
      </w:r>
      <w:r w:rsidR="005302D8">
        <w:rPr>
          <w:lang w:val="es-ES"/>
        </w:rPr>
        <w:t>gastos</w:t>
      </w:r>
      <w:r w:rsidRPr="00E81B25">
        <w:rPr>
          <w:lang w:val="es-ES"/>
        </w:rPr>
        <w:t xml:space="preserve"> de la operación a los flujos de ingresos generados ha sido</w:t>
      </w:r>
      <w:r w:rsidR="00724C22">
        <w:rPr>
          <w:lang w:val="es-ES"/>
        </w:rPr>
        <w:t>:</w:t>
      </w:r>
    </w:p>
    <w:p w:rsidR="006944BB" w:rsidRPr="009A4D66" w:rsidRDefault="006944BB" w:rsidP="00BE00E8">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60"/>
        <w:ind w:left="0" w:firstLine="289"/>
        <w:rPr>
          <w:szCs w:val="26"/>
        </w:rPr>
      </w:pPr>
      <w:r w:rsidRPr="008B7A77">
        <w:rPr>
          <w:szCs w:val="26"/>
        </w:rPr>
        <w:t>1,0</w:t>
      </w:r>
      <w:r w:rsidR="00390971">
        <w:rPr>
          <w:szCs w:val="26"/>
        </w:rPr>
        <w:t>4</w:t>
      </w:r>
      <w:r w:rsidRPr="008B7A77">
        <w:rPr>
          <w:szCs w:val="26"/>
        </w:rPr>
        <w:t xml:space="preserve"> por ciento</w:t>
      </w:r>
      <w:r w:rsidR="00724C22" w:rsidRPr="008B7A77">
        <w:rPr>
          <w:szCs w:val="26"/>
        </w:rPr>
        <w:t xml:space="preserve"> </w:t>
      </w:r>
      <w:r w:rsidR="00B51C5F">
        <w:rPr>
          <w:szCs w:val="26"/>
        </w:rPr>
        <w:t>anual teniendo en cuenta los gastos financieros</w:t>
      </w:r>
      <w:r w:rsidR="00724C22" w:rsidRPr="008B7A77">
        <w:rPr>
          <w:szCs w:val="26"/>
        </w:rPr>
        <w:t xml:space="preserve"> de la deuda asociada a </w:t>
      </w:r>
      <w:r w:rsidR="00A2429E" w:rsidRPr="008B7A77">
        <w:rPr>
          <w:szCs w:val="26"/>
        </w:rPr>
        <w:t xml:space="preserve">la financiación de la inversión, rentabilidad inferior </w:t>
      </w:r>
      <w:r w:rsidR="008F6E05" w:rsidRPr="008B7A77">
        <w:rPr>
          <w:szCs w:val="26"/>
        </w:rPr>
        <w:t xml:space="preserve">al IPC del </w:t>
      </w:r>
      <w:r w:rsidR="008F6E05" w:rsidRPr="009A4D66">
        <w:rPr>
          <w:szCs w:val="26"/>
        </w:rPr>
        <w:t>p</w:t>
      </w:r>
      <w:r w:rsidR="008F6E05" w:rsidRPr="009A4D66">
        <w:rPr>
          <w:szCs w:val="26"/>
        </w:rPr>
        <w:t>e</w:t>
      </w:r>
      <w:r w:rsidR="008F6E05" w:rsidRPr="009A4D66">
        <w:rPr>
          <w:szCs w:val="26"/>
        </w:rPr>
        <w:t>riodo 2005-2014</w:t>
      </w:r>
      <w:r w:rsidR="00C14BDA" w:rsidRPr="009A4D66">
        <w:rPr>
          <w:szCs w:val="26"/>
        </w:rPr>
        <w:t xml:space="preserve"> que fue del 1,96 por ciento</w:t>
      </w:r>
      <w:r w:rsidR="00B51C5F" w:rsidRPr="009A4D66">
        <w:rPr>
          <w:szCs w:val="26"/>
        </w:rPr>
        <w:t xml:space="preserve"> anual</w:t>
      </w:r>
      <w:r w:rsidR="008F6E05" w:rsidRPr="009A4D66">
        <w:rPr>
          <w:szCs w:val="26"/>
        </w:rPr>
        <w:t>.</w:t>
      </w:r>
    </w:p>
    <w:p w:rsidR="00B51C5F" w:rsidRDefault="00B51C5F" w:rsidP="00BE00E8">
      <w:pPr>
        <w:pStyle w:val="texto"/>
        <w:spacing w:after="160"/>
        <w:rPr>
          <w:szCs w:val="26"/>
        </w:rPr>
      </w:pPr>
      <w:r w:rsidRPr="009A4D66">
        <w:rPr>
          <w:lang w:val="es-ES"/>
        </w:rPr>
        <w:t xml:space="preserve">Pese a tener una rentabilidad positiva del 1,04 por ciento anual, el resultado financiero final ha sido negativo debido a que la subida del IPC, índice al que se han capitalizado los flujos, ha sido superior. </w:t>
      </w:r>
      <w:r w:rsidR="009A4D66" w:rsidRPr="009A4D66">
        <w:rPr>
          <w:lang w:val="es-ES"/>
        </w:rPr>
        <w:t>Esto es, el poder adquisitivo de los importes rescatados, pese a ser mayores que los invertidos,</w:t>
      </w:r>
      <w:r w:rsidR="009A4D66">
        <w:rPr>
          <w:szCs w:val="26"/>
        </w:rPr>
        <w:t xml:space="preserve"> es menor.</w:t>
      </w:r>
    </w:p>
    <w:p w:rsidR="00B51C5F" w:rsidRPr="00BB396D" w:rsidRDefault="00BB396D" w:rsidP="00BE00E8">
      <w:pPr>
        <w:pStyle w:val="texto"/>
        <w:numPr>
          <w:ilvl w:val="0"/>
          <w:numId w:val="24"/>
        </w:numPr>
        <w:tabs>
          <w:tab w:val="clear" w:pos="2835"/>
          <w:tab w:val="clear" w:pos="3969"/>
          <w:tab w:val="clear" w:pos="5103"/>
          <w:tab w:val="center" w:pos="0"/>
          <w:tab w:val="center" w:pos="284"/>
          <w:tab w:val="center" w:pos="709"/>
        </w:tabs>
        <w:spacing w:after="160"/>
        <w:ind w:left="0" w:firstLine="426"/>
        <w:rPr>
          <w:lang w:val="es-ES"/>
        </w:rPr>
      </w:pPr>
      <w:r>
        <w:rPr>
          <w:lang w:val="es-ES"/>
        </w:rPr>
        <w:t xml:space="preserve">La tasa de rentabilidad </w:t>
      </w:r>
      <w:r w:rsidR="00B51C5F" w:rsidRPr="00BB396D">
        <w:rPr>
          <w:lang w:val="es-ES"/>
        </w:rPr>
        <w:t>sin incluir los gastos financieros de la deuda as</w:t>
      </w:r>
      <w:r w:rsidR="00B51C5F" w:rsidRPr="00BB396D">
        <w:rPr>
          <w:lang w:val="es-ES"/>
        </w:rPr>
        <w:t>o</w:t>
      </w:r>
      <w:r w:rsidR="00B51C5F" w:rsidRPr="00BB396D">
        <w:rPr>
          <w:lang w:val="es-ES"/>
        </w:rPr>
        <w:t>ciada a la financiación de la inversión</w:t>
      </w:r>
      <w:r>
        <w:rPr>
          <w:lang w:val="es-ES"/>
        </w:rPr>
        <w:t xml:space="preserve"> ha sido del 2,21 por ciento anual</w:t>
      </w:r>
      <w:r w:rsidR="00B51C5F" w:rsidRPr="00BB396D">
        <w:rPr>
          <w:lang w:val="es-ES"/>
        </w:rPr>
        <w:t xml:space="preserve">. Esta rentabilidad, pese a ser superior al IPC del periodo 2005-2014, es inferior al coste de la deuda entre mayo de 2007 y mayo de 2009, mayo de 2011 y 31 de marzo de 2014 e inferior también al tipo de interés de los créditos concertados el 1 de abril de 2014, tal como se puede observar en el anexo 3 de este informe. </w:t>
      </w:r>
    </w:p>
    <w:bookmarkEnd w:id="3"/>
    <w:p w:rsidR="009A4D66" w:rsidRDefault="009A4D66" w:rsidP="00F128AC">
      <w:pPr>
        <w:pStyle w:val="texto"/>
        <w:spacing w:after="240"/>
        <w:rPr>
          <w:rFonts w:ascii="Arial" w:hAnsi="Arial" w:cs="Arial"/>
          <w:sz w:val="25"/>
          <w:szCs w:val="25"/>
        </w:rPr>
      </w:pPr>
    </w:p>
    <w:p w:rsidR="006944BB" w:rsidRPr="00F90600" w:rsidRDefault="006944BB" w:rsidP="00F128AC">
      <w:pPr>
        <w:pStyle w:val="texto"/>
        <w:spacing w:after="240"/>
        <w:rPr>
          <w:rFonts w:ascii="Arial" w:hAnsi="Arial" w:cs="Arial"/>
          <w:sz w:val="25"/>
          <w:szCs w:val="25"/>
        </w:rPr>
      </w:pPr>
      <w:r w:rsidRPr="00F90600">
        <w:rPr>
          <w:rFonts w:ascii="Arial" w:hAnsi="Arial" w:cs="Arial"/>
          <w:sz w:val="25"/>
          <w:szCs w:val="25"/>
        </w:rPr>
        <w:lastRenderedPageBreak/>
        <w:t>Conclusión final</w:t>
      </w:r>
    </w:p>
    <w:p w:rsidR="008534C6" w:rsidRDefault="008F6E05" w:rsidP="00F128AC">
      <w:pPr>
        <w:pStyle w:val="texto"/>
        <w:spacing w:after="180"/>
        <w:rPr>
          <w:lang w:val="es-ES"/>
        </w:rPr>
      </w:pPr>
      <w:r>
        <w:t>El procedimiento de</w:t>
      </w:r>
      <w:r w:rsidR="006944BB" w:rsidRPr="00E81B25">
        <w:rPr>
          <w:lang w:val="es-ES"/>
        </w:rPr>
        <w:t xml:space="preserve"> adquisición de acciones de Iberdrola fue fiscalizad</w:t>
      </w:r>
      <w:r>
        <w:rPr>
          <w:lang w:val="es-ES"/>
        </w:rPr>
        <w:t>o</w:t>
      </w:r>
      <w:r w:rsidR="006944BB" w:rsidRPr="00E81B25">
        <w:rPr>
          <w:lang w:val="es-ES"/>
        </w:rPr>
        <w:t xml:space="preserve"> por la Cámara de Comptos y se recoge en el informe que la institución emitió en di</w:t>
      </w:r>
      <w:r w:rsidR="008534C6">
        <w:rPr>
          <w:lang w:val="es-ES"/>
        </w:rPr>
        <w:t xml:space="preserve">ciembre de 2007. </w:t>
      </w:r>
    </w:p>
    <w:p w:rsidR="008F6E05" w:rsidRPr="008F6E05" w:rsidRDefault="008534C6" w:rsidP="00F128AC">
      <w:pPr>
        <w:pStyle w:val="texto"/>
        <w:spacing w:after="180"/>
      </w:pPr>
      <w:r>
        <w:rPr>
          <w:lang w:val="es-ES"/>
        </w:rPr>
        <w:t>En dicho informe la Cámara concluyó que la</w:t>
      </w:r>
      <w:r w:rsidR="008F6E05" w:rsidRPr="008F6E05">
        <w:t xml:space="preserve"> participación en el capital s</w:t>
      </w:r>
      <w:r w:rsidR="008F6E05" w:rsidRPr="008F6E05">
        <w:t>o</w:t>
      </w:r>
      <w:r w:rsidR="008F6E05" w:rsidRPr="008F6E05">
        <w:t>cial de Iberdrola S.A de hasta un uno por</w:t>
      </w:r>
      <w:r>
        <w:t xml:space="preserve"> </w:t>
      </w:r>
      <w:r w:rsidR="008F6E05" w:rsidRPr="008F6E05">
        <w:t>ciento fue una decisión del Gobierno de Navarra basada en razones</w:t>
      </w:r>
      <w:r>
        <w:t xml:space="preserve"> </w:t>
      </w:r>
      <w:r w:rsidR="008F6E05" w:rsidRPr="008F6E05">
        <w:t>denominadas “de interés estratégico” para la Co</w:t>
      </w:r>
      <w:r>
        <w:t xml:space="preserve">munidad Foral, ejecutada por </w:t>
      </w:r>
      <w:proofErr w:type="spellStart"/>
      <w:r>
        <w:t>Sodena</w:t>
      </w:r>
      <w:proofErr w:type="spellEnd"/>
      <w:r>
        <w:t xml:space="preserve"> a </w:t>
      </w:r>
      <w:r w:rsidR="008F6E05" w:rsidRPr="008F6E05">
        <w:t>instancias del Gobierno, en los té</w:t>
      </w:r>
      <w:r w:rsidR="008F6E05" w:rsidRPr="008F6E05">
        <w:t>r</w:t>
      </w:r>
      <w:r w:rsidR="008F6E05" w:rsidRPr="008F6E05">
        <w:t>minos indicados y</w:t>
      </w:r>
      <w:r>
        <w:t xml:space="preserve"> </w:t>
      </w:r>
      <w:r w:rsidR="008F6E05" w:rsidRPr="008F6E05">
        <w:t>negociados previamente por el mismo.</w:t>
      </w:r>
    </w:p>
    <w:p w:rsidR="008F6E05" w:rsidRDefault="008534C6" w:rsidP="00F128AC">
      <w:pPr>
        <w:pStyle w:val="texto"/>
        <w:spacing w:after="180"/>
      </w:pPr>
      <w:r>
        <w:t xml:space="preserve">La Cámara calificó dicha operación como </w:t>
      </w:r>
      <w:r w:rsidR="008F6E05" w:rsidRPr="008F6E05">
        <w:t>atípica y no habitual</w:t>
      </w:r>
      <w:r>
        <w:t xml:space="preserve"> </w:t>
      </w:r>
      <w:r w:rsidR="008F6E05" w:rsidRPr="008F6E05">
        <w:t xml:space="preserve">dentro de la política de inversiones de </w:t>
      </w:r>
      <w:proofErr w:type="spellStart"/>
      <w:r w:rsidR="008F6E05" w:rsidRPr="008F6E05">
        <w:t>Sodena</w:t>
      </w:r>
      <w:proofErr w:type="spellEnd"/>
      <w:r w:rsidR="008F6E05" w:rsidRPr="008F6E05">
        <w:t>.</w:t>
      </w:r>
    </w:p>
    <w:p w:rsidR="008534C6" w:rsidRPr="008534C6" w:rsidRDefault="008F6E05" w:rsidP="00F128AC">
      <w:pPr>
        <w:pStyle w:val="texto"/>
        <w:spacing w:after="180"/>
        <w:rPr>
          <w:i/>
        </w:rPr>
      </w:pPr>
      <w:r w:rsidRPr="00E81B25">
        <w:rPr>
          <w:lang w:val="es-ES"/>
        </w:rPr>
        <w:t>Aunque se configuró como una operación estratégica en la que no solamente se esperaba obtener un rendimiento económico, no consta qué objetivos estr</w:t>
      </w:r>
      <w:r w:rsidRPr="00E81B25">
        <w:rPr>
          <w:lang w:val="es-ES"/>
        </w:rPr>
        <w:t>a</w:t>
      </w:r>
      <w:r w:rsidRPr="00E81B25">
        <w:rPr>
          <w:lang w:val="es-ES"/>
        </w:rPr>
        <w:t xml:space="preserve">tégicos se consiguieron con la compra de acciones de Iberdrola. </w:t>
      </w:r>
      <w:r w:rsidR="008534C6">
        <w:rPr>
          <w:lang w:val="es-ES"/>
        </w:rPr>
        <w:t xml:space="preserve"> En el informe emitido en diciembre de 2007, la </w:t>
      </w:r>
      <w:r w:rsidR="008534C6">
        <w:t>Cámara recomendó</w:t>
      </w:r>
      <w:r w:rsidR="00D805F6">
        <w:t>:</w:t>
      </w:r>
      <w:r w:rsidR="00B271A3">
        <w:t xml:space="preserve"> </w:t>
      </w:r>
      <w:r w:rsidR="00B271A3" w:rsidRPr="00B271A3">
        <w:rPr>
          <w:i/>
        </w:rPr>
        <w:t>s</w:t>
      </w:r>
      <w:r w:rsidR="00D805F6" w:rsidRPr="00B271A3">
        <w:rPr>
          <w:i/>
        </w:rPr>
        <w:t>op</w:t>
      </w:r>
      <w:r w:rsidR="00D805F6" w:rsidRPr="008534C6">
        <w:rPr>
          <w:i/>
        </w:rPr>
        <w:t xml:space="preserve">ortar </w:t>
      </w:r>
      <w:r w:rsidR="008534C6" w:rsidRPr="008534C6">
        <w:rPr>
          <w:i/>
        </w:rPr>
        <w:t>los objetivos e</w:t>
      </w:r>
      <w:r w:rsidR="008534C6" w:rsidRPr="008534C6">
        <w:rPr>
          <w:i/>
        </w:rPr>
        <w:t>s</w:t>
      </w:r>
      <w:r w:rsidR="008534C6" w:rsidRPr="008534C6">
        <w:rPr>
          <w:i/>
        </w:rPr>
        <w:t>tratégicos en análisis económicos, y recogerlos en un plan junto con las líneas de actuación y recursos precisos para su consecución, así como concretarlos y vincularlos con objetivos operativos en el corto plazo.</w:t>
      </w:r>
    </w:p>
    <w:p w:rsidR="008F6E05" w:rsidRPr="00E81B25" w:rsidRDefault="008F6E05" w:rsidP="00F128AC">
      <w:pPr>
        <w:pStyle w:val="texto"/>
        <w:spacing w:after="180"/>
        <w:rPr>
          <w:lang w:val="es-ES"/>
        </w:rPr>
      </w:pPr>
      <w:r w:rsidRPr="00E81B25">
        <w:rPr>
          <w:lang w:val="es-ES"/>
        </w:rPr>
        <w:t xml:space="preserve">El 20 por ciento de las acciones de Iberdrola </w:t>
      </w:r>
      <w:r w:rsidR="00396632">
        <w:rPr>
          <w:lang w:val="es-ES"/>
        </w:rPr>
        <w:t>se utilizó</w:t>
      </w:r>
      <w:r w:rsidRPr="00E81B25">
        <w:rPr>
          <w:lang w:val="es-ES"/>
        </w:rPr>
        <w:t xml:space="preserve"> </w:t>
      </w:r>
      <w:r w:rsidR="00E85ACB">
        <w:rPr>
          <w:lang w:val="es-ES"/>
        </w:rPr>
        <w:t xml:space="preserve">como pago en especie </w:t>
      </w:r>
      <w:r w:rsidR="00BB396D">
        <w:rPr>
          <w:lang w:val="es-ES"/>
        </w:rPr>
        <w:t xml:space="preserve">al accionista TME 2001 </w:t>
      </w:r>
      <w:proofErr w:type="spellStart"/>
      <w:r w:rsidR="00BB396D">
        <w:rPr>
          <w:lang w:val="es-ES"/>
        </w:rPr>
        <w:t>Corpcan</w:t>
      </w:r>
      <w:proofErr w:type="spellEnd"/>
      <w:r w:rsidR="00BB396D">
        <w:rPr>
          <w:lang w:val="es-ES"/>
        </w:rPr>
        <w:t xml:space="preserve"> SL </w:t>
      </w:r>
      <w:r w:rsidR="00E85ACB">
        <w:rPr>
          <w:lang w:val="es-ES"/>
        </w:rPr>
        <w:t>de</w:t>
      </w:r>
      <w:r w:rsidRPr="00E81B25">
        <w:rPr>
          <w:lang w:val="es-ES"/>
        </w:rPr>
        <w:t xml:space="preserve"> una operación de reducción de capital de </w:t>
      </w:r>
      <w:proofErr w:type="spellStart"/>
      <w:r w:rsidRPr="00E81B25">
        <w:rPr>
          <w:lang w:val="es-ES"/>
        </w:rPr>
        <w:t>Sodena</w:t>
      </w:r>
      <w:proofErr w:type="spellEnd"/>
      <w:r w:rsidRPr="00E81B25">
        <w:rPr>
          <w:lang w:val="es-ES"/>
        </w:rPr>
        <w:t>.</w:t>
      </w:r>
    </w:p>
    <w:p w:rsidR="008F6E05" w:rsidRPr="00E81B25" w:rsidRDefault="008F6E05" w:rsidP="00F128AC">
      <w:pPr>
        <w:pStyle w:val="texto"/>
        <w:spacing w:after="180"/>
        <w:rPr>
          <w:lang w:val="es-ES"/>
        </w:rPr>
      </w:pPr>
      <w:r w:rsidRPr="00E81B25">
        <w:rPr>
          <w:lang w:val="es-ES"/>
        </w:rPr>
        <w:t xml:space="preserve"> El 80 por ciento de las ac</w:t>
      </w:r>
      <w:r w:rsidR="00396632">
        <w:rPr>
          <w:lang w:val="es-ES"/>
        </w:rPr>
        <w:t>ciones de Iberdrola se vendió</w:t>
      </w:r>
      <w:r w:rsidRPr="00E81B25">
        <w:rPr>
          <w:lang w:val="es-ES"/>
        </w:rPr>
        <w:t xml:space="preserve"> para amortizar deuda financiera de </w:t>
      </w:r>
      <w:proofErr w:type="spellStart"/>
      <w:r w:rsidRPr="00E81B25">
        <w:rPr>
          <w:lang w:val="es-ES"/>
        </w:rPr>
        <w:t>Sodena</w:t>
      </w:r>
      <w:proofErr w:type="spellEnd"/>
      <w:r w:rsidR="00BB396D">
        <w:rPr>
          <w:lang w:val="es-ES"/>
        </w:rPr>
        <w:t>, deuda de la cual el</w:t>
      </w:r>
      <w:r w:rsidRPr="00E81B25">
        <w:rPr>
          <w:lang w:val="es-ES"/>
        </w:rPr>
        <w:t xml:space="preserve"> 69 por ciento se </w:t>
      </w:r>
      <w:r w:rsidR="000551D4">
        <w:rPr>
          <w:lang w:val="es-ES"/>
        </w:rPr>
        <w:t>dispuso</w:t>
      </w:r>
      <w:r w:rsidRPr="00E81B25">
        <w:rPr>
          <w:lang w:val="es-ES"/>
        </w:rPr>
        <w:t xml:space="preserve"> para </w:t>
      </w:r>
      <w:r w:rsidR="00E85ACB">
        <w:rPr>
          <w:lang w:val="es-ES"/>
        </w:rPr>
        <w:t>fina</w:t>
      </w:r>
      <w:r w:rsidR="00E85ACB">
        <w:rPr>
          <w:lang w:val="es-ES"/>
        </w:rPr>
        <w:t>n</w:t>
      </w:r>
      <w:r w:rsidR="00E85ACB">
        <w:rPr>
          <w:lang w:val="es-ES"/>
        </w:rPr>
        <w:t xml:space="preserve">ciar la liquidación de la operación de </w:t>
      </w:r>
      <w:r w:rsidR="00ED31E9">
        <w:rPr>
          <w:lang w:val="es-ES"/>
        </w:rPr>
        <w:t>cobertura</w:t>
      </w:r>
      <w:r w:rsidR="00E85ACB">
        <w:rPr>
          <w:lang w:val="es-ES"/>
        </w:rPr>
        <w:t xml:space="preserve"> de las acciones d</w:t>
      </w:r>
      <w:r w:rsidRPr="00E81B25">
        <w:rPr>
          <w:lang w:val="es-ES"/>
        </w:rPr>
        <w:t>e Iberdrola</w:t>
      </w:r>
    </w:p>
    <w:p w:rsidR="008F6E05" w:rsidRDefault="008F6E05" w:rsidP="000551D4">
      <w:pPr>
        <w:pStyle w:val="texto"/>
        <w:spacing w:after="180"/>
        <w:rPr>
          <w:lang w:val="es-ES"/>
        </w:rPr>
      </w:pPr>
      <w:r w:rsidRPr="00E81B25">
        <w:rPr>
          <w:lang w:val="es-ES"/>
        </w:rPr>
        <w:t xml:space="preserve">La </w:t>
      </w:r>
      <w:r w:rsidR="00E85ACB">
        <w:rPr>
          <w:lang w:val="es-ES"/>
        </w:rPr>
        <w:t>inversión en</w:t>
      </w:r>
      <w:r w:rsidRPr="00E81B25">
        <w:rPr>
          <w:lang w:val="es-ES"/>
        </w:rPr>
        <w:t xml:space="preserve"> acciones de Iberdrola </w:t>
      </w:r>
      <w:r w:rsidR="00E85ACB">
        <w:rPr>
          <w:lang w:val="es-ES"/>
        </w:rPr>
        <w:t>ha tenido una rentabilidad del 1,04 por ciento anual, teniendo en cuenta los gastos financieros de la deuda asociada, rentabilidad que no ha permitido</w:t>
      </w:r>
      <w:r w:rsidRPr="00E81B25">
        <w:rPr>
          <w:lang w:val="es-ES"/>
        </w:rPr>
        <w:t xml:space="preserve"> recuperar el valor adquisitivo de los gastos</w:t>
      </w:r>
      <w:r>
        <w:rPr>
          <w:lang w:val="es-ES"/>
        </w:rPr>
        <w:t xml:space="preserve"> de la inversión</w:t>
      </w:r>
      <w:r w:rsidRPr="00E81B25">
        <w:rPr>
          <w:lang w:val="es-ES"/>
        </w:rPr>
        <w:t xml:space="preserve">, </w:t>
      </w:r>
      <w:r w:rsidR="00E85ACB">
        <w:rPr>
          <w:lang w:val="es-ES"/>
        </w:rPr>
        <w:t>dado que ha sido inferior al IPC del periodo 2005-2014, y por ta</w:t>
      </w:r>
      <w:r w:rsidR="00E85ACB">
        <w:rPr>
          <w:lang w:val="es-ES"/>
        </w:rPr>
        <w:t>n</w:t>
      </w:r>
      <w:r w:rsidR="00E85ACB">
        <w:rPr>
          <w:lang w:val="es-ES"/>
        </w:rPr>
        <w:t xml:space="preserve">to se ha generado </w:t>
      </w:r>
      <w:r>
        <w:rPr>
          <w:lang w:val="es-ES"/>
        </w:rPr>
        <w:t>un</w:t>
      </w:r>
      <w:r w:rsidR="006025D0">
        <w:rPr>
          <w:lang w:val="es-ES"/>
        </w:rPr>
        <w:t>a pérdida</w:t>
      </w:r>
      <w:r>
        <w:rPr>
          <w:lang w:val="es-ES"/>
        </w:rPr>
        <w:t xml:space="preserve"> de </w:t>
      </w:r>
      <w:r w:rsidR="00390971">
        <w:rPr>
          <w:lang w:val="es-ES"/>
        </w:rPr>
        <w:t>19,65</w:t>
      </w:r>
      <w:r>
        <w:rPr>
          <w:lang w:val="es-ES"/>
        </w:rPr>
        <w:t xml:space="preserve"> millones </w:t>
      </w:r>
      <w:r w:rsidR="00396632">
        <w:rPr>
          <w:lang w:val="es-ES"/>
        </w:rPr>
        <w:t>en euros constantes o reales.</w:t>
      </w:r>
    </w:p>
    <w:p w:rsidR="000551D4" w:rsidRDefault="000551D4" w:rsidP="000551D4">
      <w:pPr>
        <w:pStyle w:val="texto"/>
        <w:spacing w:after="180"/>
        <w:rPr>
          <w:lang w:val="es-ES"/>
        </w:rPr>
      </w:pPr>
      <w:r w:rsidRPr="000551D4">
        <w:rPr>
          <w:lang w:val="es-ES"/>
        </w:rPr>
        <w:t>La inversión en acciones de Iberdrola no ha sido rentable para tasas de r</w:t>
      </w:r>
      <w:r w:rsidRPr="000551D4">
        <w:rPr>
          <w:lang w:val="es-ES"/>
        </w:rPr>
        <w:t>e</w:t>
      </w:r>
      <w:r w:rsidRPr="000551D4">
        <w:rPr>
          <w:lang w:val="es-ES"/>
        </w:rPr>
        <w:t xml:space="preserve">torno </w:t>
      </w:r>
      <w:r w:rsidR="00BB396D">
        <w:rPr>
          <w:lang w:val="es-ES"/>
        </w:rPr>
        <w:t xml:space="preserve">o rentabilidad </w:t>
      </w:r>
      <w:r w:rsidRPr="000551D4">
        <w:rPr>
          <w:lang w:val="es-ES"/>
        </w:rPr>
        <w:t>superiores al 2,21 por ciento o al 1,04 por ciento si cons</w:t>
      </w:r>
      <w:r w:rsidRPr="000551D4">
        <w:rPr>
          <w:lang w:val="es-ES"/>
        </w:rPr>
        <w:t>i</w:t>
      </w:r>
      <w:r w:rsidRPr="000551D4">
        <w:rPr>
          <w:lang w:val="es-ES"/>
        </w:rPr>
        <w:t>deramos la carga financiera de la deuda</w:t>
      </w:r>
      <w:r w:rsidR="00BB396D">
        <w:rPr>
          <w:lang w:val="es-ES"/>
        </w:rPr>
        <w:t xml:space="preserve"> asociada a la operación analizada</w:t>
      </w:r>
      <w:r w:rsidRPr="000551D4">
        <w:rPr>
          <w:lang w:val="es-ES"/>
        </w:rPr>
        <w:t xml:space="preserve">. El coste de financiación de la deuda de </w:t>
      </w:r>
      <w:proofErr w:type="spellStart"/>
      <w:r w:rsidRPr="000551D4">
        <w:rPr>
          <w:lang w:val="es-ES"/>
        </w:rPr>
        <w:t>Sodena</w:t>
      </w:r>
      <w:proofErr w:type="spellEnd"/>
      <w:r w:rsidRPr="000551D4">
        <w:rPr>
          <w:lang w:val="es-ES"/>
        </w:rPr>
        <w:t xml:space="preserve"> ha sido en general superior a la t</w:t>
      </w:r>
      <w:r w:rsidRPr="000551D4">
        <w:rPr>
          <w:lang w:val="es-ES"/>
        </w:rPr>
        <w:t>a</w:t>
      </w:r>
      <w:r w:rsidRPr="000551D4">
        <w:rPr>
          <w:lang w:val="es-ES"/>
        </w:rPr>
        <w:t xml:space="preserve">sa de rentabilidad del 2.21 por ciento y, por otra parte, en el caso de la tasa de </w:t>
      </w:r>
      <w:r w:rsidR="00BB396D">
        <w:rPr>
          <w:lang w:val="es-ES"/>
        </w:rPr>
        <w:t>rentabilidad</w:t>
      </w:r>
      <w:r w:rsidRPr="000551D4">
        <w:rPr>
          <w:lang w:val="es-ES"/>
        </w:rPr>
        <w:t xml:space="preserve"> del 1,04 por ciento calculada incluyendo la carga financiera, no se ha llegado a una revalorización equivalente al IPC.</w:t>
      </w:r>
    </w:p>
    <w:p w:rsidR="000551D4" w:rsidRDefault="000551D4" w:rsidP="000551D4">
      <w:pPr>
        <w:pStyle w:val="texto"/>
        <w:spacing w:after="180"/>
        <w:rPr>
          <w:lang w:val="es-ES"/>
        </w:rPr>
      </w:pPr>
    </w:p>
    <w:p w:rsidR="006944BB" w:rsidRDefault="00D805F6" w:rsidP="00F128AC">
      <w:pPr>
        <w:pStyle w:val="texto"/>
        <w:spacing w:after="320"/>
        <w:rPr>
          <w:i/>
          <w:lang w:val="es-ES"/>
        </w:rPr>
      </w:pPr>
      <w:r>
        <w:rPr>
          <w:i/>
          <w:lang w:val="es-ES"/>
        </w:rPr>
        <w:lastRenderedPageBreak/>
        <w:t>Recomendamos</w:t>
      </w:r>
      <w:r w:rsidR="006944BB" w:rsidRPr="00E81B25">
        <w:rPr>
          <w:i/>
          <w:lang w:val="es-ES"/>
        </w:rPr>
        <w:t xml:space="preserve"> </w:t>
      </w:r>
      <w:r w:rsidR="00396632">
        <w:rPr>
          <w:i/>
          <w:lang w:val="es-ES"/>
        </w:rPr>
        <w:t xml:space="preserve">que </w:t>
      </w:r>
      <w:r w:rsidR="00E17799">
        <w:rPr>
          <w:i/>
          <w:lang w:val="es-ES"/>
        </w:rPr>
        <w:t>los fondos públicos</w:t>
      </w:r>
      <w:r w:rsidR="00396632">
        <w:rPr>
          <w:i/>
          <w:lang w:val="es-ES"/>
        </w:rPr>
        <w:t xml:space="preserve"> se dediquen a </w:t>
      </w:r>
      <w:r w:rsidR="006944BB" w:rsidRPr="00E81B25">
        <w:rPr>
          <w:i/>
          <w:lang w:val="es-ES"/>
        </w:rPr>
        <w:t>inversiones product</w:t>
      </w:r>
      <w:r w:rsidR="006944BB" w:rsidRPr="00E81B25">
        <w:rPr>
          <w:i/>
          <w:lang w:val="es-ES"/>
        </w:rPr>
        <w:t>i</w:t>
      </w:r>
      <w:r w:rsidR="006944BB" w:rsidRPr="00E81B25">
        <w:rPr>
          <w:i/>
          <w:lang w:val="es-ES"/>
        </w:rPr>
        <w:t xml:space="preserve">vas de rentabilidad económica y social acordes con los fines que debe cumplir una Administración Pública o </w:t>
      </w:r>
      <w:r w:rsidR="00396632">
        <w:rPr>
          <w:i/>
          <w:lang w:val="es-ES"/>
        </w:rPr>
        <w:t>a</w:t>
      </w:r>
      <w:r w:rsidR="006944BB" w:rsidRPr="00E81B25">
        <w:rPr>
          <w:i/>
          <w:lang w:val="es-ES"/>
        </w:rPr>
        <w:t xml:space="preserve"> proyectos empresaria</w:t>
      </w:r>
      <w:r w:rsidR="00396632">
        <w:rPr>
          <w:i/>
          <w:lang w:val="es-ES"/>
        </w:rPr>
        <w:t>les</w:t>
      </w:r>
      <w:r w:rsidR="006944BB" w:rsidRPr="00E81B25">
        <w:rPr>
          <w:i/>
          <w:lang w:val="es-ES"/>
        </w:rPr>
        <w:t xml:space="preserve"> estratégicos en los que </w:t>
      </w:r>
      <w:proofErr w:type="spellStart"/>
      <w:r w:rsidR="006944BB" w:rsidRPr="00E81B25">
        <w:rPr>
          <w:i/>
          <w:lang w:val="es-ES"/>
        </w:rPr>
        <w:t>Sodena</w:t>
      </w:r>
      <w:proofErr w:type="spellEnd"/>
      <w:r w:rsidR="006944BB" w:rsidRPr="00E81B25">
        <w:rPr>
          <w:i/>
          <w:lang w:val="es-ES"/>
        </w:rPr>
        <w:t xml:space="preserve"> S.L. fundamenta su misión.</w:t>
      </w:r>
    </w:p>
    <w:p w:rsidR="00F128AC" w:rsidRDefault="00F128AC" w:rsidP="00F128AC">
      <w:pPr>
        <w:pStyle w:val="texto"/>
        <w:tabs>
          <w:tab w:val="clear" w:pos="2835"/>
          <w:tab w:val="clear" w:pos="3969"/>
          <w:tab w:val="clear" w:pos="5103"/>
          <w:tab w:val="clear" w:pos="6237"/>
          <w:tab w:val="clear" w:pos="7371"/>
        </w:tabs>
        <w:rPr>
          <w:rFonts w:cs="Arial"/>
          <w:lang w:val="es-ES"/>
        </w:rPr>
      </w:pPr>
      <w:r w:rsidRPr="00B22373">
        <w:rPr>
          <w:rFonts w:cs="Arial"/>
          <w:lang w:val="es-ES"/>
        </w:rPr>
        <w:t>Informe que se emite a propuesta de</w:t>
      </w:r>
      <w:r>
        <w:rPr>
          <w:rFonts w:cs="Arial"/>
          <w:lang w:val="es-ES"/>
        </w:rPr>
        <w:t xml:space="preserve"> la auditora Asunción Olaechea </w:t>
      </w:r>
      <w:proofErr w:type="spellStart"/>
      <w:r>
        <w:rPr>
          <w:rFonts w:cs="Arial"/>
          <w:lang w:val="es-ES"/>
        </w:rPr>
        <w:t>Estanga</w:t>
      </w:r>
      <w:proofErr w:type="spellEnd"/>
      <w:r w:rsidRPr="00B22373">
        <w:rPr>
          <w:rFonts w:cs="Arial"/>
          <w:lang w:val="es-ES"/>
        </w:rPr>
        <w:t>, responsable de la realización de este trabajo, una vez cumplimentados los tr</w:t>
      </w:r>
      <w:r w:rsidRPr="00B22373">
        <w:rPr>
          <w:rFonts w:cs="Arial"/>
          <w:lang w:val="es-ES"/>
        </w:rPr>
        <w:t>á</w:t>
      </w:r>
      <w:r w:rsidRPr="00B22373">
        <w:rPr>
          <w:rFonts w:cs="Arial"/>
          <w:lang w:val="es-ES"/>
        </w:rPr>
        <w:t>mites previstos por la normativa vigente.</w:t>
      </w:r>
    </w:p>
    <w:p w:rsidR="00F128AC" w:rsidRPr="00C40ABD" w:rsidRDefault="00F128AC" w:rsidP="00F128AC">
      <w:pPr>
        <w:spacing w:before="240" w:after="120"/>
        <w:ind w:firstLine="284"/>
        <w:jc w:val="center"/>
        <w:rPr>
          <w:sz w:val="26"/>
          <w:szCs w:val="26"/>
        </w:rPr>
      </w:pPr>
      <w:r w:rsidRPr="00C40ABD">
        <w:rPr>
          <w:sz w:val="26"/>
          <w:szCs w:val="26"/>
        </w:rPr>
        <w:t xml:space="preserve">Pamplona, </w:t>
      </w:r>
      <w:r w:rsidR="00C40ABD" w:rsidRPr="00C40ABD">
        <w:rPr>
          <w:sz w:val="26"/>
          <w:szCs w:val="26"/>
        </w:rPr>
        <w:t>21</w:t>
      </w:r>
      <w:r w:rsidRPr="00C40ABD">
        <w:rPr>
          <w:sz w:val="26"/>
          <w:szCs w:val="26"/>
        </w:rPr>
        <w:t xml:space="preserve"> de enero de 2016 </w:t>
      </w:r>
    </w:p>
    <w:p w:rsidR="00F128AC" w:rsidRPr="00A56698" w:rsidRDefault="00F128AC" w:rsidP="00F128AC">
      <w:pPr>
        <w:spacing w:before="240" w:after="120"/>
        <w:ind w:firstLine="284"/>
        <w:jc w:val="center"/>
        <w:rPr>
          <w:sz w:val="26"/>
          <w:szCs w:val="26"/>
        </w:rPr>
      </w:pPr>
      <w:r w:rsidRPr="004C1483">
        <w:rPr>
          <w:sz w:val="26"/>
          <w:szCs w:val="26"/>
        </w:rPr>
        <w:t>El presidente,</w:t>
      </w:r>
      <w:r w:rsidR="00E92BCF">
        <w:rPr>
          <w:sz w:val="26"/>
          <w:szCs w:val="26"/>
        </w:rPr>
        <w:t xml:space="preserve"> </w:t>
      </w:r>
      <w:r>
        <w:rPr>
          <w:sz w:val="26"/>
          <w:szCs w:val="26"/>
        </w:rPr>
        <w:t>Helio Robleda Cabezas</w:t>
      </w:r>
    </w:p>
    <w:p w:rsidR="006944BB" w:rsidRDefault="006944BB" w:rsidP="006944BB">
      <w:pPr>
        <w:pStyle w:val="texto"/>
      </w:pPr>
    </w:p>
    <w:p w:rsidR="006944BB" w:rsidRDefault="006944BB" w:rsidP="006944BB">
      <w:pPr>
        <w:pStyle w:val="texto"/>
      </w:pPr>
    </w:p>
    <w:p w:rsidR="006944BB" w:rsidRDefault="006944BB" w:rsidP="006944BB">
      <w:pPr>
        <w:pStyle w:val="texto"/>
      </w:pPr>
    </w:p>
    <w:p w:rsidR="00F128AC" w:rsidRPr="00F128AC" w:rsidRDefault="00F128AC" w:rsidP="00F128AC">
      <w:pPr>
        <w:pStyle w:val="texto"/>
      </w:pPr>
      <w:bookmarkStart w:id="20" w:name="_Toc353433551"/>
      <w:bookmarkStart w:id="21" w:name="_Toc354139921"/>
      <w:bookmarkStart w:id="22" w:name="_Toc388959957"/>
      <w:r w:rsidRPr="00F128AC">
        <w:br w:type="page"/>
      </w:r>
    </w:p>
    <w:p w:rsidR="005E0ADF" w:rsidRDefault="005E0ADF" w:rsidP="006944BB">
      <w:pPr>
        <w:pStyle w:val="atitulo1"/>
        <w:jc w:val="right"/>
        <w:rPr>
          <w:sz w:val="40"/>
          <w:szCs w:val="40"/>
        </w:rPr>
      </w:pPr>
    </w:p>
    <w:p w:rsidR="002D6193" w:rsidRDefault="002D6193" w:rsidP="006944BB">
      <w:pPr>
        <w:pStyle w:val="atitulo1"/>
        <w:jc w:val="right"/>
        <w:rPr>
          <w:sz w:val="40"/>
          <w:szCs w:val="40"/>
        </w:rPr>
      </w:pPr>
    </w:p>
    <w:p w:rsidR="002D6193" w:rsidRDefault="002D6193" w:rsidP="006944BB">
      <w:pPr>
        <w:pStyle w:val="atitulo1"/>
        <w:jc w:val="right"/>
        <w:rPr>
          <w:sz w:val="40"/>
          <w:szCs w:val="40"/>
        </w:rPr>
      </w:pPr>
    </w:p>
    <w:p w:rsidR="00F128AC" w:rsidRDefault="00F128AC" w:rsidP="006944BB">
      <w:pPr>
        <w:pStyle w:val="atitulo1"/>
        <w:jc w:val="right"/>
        <w:rPr>
          <w:sz w:val="40"/>
          <w:szCs w:val="40"/>
        </w:rPr>
      </w:pPr>
    </w:p>
    <w:p w:rsidR="006944BB" w:rsidRDefault="006944BB" w:rsidP="006944BB">
      <w:pPr>
        <w:pStyle w:val="atitulo1"/>
        <w:jc w:val="right"/>
        <w:rPr>
          <w:sz w:val="40"/>
          <w:szCs w:val="40"/>
        </w:rPr>
      </w:pPr>
      <w:bookmarkStart w:id="23" w:name="_Toc441141968"/>
      <w:r w:rsidRPr="00685996">
        <w:rPr>
          <w:sz w:val="40"/>
          <w:szCs w:val="40"/>
        </w:rPr>
        <w:t>Anexo</w:t>
      </w:r>
      <w:bookmarkEnd w:id="20"/>
      <w:bookmarkEnd w:id="21"/>
      <w:r>
        <w:rPr>
          <w:sz w:val="40"/>
          <w:szCs w:val="40"/>
        </w:rPr>
        <w:t>s</w:t>
      </w:r>
      <w:bookmarkEnd w:id="22"/>
      <w:bookmarkEnd w:id="23"/>
    </w:p>
    <w:p w:rsidR="006944BB" w:rsidRDefault="006944BB" w:rsidP="006944BB">
      <w:pPr>
        <w:pStyle w:val="texto"/>
        <w:tabs>
          <w:tab w:val="clear" w:pos="2835"/>
          <w:tab w:val="clear" w:pos="3969"/>
          <w:tab w:val="clear" w:pos="5103"/>
          <w:tab w:val="clear" w:pos="6237"/>
          <w:tab w:val="clear" w:pos="7371"/>
        </w:tabs>
        <w:rPr>
          <w:rFonts w:eastAsia="Calibri"/>
          <w:lang w:val="es-ES" w:eastAsia="es-ES"/>
        </w:rPr>
      </w:pPr>
    </w:p>
    <w:p w:rsidR="006944BB" w:rsidRDefault="006944BB" w:rsidP="006944BB">
      <w:pPr>
        <w:pStyle w:val="texto"/>
        <w:tabs>
          <w:tab w:val="clear" w:pos="2835"/>
          <w:tab w:val="clear" w:pos="3969"/>
          <w:tab w:val="clear" w:pos="5103"/>
          <w:tab w:val="clear" w:pos="6237"/>
          <w:tab w:val="clear" w:pos="7371"/>
        </w:tabs>
        <w:rPr>
          <w:rFonts w:eastAsia="Calibri"/>
          <w:lang w:val="es-ES" w:eastAsia="es-ES"/>
        </w:rPr>
      </w:pPr>
    </w:p>
    <w:p w:rsidR="006944BB" w:rsidRDefault="006944BB" w:rsidP="006944BB">
      <w:pPr>
        <w:pStyle w:val="texto"/>
        <w:tabs>
          <w:tab w:val="clear" w:pos="2835"/>
          <w:tab w:val="clear" w:pos="3969"/>
          <w:tab w:val="clear" w:pos="5103"/>
          <w:tab w:val="clear" w:pos="6237"/>
          <w:tab w:val="clear" w:pos="7371"/>
        </w:tabs>
        <w:rPr>
          <w:rFonts w:eastAsia="Calibri"/>
          <w:lang w:val="es-ES" w:eastAsia="es-ES"/>
        </w:rPr>
      </w:pPr>
    </w:p>
    <w:p w:rsidR="006944BB" w:rsidRDefault="006944BB" w:rsidP="006944BB">
      <w:pPr>
        <w:pStyle w:val="texto"/>
        <w:tabs>
          <w:tab w:val="clear" w:pos="2835"/>
          <w:tab w:val="clear" w:pos="3969"/>
          <w:tab w:val="clear" w:pos="5103"/>
          <w:tab w:val="clear" w:pos="6237"/>
          <w:tab w:val="clear" w:pos="7371"/>
        </w:tabs>
        <w:rPr>
          <w:rFonts w:eastAsia="Calibri"/>
          <w:lang w:val="es-ES" w:eastAsia="es-ES"/>
        </w:rPr>
      </w:pPr>
    </w:p>
    <w:p w:rsidR="006944BB" w:rsidRDefault="006944BB" w:rsidP="006944BB">
      <w:pPr>
        <w:pStyle w:val="texto"/>
        <w:tabs>
          <w:tab w:val="clear" w:pos="2835"/>
          <w:tab w:val="clear" w:pos="3969"/>
          <w:tab w:val="clear" w:pos="5103"/>
          <w:tab w:val="clear" w:pos="6237"/>
          <w:tab w:val="clear" w:pos="7371"/>
        </w:tabs>
        <w:rPr>
          <w:rFonts w:eastAsia="Calibri"/>
          <w:lang w:val="es-ES" w:eastAsia="es-ES"/>
        </w:rPr>
      </w:pPr>
    </w:p>
    <w:p w:rsidR="006944BB" w:rsidRDefault="006944BB" w:rsidP="006944BB">
      <w:pPr>
        <w:pStyle w:val="texto"/>
        <w:tabs>
          <w:tab w:val="clear" w:pos="2835"/>
          <w:tab w:val="clear" w:pos="3969"/>
          <w:tab w:val="clear" w:pos="5103"/>
          <w:tab w:val="clear" w:pos="6237"/>
          <w:tab w:val="clear" w:pos="7371"/>
        </w:tabs>
        <w:rPr>
          <w:rFonts w:eastAsia="Calibri"/>
          <w:lang w:val="es-ES" w:eastAsia="es-ES"/>
        </w:rPr>
      </w:pPr>
    </w:p>
    <w:p w:rsidR="006944BB" w:rsidRDefault="006944BB" w:rsidP="006944BB">
      <w:pPr>
        <w:pStyle w:val="texto"/>
        <w:tabs>
          <w:tab w:val="clear" w:pos="2835"/>
          <w:tab w:val="clear" w:pos="3969"/>
          <w:tab w:val="clear" w:pos="5103"/>
          <w:tab w:val="clear" w:pos="6237"/>
          <w:tab w:val="clear" w:pos="7371"/>
        </w:tabs>
        <w:rPr>
          <w:rFonts w:eastAsia="Calibri"/>
          <w:lang w:val="es-ES" w:eastAsia="es-ES"/>
        </w:rPr>
      </w:pPr>
    </w:p>
    <w:p w:rsidR="006944BB" w:rsidRDefault="006944BB" w:rsidP="006944BB">
      <w:pPr>
        <w:pStyle w:val="texto"/>
        <w:tabs>
          <w:tab w:val="clear" w:pos="2835"/>
          <w:tab w:val="clear" w:pos="3969"/>
          <w:tab w:val="clear" w:pos="5103"/>
          <w:tab w:val="clear" w:pos="6237"/>
          <w:tab w:val="clear" w:pos="7371"/>
        </w:tabs>
        <w:rPr>
          <w:rFonts w:eastAsia="Calibri"/>
          <w:lang w:val="es-ES" w:eastAsia="es-ES"/>
        </w:rPr>
      </w:pPr>
    </w:p>
    <w:p w:rsidR="006944BB" w:rsidRDefault="006944BB" w:rsidP="006944BB">
      <w:pPr>
        <w:pStyle w:val="texto"/>
        <w:tabs>
          <w:tab w:val="clear" w:pos="2835"/>
          <w:tab w:val="clear" w:pos="3969"/>
          <w:tab w:val="clear" w:pos="5103"/>
          <w:tab w:val="clear" w:pos="6237"/>
          <w:tab w:val="clear" w:pos="7371"/>
        </w:tabs>
        <w:rPr>
          <w:rFonts w:eastAsia="Calibri"/>
          <w:lang w:val="es-ES" w:eastAsia="es-ES"/>
        </w:rPr>
      </w:pPr>
    </w:p>
    <w:p w:rsidR="006944BB" w:rsidRDefault="006944BB" w:rsidP="006944BB">
      <w:pPr>
        <w:pStyle w:val="texto"/>
        <w:tabs>
          <w:tab w:val="clear" w:pos="2835"/>
          <w:tab w:val="clear" w:pos="3969"/>
          <w:tab w:val="clear" w:pos="5103"/>
          <w:tab w:val="clear" w:pos="6237"/>
          <w:tab w:val="clear" w:pos="7371"/>
        </w:tabs>
        <w:rPr>
          <w:rFonts w:eastAsia="Calibri"/>
          <w:lang w:val="es-ES" w:eastAsia="es-ES"/>
        </w:rPr>
      </w:pPr>
    </w:p>
    <w:p w:rsidR="006944BB" w:rsidRDefault="006944BB" w:rsidP="006944BB">
      <w:pPr>
        <w:pStyle w:val="texto"/>
        <w:tabs>
          <w:tab w:val="clear" w:pos="2835"/>
          <w:tab w:val="clear" w:pos="3969"/>
          <w:tab w:val="clear" w:pos="5103"/>
          <w:tab w:val="clear" w:pos="6237"/>
          <w:tab w:val="clear" w:pos="7371"/>
        </w:tabs>
        <w:rPr>
          <w:rFonts w:eastAsia="Calibri"/>
          <w:lang w:val="es-ES" w:eastAsia="es-ES"/>
        </w:rPr>
      </w:pPr>
    </w:p>
    <w:p w:rsidR="006944BB" w:rsidRDefault="006944BB" w:rsidP="006944BB">
      <w:pPr>
        <w:pStyle w:val="texto"/>
        <w:tabs>
          <w:tab w:val="clear" w:pos="2835"/>
          <w:tab w:val="clear" w:pos="3969"/>
          <w:tab w:val="clear" w:pos="5103"/>
          <w:tab w:val="clear" w:pos="6237"/>
          <w:tab w:val="clear" w:pos="7371"/>
        </w:tabs>
        <w:rPr>
          <w:rFonts w:eastAsia="Calibri"/>
          <w:lang w:val="es-ES" w:eastAsia="es-ES"/>
        </w:rPr>
      </w:pPr>
    </w:p>
    <w:p w:rsidR="006944BB" w:rsidRDefault="006944BB" w:rsidP="006944BB">
      <w:pPr>
        <w:pStyle w:val="texto"/>
        <w:tabs>
          <w:tab w:val="clear" w:pos="2835"/>
          <w:tab w:val="clear" w:pos="3969"/>
          <w:tab w:val="clear" w:pos="5103"/>
          <w:tab w:val="clear" w:pos="6237"/>
          <w:tab w:val="clear" w:pos="7371"/>
        </w:tabs>
        <w:rPr>
          <w:rFonts w:eastAsia="Calibri"/>
          <w:lang w:val="es-ES" w:eastAsia="es-ES"/>
        </w:rPr>
      </w:pPr>
    </w:p>
    <w:p w:rsidR="006944BB" w:rsidRDefault="006944BB" w:rsidP="006944BB">
      <w:pPr>
        <w:pStyle w:val="texto"/>
        <w:tabs>
          <w:tab w:val="clear" w:pos="2835"/>
          <w:tab w:val="clear" w:pos="3969"/>
          <w:tab w:val="clear" w:pos="5103"/>
          <w:tab w:val="clear" w:pos="6237"/>
          <w:tab w:val="clear" w:pos="7371"/>
        </w:tabs>
        <w:rPr>
          <w:rFonts w:eastAsia="Calibri"/>
          <w:lang w:val="es-ES" w:eastAsia="es-ES"/>
        </w:rPr>
      </w:pPr>
    </w:p>
    <w:p w:rsidR="006944BB" w:rsidRDefault="006944BB" w:rsidP="006944BB">
      <w:pPr>
        <w:pStyle w:val="texto"/>
        <w:tabs>
          <w:tab w:val="clear" w:pos="2835"/>
          <w:tab w:val="clear" w:pos="3969"/>
          <w:tab w:val="clear" w:pos="5103"/>
          <w:tab w:val="clear" w:pos="6237"/>
          <w:tab w:val="clear" w:pos="7371"/>
        </w:tabs>
        <w:rPr>
          <w:rFonts w:eastAsia="Calibri"/>
          <w:lang w:val="es-ES" w:eastAsia="es-ES"/>
        </w:rPr>
      </w:pPr>
    </w:p>
    <w:p w:rsidR="006944BB" w:rsidRDefault="006944BB">
      <w:pPr>
        <w:spacing w:after="0"/>
        <w:ind w:firstLine="0"/>
        <w:jc w:val="left"/>
        <w:rPr>
          <w:rFonts w:eastAsia="Calibri"/>
          <w:spacing w:val="6"/>
          <w:sz w:val="26"/>
          <w:szCs w:val="24"/>
          <w:lang w:val="es-ES" w:eastAsia="es-ES"/>
        </w:rPr>
      </w:pPr>
      <w:r>
        <w:rPr>
          <w:rFonts w:eastAsia="Calibri"/>
          <w:lang w:val="es-ES" w:eastAsia="es-ES"/>
        </w:rPr>
        <w:br w:type="page"/>
      </w:r>
    </w:p>
    <w:p w:rsidR="006944BB" w:rsidRPr="00F43938" w:rsidRDefault="006944BB" w:rsidP="00E96655">
      <w:pPr>
        <w:pStyle w:val="atitulo2"/>
        <w:spacing w:before="240" w:after="600"/>
      </w:pPr>
      <w:bookmarkStart w:id="24" w:name="_Toc399923718"/>
      <w:bookmarkStart w:id="25" w:name="_Toc441141969"/>
      <w:r w:rsidRPr="00F43938">
        <w:lastRenderedPageBreak/>
        <w:t xml:space="preserve">Anexo 1: </w:t>
      </w:r>
      <w:bookmarkEnd w:id="24"/>
      <w:r w:rsidRPr="00F43938">
        <w:t>Ingresos</w:t>
      </w:r>
      <w:bookmarkEnd w:id="25"/>
      <w:r w:rsidRPr="00F43938">
        <w:t xml:space="preserve"> </w:t>
      </w:r>
    </w:p>
    <w:p w:rsidR="006944BB" w:rsidRPr="00E96655" w:rsidRDefault="006944BB" w:rsidP="00E96655">
      <w:pPr>
        <w:spacing w:after="300"/>
        <w:ind w:left="567" w:firstLine="0"/>
        <w:jc w:val="center"/>
        <w:rPr>
          <w:rFonts w:ascii="Arial" w:hAnsi="Arial" w:cs="Arial"/>
        </w:rPr>
      </w:pPr>
      <w:r w:rsidRPr="00E96655">
        <w:rPr>
          <w:rFonts w:ascii="Arial" w:hAnsi="Arial" w:cs="Arial"/>
        </w:rPr>
        <w:t>Reducción de capital mediante la entrega de acciones</w:t>
      </w:r>
    </w:p>
    <w:tbl>
      <w:tblPr>
        <w:tblW w:w="8824"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726"/>
        <w:gridCol w:w="1448"/>
        <w:gridCol w:w="1946"/>
        <w:gridCol w:w="1702"/>
        <w:gridCol w:w="2002"/>
      </w:tblGrid>
      <w:tr w:rsidR="006944BB" w:rsidRPr="006B331E" w:rsidTr="009F2665">
        <w:trPr>
          <w:trHeight w:hRule="exact" w:val="727"/>
          <w:jc w:val="center"/>
        </w:trPr>
        <w:tc>
          <w:tcPr>
            <w:tcW w:w="1726" w:type="dxa"/>
            <w:shd w:val="clear" w:color="auto" w:fill="8DB3E2" w:themeFill="text2" w:themeFillTint="66"/>
            <w:vAlign w:val="center"/>
          </w:tcPr>
          <w:p w:rsidR="006944BB" w:rsidRPr="005E0ADF" w:rsidRDefault="006944BB" w:rsidP="005E0ADF">
            <w:pPr>
              <w:pStyle w:val="cuadroCabe"/>
              <w:jc w:val="left"/>
            </w:pPr>
            <w:r w:rsidRPr="005E0ADF">
              <w:t>Fecha</w:t>
            </w:r>
          </w:p>
        </w:tc>
        <w:tc>
          <w:tcPr>
            <w:tcW w:w="1448" w:type="dxa"/>
            <w:shd w:val="clear" w:color="auto" w:fill="8DB3E2" w:themeFill="text2" w:themeFillTint="66"/>
            <w:vAlign w:val="center"/>
          </w:tcPr>
          <w:p w:rsidR="006944BB" w:rsidRPr="005E0ADF" w:rsidRDefault="006944BB" w:rsidP="005E0ADF">
            <w:pPr>
              <w:pStyle w:val="cuadroCabe"/>
              <w:jc w:val="right"/>
            </w:pPr>
            <w:r w:rsidRPr="005E0ADF">
              <w:t>Nº acciones</w:t>
            </w:r>
          </w:p>
          <w:p w:rsidR="006944BB" w:rsidRPr="005E0ADF" w:rsidRDefault="006944BB" w:rsidP="005E0ADF">
            <w:pPr>
              <w:pStyle w:val="cuadroCabe"/>
              <w:jc w:val="right"/>
            </w:pPr>
            <w:r w:rsidRPr="005E0ADF">
              <w:t>entregadas</w:t>
            </w:r>
          </w:p>
        </w:tc>
        <w:tc>
          <w:tcPr>
            <w:tcW w:w="1946" w:type="dxa"/>
            <w:shd w:val="clear" w:color="auto" w:fill="8DB3E2" w:themeFill="text2" w:themeFillTint="66"/>
            <w:vAlign w:val="center"/>
          </w:tcPr>
          <w:p w:rsidR="006944BB" w:rsidRPr="005E0ADF" w:rsidRDefault="006944BB" w:rsidP="005E0ADF">
            <w:pPr>
              <w:pStyle w:val="cuadroCabe"/>
              <w:jc w:val="right"/>
            </w:pPr>
            <w:r w:rsidRPr="005E0ADF">
              <w:t>Valoración acciones entregadas</w:t>
            </w:r>
          </w:p>
        </w:tc>
        <w:tc>
          <w:tcPr>
            <w:tcW w:w="1702" w:type="dxa"/>
            <w:shd w:val="clear" w:color="auto" w:fill="8DB3E2" w:themeFill="text2" w:themeFillTint="66"/>
            <w:vAlign w:val="center"/>
          </w:tcPr>
          <w:p w:rsidR="006944BB" w:rsidRPr="005E0ADF" w:rsidRDefault="006944BB" w:rsidP="005E0ADF">
            <w:pPr>
              <w:pStyle w:val="cuadroCabe"/>
              <w:jc w:val="right"/>
            </w:pPr>
            <w:r w:rsidRPr="005E0ADF">
              <w:t xml:space="preserve">Factor </w:t>
            </w:r>
            <w:r w:rsidR="005E0ADF">
              <w:t xml:space="preserve">            </w:t>
            </w:r>
            <w:r w:rsidRPr="005E0ADF">
              <w:t>capitalización</w:t>
            </w:r>
            <w:r w:rsidR="009F2665">
              <w:t>(1)</w:t>
            </w:r>
          </w:p>
        </w:tc>
        <w:tc>
          <w:tcPr>
            <w:tcW w:w="2002" w:type="dxa"/>
            <w:shd w:val="clear" w:color="auto" w:fill="8DB3E2" w:themeFill="text2" w:themeFillTint="66"/>
            <w:vAlign w:val="center"/>
          </w:tcPr>
          <w:p w:rsidR="006944BB" w:rsidRPr="005E0ADF" w:rsidRDefault="006944BB" w:rsidP="005E0ADF">
            <w:pPr>
              <w:pStyle w:val="cuadroCabe"/>
              <w:jc w:val="right"/>
            </w:pPr>
            <w:r w:rsidRPr="005E0ADF">
              <w:t>Ingresos netos cap</w:t>
            </w:r>
            <w:r w:rsidRPr="005E0ADF">
              <w:t>i</w:t>
            </w:r>
            <w:r w:rsidRPr="005E0ADF">
              <w:t>talizados a 31/1</w:t>
            </w:r>
            <w:r w:rsidR="004C024C" w:rsidRPr="005E0ADF">
              <w:t>0</w:t>
            </w:r>
            <w:r w:rsidRPr="005E0ADF">
              <w:t>/2014</w:t>
            </w:r>
          </w:p>
        </w:tc>
      </w:tr>
      <w:tr w:rsidR="006944BB" w:rsidRPr="005E0ADF" w:rsidTr="009F2665">
        <w:trPr>
          <w:trHeight w:hRule="exact" w:val="284"/>
          <w:jc w:val="center"/>
        </w:trPr>
        <w:tc>
          <w:tcPr>
            <w:tcW w:w="1726" w:type="dxa"/>
            <w:vAlign w:val="center"/>
          </w:tcPr>
          <w:p w:rsidR="006944BB" w:rsidRPr="005E0ADF" w:rsidRDefault="006944BB" w:rsidP="005E0ADF">
            <w:pPr>
              <w:pStyle w:val="cuatexto"/>
              <w:jc w:val="left"/>
              <w:rPr>
                <w:szCs w:val="20"/>
              </w:rPr>
            </w:pPr>
            <w:r w:rsidRPr="005E0ADF">
              <w:rPr>
                <w:szCs w:val="20"/>
              </w:rPr>
              <w:t>Marzo 2008</w:t>
            </w:r>
          </w:p>
        </w:tc>
        <w:tc>
          <w:tcPr>
            <w:tcW w:w="1448" w:type="dxa"/>
            <w:vAlign w:val="center"/>
          </w:tcPr>
          <w:p w:rsidR="006944BB" w:rsidRPr="005E0ADF" w:rsidRDefault="006944BB" w:rsidP="005E0ADF">
            <w:pPr>
              <w:pStyle w:val="cuatexto"/>
              <w:jc w:val="right"/>
              <w:rPr>
                <w:szCs w:val="20"/>
              </w:rPr>
            </w:pPr>
            <w:r w:rsidRPr="005E0ADF">
              <w:rPr>
                <w:szCs w:val="20"/>
              </w:rPr>
              <w:t>7.212.394</w:t>
            </w:r>
          </w:p>
        </w:tc>
        <w:tc>
          <w:tcPr>
            <w:tcW w:w="1946" w:type="dxa"/>
            <w:vAlign w:val="center"/>
          </w:tcPr>
          <w:p w:rsidR="006944BB" w:rsidRPr="005E0ADF" w:rsidRDefault="006944BB" w:rsidP="005E0ADF">
            <w:pPr>
              <w:pStyle w:val="cuatexto"/>
              <w:jc w:val="right"/>
              <w:rPr>
                <w:szCs w:val="20"/>
              </w:rPr>
            </w:pPr>
            <w:r w:rsidRPr="005E0ADF">
              <w:rPr>
                <w:szCs w:val="20"/>
              </w:rPr>
              <w:t>72.412.432</w:t>
            </w:r>
          </w:p>
        </w:tc>
        <w:tc>
          <w:tcPr>
            <w:tcW w:w="1702" w:type="dxa"/>
            <w:vAlign w:val="center"/>
          </w:tcPr>
          <w:p w:rsidR="006944BB" w:rsidRPr="005E0ADF" w:rsidRDefault="006944BB" w:rsidP="005E0ADF">
            <w:pPr>
              <w:pStyle w:val="cuatexto"/>
              <w:jc w:val="right"/>
              <w:rPr>
                <w:szCs w:val="20"/>
              </w:rPr>
            </w:pPr>
            <w:r w:rsidRPr="005E0ADF">
              <w:rPr>
                <w:szCs w:val="20"/>
              </w:rPr>
              <w:t>8,3</w:t>
            </w:r>
          </w:p>
        </w:tc>
        <w:tc>
          <w:tcPr>
            <w:tcW w:w="2002" w:type="dxa"/>
            <w:vAlign w:val="center"/>
          </w:tcPr>
          <w:p w:rsidR="006944BB" w:rsidRPr="005E0ADF" w:rsidRDefault="006944BB" w:rsidP="005E0ADF">
            <w:pPr>
              <w:pStyle w:val="cuatexto"/>
              <w:jc w:val="right"/>
              <w:rPr>
                <w:szCs w:val="20"/>
              </w:rPr>
            </w:pPr>
            <w:r w:rsidRPr="005E0ADF">
              <w:rPr>
                <w:szCs w:val="20"/>
              </w:rPr>
              <w:t>78.422.664</w:t>
            </w:r>
          </w:p>
        </w:tc>
      </w:tr>
      <w:tr w:rsidR="006944BB" w:rsidRPr="00BD6126" w:rsidTr="009F2665">
        <w:trPr>
          <w:trHeight w:hRule="exact" w:val="312"/>
          <w:jc w:val="center"/>
        </w:trPr>
        <w:tc>
          <w:tcPr>
            <w:tcW w:w="1726" w:type="dxa"/>
            <w:shd w:val="clear" w:color="auto" w:fill="8DB3E2" w:themeFill="text2" w:themeFillTint="66"/>
            <w:vAlign w:val="center"/>
          </w:tcPr>
          <w:p w:rsidR="006944BB" w:rsidRPr="005E0ADF" w:rsidRDefault="006944BB" w:rsidP="005E0ADF">
            <w:pPr>
              <w:pStyle w:val="cuadroCabe"/>
              <w:jc w:val="left"/>
            </w:pPr>
            <w:r w:rsidRPr="005E0ADF">
              <w:t>Total</w:t>
            </w:r>
          </w:p>
        </w:tc>
        <w:tc>
          <w:tcPr>
            <w:tcW w:w="1448" w:type="dxa"/>
            <w:shd w:val="clear" w:color="auto" w:fill="8DB3E2" w:themeFill="text2" w:themeFillTint="66"/>
            <w:vAlign w:val="center"/>
          </w:tcPr>
          <w:p w:rsidR="006944BB" w:rsidRPr="005E0ADF" w:rsidRDefault="006944BB" w:rsidP="005E0ADF">
            <w:pPr>
              <w:pStyle w:val="cuadroCabe"/>
              <w:jc w:val="right"/>
            </w:pPr>
          </w:p>
        </w:tc>
        <w:tc>
          <w:tcPr>
            <w:tcW w:w="1946" w:type="dxa"/>
            <w:shd w:val="clear" w:color="auto" w:fill="8DB3E2" w:themeFill="text2" w:themeFillTint="66"/>
            <w:vAlign w:val="center"/>
          </w:tcPr>
          <w:p w:rsidR="006944BB" w:rsidRPr="005E0ADF" w:rsidRDefault="006944BB" w:rsidP="005E0ADF">
            <w:pPr>
              <w:pStyle w:val="cuadroCabe"/>
              <w:jc w:val="right"/>
            </w:pPr>
          </w:p>
        </w:tc>
        <w:tc>
          <w:tcPr>
            <w:tcW w:w="1702" w:type="dxa"/>
            <w:shd w:val="clear" w:color="auto" w:fill="8DB3E2" w:themeFill="text2" w:themeFillTint="66"/>
            <w:vAlign w:val="center"/>
          </w:tcPr>
          <w:p w:rsidR="006944BB" w:rsidRPr="005E0ADF" w:rsidRDefault="006944BB" w:rsidP="005E0ADF">
            <w:pPr>
              <w:pStyle w:val="cuadroCabe"/>
              <w:jc w:val="right"/>
            </w:pPr>
          </w:p>
        </w:tc>
        <w:tc>
          <w:tcPr>
            <w:tcW w:w="2002" w:type="dxa"/>
            <w:shd w:val="clear" w:color="auto" w:fill="8DB3E2" w:themeFill="text2" w:themeFillTint="66"/>
            <w:vAlign w:val="center"/>
          </w:tcPr>
          <w:p w:rsidR="006944BB" w:rsidRPr="005E0ADF" w:rsidRDefault="006944BB" w:rsidP="005E0ADF">
            <w:pPr>
              <w:pStyle w:val="cuadroCabe"/>
              <w:jc w:val="right"/>
            </w:pPr>
            <w:r w:rsidRPr="005E0ADF">
              <w:t>78.422.664</w:t>
            </w:r>
          </w:p>
        </w:tc>
      </w:tr>
    </w:tbl>
    <w:p w:rsidR="006944BB" w:rsidRPr="00593080" w:rsidRDefault="00593080" w:rsidP="00593080">
      <w:pPr>
        <w:pStyle w:val="texto"/>
        <w:tabs>
          <w:tab w:val="clear" w:pos="2835"/>
          <w:tab w:val="clear" w:pos="3969"/>
          <w:tab w:val="clear" w:pos="5103"/>
          <w:tab w:val="clear" w:pos="6237"/>
          <w:tab w:val="clear" w:pos="7371"/>
        </w:tabs>
        <w:spacing w:before="160" w:after="120"/>
        <w:ind w:firstLine="0"/>
        <w:rPr>
          <w:rFonts w:ascii="Arial Narrow" w:eastAsia="Calibri" w:hAnsi="Arial Narrow"/>
          <w:sz w:val="19"/>
          <w:szCs w:val="19"/>
          <w:lang w:eastAsia="es-ES"/>
        </w:rPr>
      </w:pPr>
      <w:r>
        <w:rPr>
          <w:rFonts w:ascii="Arial Narrow" w:eastAsia="Calibri" w:hAnsi="Arial Narrow"/>
          <w:sz w:val="19"/>
          <w:szCs w:val="19"/>
          <w:lang w:eastAsia="es-ES"/>
        </w:rPr>
        <w:t xml:space="preserve">(1) </w:t>
      </w:r>
      <w:r w:rsidR="009F2665" w:rsidRPr="00593080">
        <w:rPr>
          <w:rFonts w:ascii="Arial Narrow" w:eastAsia="Calibri" w:hAnsi="Arial Narrow"/>
          <w:sz w:val="19"/>
          <w:szCs w:val="19"/>
          <w:lang w:eastAsia="es-ES"/>
        </w:rPr>
        <w:t>IPC de Navarra acumulado desde abril de 2008 a octubre de 2014</w:t>
      </w:r>
    </w:p>
    <w:p w:rsidR="009F2665" w:rsidRDefault="009F2665" w:rsidP="00E96655">
      <w:pPr>
        <w:spacing w:after="300"/>
        <w:ind w:left="567" w:firstLine="0"/>
        <w:jc w:val="center"/>
        <w:rPr>
          <w:rFonts w:ascii="Arial" w:hAnsi="Arial" w:cs="Arial"/>
        </w:rPr>
      </w:pPr>
    </w:p>
    <w:p w:rsidR="006944BB" w:rsidRPr="00E96655" w:rsidRDefault="006944BB" w:rsidP="00E96655">
      <w:pPr>
        <w:spacing w:after="300"/>
        <w:ind w:left="567" w:firstLine="0"/>
        <w:jc w:val="center"/>
        <w:rPr>
          <w:rFonts w:ascii="Arial" w:hAnsi="Arial" w:cs="Arial"/>
        </w:rPr>
      </w:pPr>
      <w:r w:rsidRPr="00E96655">
        <w:rPr>
          <w:rFonts w:ascii="Arial" w:hAnsi="Arial" w:cs="Arial"/>
        </w:rPr>
        <w:t>Ingresos por venta de acciones</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2"/>
        <w:gridCol w:w="1445"/>
        <w:gridCol w:w="1134"/>
        <w:gridCol w:w="1276"/>
        <w:gridCol w:w="1306"/>
        <w:gridCol w:w="2153"/>
      </w:tblGrid>
      <w:tr w:rsidR="006944BB" w:rsidRPr="006B331E" w:rsidTr="003A4D8C">
        <w:trPr>
          <w:trHeight w:hRule="exact" w:val="510"/>
          <w:jc w:val="center"/>
        </w:trPr>
        <w:tc>
          <w:tcPr>
            <w:tcW w:w="1552" w:type="dxa"/>
            <w:tcBorders>
              <w:top w:val="single" w:sz="4" w:space="0" w:color="auto"/>
              <w:left w:val="nil"/>
              <w:bottom w:val="single" w:sz="4" w:space="0" w:color="auto"/>
              <w:right w:val="nil"/>
            </w:tcBorders>
            <w:shd w:val="clear" w:color="auto" w:fill="8DB3E2" w:themeFill="text2" w:themeFillTint="66"/>
            <w:vAlign w:val="center"/>
          </w:tcPr>
          <w:p w:rsidR="006944BB" w:rsidRPr="005E0ADF" w:rsidRDefault="006944BB" w:rsidP="00884477">
            <w:pPr>
              <w:pStyle w:val="cuadroCabe"/>
              <w:jc w:val="left"/>
            </w:pPr>
            <w:r w:rsidRPr="005E0ADF">
              <w:t>Fecha</w:t>
            </w:r>
          </w:p>
        </w:tc>
        <w:tc>
          <w:tcPr>
            <w:tcW w:w="1445" w:type="dxa"/>
            <w:tcBorders>
              <w:top w:val="single" w:sz="4" w:space="0" w:color="auto"/>
              <w:left w:val="nil"/>
              <w:bottom w:val="single" w:sz="4" w:space="0" w:color="auto"/>
              <w:right w:val="nil"/>
            </w:tcBorders>
            <w:shd w:val="clear" w:color="auto" w:fill="8DB3E2" w:themeFill="text2" w:themeFillTint="66"/>
            <w:vAlign w:val="center"/>
          </w:tcPr>
          <w:p w:rsidR="006944BB" w:rsidRPr="005E0ADF" w:rsidRDefault="006944BB" w:rsidP="00884477">
            <w:pPr>
              <w:pStyle w:val="cuadroCabe"/>
              <w:jc w:val="right"/>
            </w:pPr>
            <w:r w:rsidRPr="005E0ADF">
              <w:t>Nº acciones</w:t>
            </w:r>
          </w:p>
          <w:p w:rsidR="006944BB" w:rsidRPr="005E0ADF" w:rsidRDefault="006944BB" w:rsidP="00884477">
            <w:pPr>
              <w:pStyle w:val="cuadroCabe"/>
              <w:jc w:val="right"/>
            </w:pPr>
            <w:r w:rsidRPr="005E0ADF">
              <w:t xml:space="preserve"> vendidas</w:t>
            </w:r>
          </w:p>
        </w:tc>
        <w:tc>
          <w:tcPr>
            <w:tcW w:w="1134" w:type="dxa"/>
            <w:tcBorders>
              <w:top w:val="single" w:sz="4" w:space="0" w:color="auto"/>
              <w:left w:val="nil"/>
              <w:bottom w:val="single" w:sz="4" w:space="0" w:color="auto"/>
              <w:right w:val="nil"/>
            </w:tcBorders>
            <w:shd w:val="clear" w:color="auto" w:fill="8DB3E2" w:themeFill="text2" w:themeFillTint="66"/>
            <w:vAlign w:val="center"/>
          </w:tcPr>
          <w:p w:rsidR="006944BB" w:rsidRPr="005E0ADF" w:rsidRDefault="006944BB" w:rsidP="00884477">
            <w:pPr>
              <w:pStyle w:val="cuadroCabe"/>
              <w:jc w:val="right"/>
            </w:pPr>
            <w:r w:rsidRPr="005E0ADF">
              <w:t>Ingresos</w:t>
            </w:r>
          </w:p>
          <w:p w:rsidR="006944BB" w:rsidRPr="005E0ADF" w:rsidRDefault="006944BB" w:rsidP="00884477">
            <w:pPr>
              <w:pStyle w:val="cuadroCabe"/>
              <w:jc w:val="right"/>
            </w:pPr>
            <w:r w:rsidRPr="005E0ADF">
              <w:t xml:space="preserve"> brutos </w:t>
            </w:r>
          </w:p>
        </w:tc>
        <w:tc>
          <w:tcPr>
            <w:tcW w:w="1276" w:type="dxa"/>
            <w:tcBorders>
              <w:top w:val="single" w:sz="4" w:space="0" w:color="auto"/>
              <w:left w:val="nil"/>
              <w:bottom w:val="single" w:sz="4" w:space="0" w:color="auto"/>
              <w:right w:val="nil"/>
            </w:tcBorders>
            <w:shd w:val="clear" w:color="auto" w:fill="8DB3E2" w:themeFill="text2" w:themeFillTint="66"/>
            <w:vAlign w:val="center"/>
          </w:tcPr>
          <w:p w:rsidR="006944BB" w:rsidRPr="005E0ADF" w:rsidRDefault="006944BB" w:rsidP="00884477">
            <w:pPr>
              <w:pStyle w:val="cuadroCabe"/>
              <w:jc w:val="right"/>
            </w:pPr>
            <w:r w:rsidRPr="005E0ADF">
              <w:t xml:space="preserve">Ingresos </w:t>
            </w:r>
          </w:p>
          <w:p w:rsidR="006944BB" w:rsidRPr="005E0ADF" w:rsidRDefault="009F2665" w:rsidP="00884477">
            <w:pPr>
              <w:pStyle w:val="cuadroCabe"/>
              <w:jc w:val="right"/>
            </w:pPr>
            <w:r w:rsidRPr="005E0ADF">
              <w:t>N</w:t>
            </w:r>
            <w:r w:rsidR="006944BB" w:rsidRPr="005E0ADF">
              <w:t>etos</w:t>
            </w:r>
            <w:r>
              <w:t>(1)</w:t>
            </w:r>
            <w:r w:rsidR="006944BB" w:rsidRPr="005E0ADF">
              <w:t xml:space="preserve"> </w:t>
            </w:r>
          </w:p>
        </w:tc>
        <w:tc>
          <w:tcPr>
            <w:tcW w:w="1306" w:type="dxa"/>
            <w:tcBorders>
              <w:top w:val="single" w:sz="4" w:space="0" w:color="auto"/>
              <w:left w:val="nil"/>
              <w:bottom w:val="single" w:sz="4" w:space="0" w:color="auto"/>
              <w:right w:val="nil"/>
            </w:tcBorders>
            <w:shd w:val="clear" w:color="auto" w:fill="8DB3E2" w:themeFill="text2" w:themeFillTint="66"/>
            <w:vAlign w:val="center"/>
          </w:tcPr>
          <w:p w:rsidR="006944BB" w:rsidRPr="005E0ADF" w:rsidRDefault="006944BB" w:rsidP="00884477">
            <w:pPr>
              <w:pStyle w:val="cuadroCabe"/>
              <w:jc w:val="right"/>
            </w:pPr>
            <w:r w:rsidRPr="005E0ADF">
              <w:t>Factor cap</w:t>
            </w:r>
            <w:r w:rsidRPr="005E0ADF">
              <w:t>i</w:t>
            </w:r>
            <w:r w:rsidRPr="005E0ADF">
              <w:t>talización</w:t>
            </w:r>
          </w:p>
        </w:tc>
        <w:tc>
          <w:tcPr>
            <w:tcW w:w="2153" w:type="dxa"/>
            <w:tcBorders>
              <w:top w:val="single" w:sz="4" w:space="0" w:color="auto"/>
              <w:left w:val="nil"/>
              <w:bottom w:val="single" w:sz="4" w:space="0" w:color="auto"/>
              <w:right w:val="nil"/>
            </w:tcBorders>
            <w:shd w:val="clear" w:color="auto" w:fill="8DB3E2" w:themeFill="text2" w:themeFillTint="66"/>
            <w:vAlign w:val="center"/>
          </w:tcPr>
          <w:p w:rsidR="006944BB" w:rsidRPr="005E0ADF" w:rsidRDefault="006944BB" w:rsidP="00884477">
            <w:pPr>
              <w:pStyle w:val="cuadroCabe"/>
              <w:jc w:val="right"/>
            </w:pPr>
            <w:r w:rsidRPr="005E0ADF">
              <w:t>Ingresos netos capit</w:t>
            </w:r>
            <w:r w:rsidRPr="005E0ADF">
              <w:t>a</w:t>
            </w:r>
            <w:r w:rsidRPr="005E0ADF">
              <w:t>lizados a 31/1</w:t>
            </w:r>
            <w:r w:rsidR="004C024C" w:rsidRPr="005E0ADF">
              <w:t>0</w:t>
            </w:r>
            <w:r w:rsidRPr="005E0ADF">
              <w:t>/2014</w:t>
            </w:r>
          </w:p>
        </w:tc>
      </w:tr>
      <w:tr w:rsidR="006944BB" w:rsidRPr="005E0ADF" w:rsidTr="003A4D8C">
        <w:trPr>
          <w:trHeight w:hRule="exact" w:val="255"/>
          <w:jc w:val="center"/>
        </w:trPr>
        <w:tc>
          <w:tcPr>
            <w:tcW w:w="1552" w:type="dxa"/>
            <w:tcBorders>
              <w:top w:val="single" w:sz="4" w:space="0" w:color="auto"/>
              <w:left w:val="nil"/>
              <w:bottom w:val="single" w:sz="2" w:space="0" w:color="auto"/>
              <w:right w:val="nil"/>
            </w:tcBorders>
            <w:vAlign w:val="center"/>
          </w:tcPr>
          <w:p w:rsidR="006944BB" w:rsidRPr="005E0ADF" w:rsidRDefault="006944BB" w:rsidP="00884477">
            <w:pPr>
              <w:pStyle w:val="cuatexto"/>
              <w:jc w:val="left"/>
              <w:rPr>
                <w:szCs w:val="20"/>
              </w:rPr>
            </w:pPr>
            <w:r w:rsidRPr="005E0ADF">
              <w:rPr>
                <w:szCs w:val="20"/>
              </w:rPr>
              <w:t>Abril 2014</w:t>
            </w:r>
          </w:p>
        </w:tc>
        <w:tc>
          <w:tcPr>
            <w:tcW w:w="1445" w:type="dxa"/>
            <w:tcBorders>
              <w:top w:val="single" w:sz="4" w:space="0" w:color="auto"/>
              <w:left w:val="nil"/>
              <w:bottom w:val="single" w:sz="2" w:space="0" w:color="auto"/>
              <w:right w:val="nil"/>
            </w:tcBorders>
            <w:vAlign w:val="center"/>
          </w:tcPr>
          <w:p w:rsidR="006944BB" w:rsidRPr="005E0ADF" w:rsidRDefault="006944BB" w:rsidP="00884477">
            <w:pPr>
              <w:pStyle w:val="cuatexto"/>
              <w:jc w:val="right"/>
              <w:rPr>
                <w:szCs w:val="20"/>
              </w:rPr>
            </w:pPr>
            <w:r w:rsidRPr="005E0ADF">
              <w:rPr>
                <w:szCs w:val="20"/>
              </w:rPr>
              <w:t>7.088.751</w:t>
            </w:r>
          </w:p>
        </w:tc>
        <w:tc>
          <w:tcPr>
            <w:tcW w:w="1134" w:type="dxa"/>
            <w:tcBorders>
              <w:top w:val="single" w:sz="4" w:space="0" w:color="auto"/>
              <w:left w:val="nil"/>
              <w:bottom w:val="single" w:sz="2" w:space="0" w:color="auto"/>
              <w:right w:val="nil"/>
            </w:tcBorders>
            <w:vAlign w:val="center"/>
          </w:tcPr>
          <w:p w:rsidR="006944BB" w:rsidRPr="005E0ADF" w:rsidRDefault="006944BB" w:rsidP="00884477">
            <w:pPr>
              <w:pStyle w:val="cuatexto"/>
              <w:jc w:val="right"/>
              <w:rPr>
                <w:szCs w:val="20"/>
              </w:rPr>
            </w:pPr>
            <w:r w:rsidRPr="005E0ADF">
              <w:rPr>
                <w:szCs w:val="20"/>
              </w:rPr>
              <w:t>35.314.223</w:t>
            </w:r>
          </w:p>
        </w:tc>
        <w:tc>
          <w:tcPr>
            <w:tcW w:w="1276" w:type="dxa"/>
            <w:tcBorders>
              <w:top w:val="single" w:sz="4" w:space="0" w:color="auto"/>
              <w:left w:val="nil"/>
              <w:bottom w:val="single" w:sz="2" w:space="0" w:color="auto"/>
              <w:right w:val="nil"/>
            </w:tcBorders>
            <w:vAlign w:val="center"/>
          </w:tcPr>
          <w:p w:rsidR="006944BB" w:rsidRPr="005E0ADF" w:rsidRDefault="006944BB" w:rsidP="00884477">
            <w:pPr>
              <w:pStyle w:val="cuatexto"/>
              <w:jc w:val="right"/>
              <w:rPr>
                <w:szCs w:val="20"/>
              </w:rPr>
            </w:pPr>
            <w:r w:rsidRPr="005E0ADF">
              <w:rPr>
                <w:szCs w:val="20"/>
              </w:rPr>
              <w:t>35.034.669</w:t>
            </w:r>
          </w:p>
        </w:tc>
        <w:tc>
          <w:tcPr>
            <w:tcW w:w="1306" w:type="dxa"/>
            <w:tcBorders>
              <w:top w:val="single" w:sz="4" w:space="0" w:color="auto"/>
              <w:left w:val="nil"/>
              <w:bottom w:val="single" w:sz="2" w:space="0" w:color="auto"/>
              <w:right w:val="nil"/>
            </w:tcBorders>
            <w:vAlign w:val="center"/>
          </w:tcPr>
          <w:p w:rsidR="006944BB" w:rsidRPr="005E0ADF" w:rsidRDefault="006944BB" w:rsidP="00884477">
            <w:pPr>
              <w:pStyle w:val="cuatexto"/>
              <w:jc w:val="right"/>
              <w:rPr>
                <w:szCs w:val="20"/>
              </w:rPr>
            </w:pPr>
            <w:r w:rsidRPr="005E0ADF">
              <w:rPr>
                <w:szCs w:val="20"/>
              </w:rPr>
              <w:t>-0,2</w:t>
            </w:r>
          </w:p>
        </w:tc>
        <w:tc>
          <w:tcPr>
            <w:tcW w:w="2153" w:type="dxa"/>
            <w:tcBorders>
              <w:top w:val="single" w:sz="4" w:space="0" w:color="auto"/>
              <w:left w:val="nil"/>
              <w:bottom w:val="single" w:sz="2" w:space="0" w:color="auto"/>
              <w:right w:val="nil"/>
            </w:tcBorders>
            <w:vAlign w:val="center"/>
          </w:tcPr>
          <w:p w:rsidR="006944BB" w:rsidRPr="005E0ADF" w:rsidRDefault="006944BB" w:rsidP="00884477">
            <w:pPr>
              <w:pStyle w:val="cuatexto"/>
              <w:jc w:val="right"/>
              <w:rPr>
                <w:szCs w:val="20"/>
              </w:rPr>
            </w:pPr>
            <w:r w:rsidRPr="005E0ADF">
              <w:rPr>
                <w:szCs w:val="20"/>
              </w:rPr>
              <w:t>34.964.600</w:t>
            </w:r>
          </w:p>
        </w:tc>
      </w:tr>
      <w:tr w:rsidR="006944BB" w:rsidRPr="005E0ADF" w:rsidTr="003A4D8C">
        <w:trPr>
          <w:trHeight w:hRule="exact" w:val="255"/>
          <w:jc w:val="center"/>
        </w:trPr>
        <w:tc>
          <w:tcPr>
            <w:tcW w:w="1552" w:type="dxa"/>
            <w:tcBorders>
              <w:top w:val="single" w:sz="2" w:space="0" w:color="auto"/>
              <w:left w:val="nil"/>
              <w:bottom w:val="single" w:sz="2" w:space="0" w:color="auto"/>
              <w:right w:val="nil"/>
            </w:tcBorders>
            <w:vAlign w:val="center"/>
          </w:tcPr>
          <w:p w:rsidR="006944BB" w:rsidRPr="005E0ADF" w:rsidRDefault="006944BB" w:rsidP="00884477">
            <w:pPr>
              <w:pStyle w:val="cuatexto"/>
              <w:jc w:val="left"/>
              <w:rPr>
                <w:szCs w:val="20"/>
              </w:rPr>
            </w:pPr>
            <w:r w:rsidRPr="005E0ADF">
              <w:rPr>
                <w:szCs w:val="20"/>
              </w:rPr>
              <w:t>Mayo 2014</w:t>
            </w:r>
          </w:p>
        </w:tc>
        <w:tc>
          <w:tcPr>
            <w:tcW w:w="1445" w:type="dxa"/>
            <w:tcBorders>
              <w:top w:val="single" w:sz="2" w:space="0" w:color="auto"/>
              <w:left w:val="nil"/>
              <w:bottom w:val="single" w:sz="2" w:space="0" w:color="auto"/>
              <w:right w:val="nil"/>
            </w:tcBorders>
            <w:vAlign w:val="center"/>
          </w:tcPr>
          <w:p w:rsidR="006944BB" w:rsidRPr="005E0ADF" w:rsidRDefault="006944BB" w:rsidP="00884477">
            <w:pPr>
              <w:pStyle w:val="cuatexto"/>
              <w:jc w:val="right"/>
              <w:rPr>
                <w:szCs w:val="20"/>
              </w:rPr>
            </w:pPr>
            <w:r w:rsidRPr="005E0ADF">
              <w:rPr>
                <w:szCs w:val="20"/>
              </w:rPr>
              <w:t>4.121.367</w:t>
            </w:r>
          </w:p>
        </w:tc>
        <w:tc>
          <w:tcPr>
            <w:tcW w:w="1134" w:type="dxa"/>
            <w:tcBorders>
              <w:top w:val="single" w:sz="2" w:space="0" w:color="auto"/>
              <w:left w:val="nil"/>
              <w:bottom w:val="single" w:sz="2" w:space="0" w:color="auto"/>
              <w:right w:val="nil"/>
            </w:tcBorders>
            <w:vAlign w:val="center"/>
          </w:tcPr>
          <w:p w:rsidR="006944BB" w:rsidRPr="005E0ADF" w:rsidRDefault="006944BB" w:rsidP="00884477">
            <w:pPr>
              <w:pStyle w:val="cuatexto"/>
              <w:jc w:val="right"/>
              <w:rPr>
                <w:szCs w:val="20"/>
              </w:rPr>
            </w:pPr>
            <w:r w:rsidRPr="005E0ADF">
              <w:rPr>
                <w:szCs w:val="20"/>
              </w:rPr>
              <w:t>21.464.778</w:t>
            </w:r>
          </w:p>
        </w:tc>
        <w:tc>
          <w:tcPr>
            <w:tcW w:w="1276" w:type="dxa"/>
            <w:tcBorders>
              <w:top w:val="single" w:sz="2" w:space="0" w:color="auto"/>
              <w:left w:val="nil"/>
              <w:bottom w:val="single" w:sz="2" w:space="0" w:color="auto"/>
              <w:right w:val="nil"/>
            </w:tcBorders>
            <w:vAlign w:val="center"/>
          </w:tcPr>
          <w:p w:rsidR="006944BB" w:rsidRPr="005E0ADF" w:rsidRDefault="006944BB" w:rsidP="00884477">
            <w:pPr>
              <w:pStyle w:val="cuatexto"/>
              <w:jc w:val="right"/>
              <w:rPr>
                <w:szCs w:val="20"/>
              </w:rPr>
            </w:pPr>
            <w:r w:rsidRPr="005E0ADF">
              <w:rPr>
                <w:szCs w:val="20"/>
              </w:rPr>
              <w:t>21.346.433</w:t>
            </w:r>
          </w:p>
        </w:tc>
        <w:tc>
          <w:tcPr>
            <w:tcW w:w="1306" w:type="dxa"/>
            <w:tcBorders>
              <w:top w:val="single" w:sz="2" w:space="0" w:color="auto"/>
              <w:left w:val="nil"/>
              <w:bottom w:val="single" w:sz="2" w:space="0" w:color="auto"/>
              <w:right w:val="nil"/>
            </w:tcBorders>
            <w:vAlign w:val="center"/>
          </w:tcPr>
          <w:p w:rsidR="006944BB" w:rsidRPr="005E0ADF" w:rsidRDefault="006944BB" w:rsidP="00884477">
            <w:pPr>
              <w:pStyle w:val="cuatexto"/>
              <w:jc w:val="right"/>
              <w:rPr>
                <w:szCs w:val="20"/>
              </w:rPr>
            </w:pPr>
            <w:r w:rsidRPr="005E0ADF">
              <w:rPr>
                <w:szCs w:val="20"/>
              </w:rPr>
              <w:t>-0,4</w:t>
            </w:r>
          </w:p>
        </w:tc>
        <w:tc>
          <w:tcPr>
            <w:tcW w:w="2153" w:type="dxa"/>
            <w:tcBorders>
              <w:top w:val="single" w:sz="2" w:space="0" w:color="auto"/>
              <w:left w:val="nil"/>
              <w:bottom w:val="single" w:sz="2" w:space="0" w:color="auto"/>
              <w:right w:val="nil"/>
            </w:tcBorders>
            <w:vAlign w:val="center"/>
          </w:tcPr>
          <w:p w:rsidR="006944BB" w:rsidRPr="005E0ADF" w:rsidRDefault="006944BB" w:rsidP="00884477">
            <w:pPr>
              <w:pStyle w:val="cuatexto"/>
              <w:jc w:val="right"/>
              <w:rPr>
                <w:szCs w:val="20"/>
              </w:rPr>
            </w:pPr>
            <w:r w:rsidRPr="005E0ADF">
              <w:rPr>
                <w:szCs w:val="20"/>
              </w:rPr>
              <w:t>21.261.047</w:t>
            </w:r>
          </w:p>
        </w:tc>
      </w:tr>
      <w:tr w:rsidR="006944BB" w:rsidRPr="005E0ADF" w:rsidTr="003A4D8C">
        <w:trPr>
          <w:trHeight w:hRule="exact" w:val="255"/>
          <w:jc w:val="center"/>
        </w:trPr>
        <w:tc>
          <w:tcPr>
            <w:tcW w:w="1552" w:type="dxa"/>
            <w:tcBorders>
              <w:top w:val="single" w:sz="2" w:space="0" w:color="auto"/>
              <w:left w:val="nil"/>
              <w:bottom w:val="single" w:sz="2" w:space="0" w:color="auto"/>
              <w:right w:val="nil"/>
            </w:tcBorders>
            <w:vAlign w:val="center"/>
          </w:tcPr>
          <w:p w:rsidR="006944BB" w:rsidRPr="005E0ADF" w:rsidRDefault="006944BB" w:rsidP="00884477">
            <w:pPr>
              <w:pStyle w:val="cuatexto"/>
              <w:jc w:val="left"/>
              <w:rPr>
                <w:szCs w:val="20"/>
              </w:rPr>
            </w:pPr>
            <w:r w:rsidRPr="005E0ADF">
              <w:rPr>
                <w:szCs w:val="20"/>
              </w:rPr>
              <w:t>Junio 2014</w:t>
            </w:r>
          </w:p>
        </w:tc>
        <w:tc>
          <w:tcPr>
            <w:tcW w:w="1445" w:type="dxa"/>
            <w:tcBorders>
              <w:top w:val="single" w:sz="2" w:space="0" w:color="auto"/>
              <w:left w:val="nil"/>
              <w:bottom w:val="single" w:sz="2" w:space="0" w:color="auto"/>
              <w:right w:val="nil"/>
            </w:tcBorders>
            <w:vAlign w:val="center"/>
          </w:tcPr>
          <w:p w:rsidR="006944BB" w:rsidRPr="005E0ADF" w:rsidRDefault="006944BB" w:rsidP="00884477">
            <w:pPr>
              <w:pStyle w:val="cuatexto"/>
              <w:jc w:val="right"/>
              <w:rPr>
                <w:szCs w:val="20"/>
              </w:rPr>
            </w:pPr>
            <w:r w:rsidRPr="005E0ADF">
              <w:rPr>
                <w:szCs w:val="20"/>
              </w:rPr>
              <w:t>3.214.665</w:t>
            </w:r>
          </w:p>
        </w:tc>
        <w:tc>
          <w:tcPr>
            <w:tcW w:w="1134" w:type="dxa"/>
            <w:tcBorders>
              <w:top w:val="single" w:sz="2" w:space="0" w:color="auto"/>
              <w:left w:val="nil"/>
              <w:bottom w:val="single" w:sz="2" w:space="0" w:color="auto"/>
              <w:right w:val="nil"/>
            </w:tcBorders>
            <w:vAlign w:val="center"/>
          </w:tcPr>
          <w:p w:rsidR="006944BB" w:rsidRPr="005E0ADF" w:rsidRDefault="006944BB" w:rsidP="00884477">
            <w:pPr>
              <w:pStyle w:val="cuatexto"/>
              <w:jc w:val="right"/>
              <w:rPr>
                <w:szCs w:val="20"/>
              </w:rPr>
            </w:pPr>
            <w:r w:rsidRPr="005E0ADF">
              <w:rPr>
                <w:szCs w:val="20"/>
              </w:rPr>
              <w:t>17.620.379</w:t>
            </w:r>
          </w:p>
        </w:tc>
        <w:tc>
          <w:tcPr>
            <w:tcW w:w="1276" w:type="dxa"/>
            <w:tcBorders>
              <w:top w:val="single" w:sz="2" w:space="0" w:color="auto"/>
              <w:left w:val="nil"/>
              <w:bottom w:val="single" w:sz="2" w:space="0" w:color="auto"/>
              <w:right w:val="nil"/>
            </w:tcBorders>
            <w:vAlign w:val="center"/>
          </w:tcPr>
          <w:p w:rsidR="006944BB" w:rsidRPr="005E0ADF" w:rsidRDefault="006944BB" w:rsidP="00884477">
            <w:pPr>
              <w:pStyle w:val="cuatexto"/>
              <w:jc w:val="right"/>
              <w:rPr>
                <w:szCs w:val="20"/>
              </w:rPr>
            </w:pPr>
            <w:r w:rsidRPr="005E0ADF">
              <w:rPr>
                <w:szCs w:val="20"/>
              </w:rPr>
              <w:t>17.521.063</w:t>
            </w:r>
          </w:p>
        </w:tc>
        <w:tc>
          <w:tcPr>
            <w:tcW w:w="1306" w:type="dxa"/>
            <w:tcBorders>
              <w:top w:val="single" w:sz="2" w:space="0" w:color="auto"/>
              <w:left w:val="nil"/>
              <w:bottom w:val="single" w:sz="2" w:space="0" w:color="auto"/>
              <w:right w:val="nil"/>
            </w:tcBorders>
            <w:vAlign w:val="center"/>
          </w:tcPr>
          <w:p w:rsidR="006944BB" w:rsidRPr="005E0ADF" w:rsidRDefault="006944BB" w:rsidP="00884477">
            <w:pPr>
              <w:pStyle w:val="cuatexto"/>
              <w:jc w:val="right"/>
              <w:rPr>
                <w:szCs w:val="20"/>
              </w:rPr>
            </w:pPr>
            <w:r w:rsidRPr="005E0ADF">
              <w:rPr>
                <w:szCs w:val="20"/>
              </w:rPr>
              <w:t>0,4</w:t>
            </w:r>
          </w:p>
        </w:tc>
        <w:tc>
          <w:tcPr>
            <w:tcW w:w="2153" w:type="dxa"/>
            <w:tcBorders>
              <w:top w:val="single" w:sz="2" w:space="0" w:color="auto"/>
              <w:left w:val="nil"/>
              <w:bottom w:val="single" w:sz="2" w:space="0" w:color="auto"/>
              <w:right w:val="nil"/>
            </w:tcBorders>
            <w:vAlign w:val="center"/>
          </w:tcPr>
          <w:p w:rsidR="006944BB" w:rsidRPr="005E0ADF" w:rsidRDefault="006944BB" w:rsidP="00884477">
            <w:pPr>
              <w:pStyle w:val="cuatexto"/>
              <w:jc w:val="right"/>
              <w:rPr>
                <w:szCs w:val="20"/>
              </w:rPr>
            </w:pPr>
            <w:r w:rsidRPr="005E0ADF">
              <w:rPr>
                <w:szCs w:val="20"/>
              </w:rPr>
              <w:t>17.591.147</w:t>
            </w:r>
          </w:p>
        </w:tc>
      </w:tr>
      <w:tr w:rsidR="006944BB" w:rsidRPr="005E0ADF" w:rsidTr="003A4D8C">
        <w:trPr>
          <w:trHeight w:hRule="exact" w:val="255"/>
          <w:jc w:val="center"/>
        </w:trPr>
        <w:tc>
          <w:tcPr>
            <w:tcW w:w="1552" w:type="dxa"/>
            <w:tcBorders>
              <w:top w:val="single" w:sz="2" w:space="0" w:color="auto"/>
              <w:left w:val="nil"/>
              <w:bottom w:val="single" w:sz="2" w:space="0" w:color="auto"/>
              <w:right w:val="nil"/>
            </w:tcBorders>
            <w:vAlign w:val="center"/>
          </w:tcPr>
          <w:p w:rsidR="006944BB" w:rsidRPr="005E0ADF" w:rsidRDefault="006944BB" w:rsidP="00884477">
            <w:pPr>
              <w:pStyle w:val="cuatexto"/>
              <w:jc w:val="left"/>
              <w:rPr>
                <w:szCs w:val="20"/>
              </w:rPr>
            </w:pPr>
            <w:r w:rsidRPr="005E0ADF">
              <w:rPr>
                <w:szCs w:val="20"/>
              </w:rPr>
              <w:t>Septiembre 2014</w:t>
            </w:r>
          </w:p>
        </w:tc>
        <w:tc>
          <w:tcPr>
            <w:tcW w:w="1445" w:type="dxa"/>
            <w:tcBorders>
              <w:top w:val="single" w:sz="2" w:space="0" w:color="auto"/>
              <w:left w:val="nil"/>
              <w:bottom w:val="single" w:sz="2" w:space="0" w:color="auto"/>
              <w:right w:val="nil"/>
            </w:tcBorders>
            <w:vAlign w:val="center"/>
          </w:tcPr>
          <w:p w:rsidR="006944BB" w:rsidRPr="005E0ADF" w:rsidRDefault="006944BB" w:rsidP="00884477">
            <w:pPr>
              <w:pStyle w:val="cuatexto"/>
              <w:jc w:val="right"/>
              <w:rPr>
                <w:szCs w:val="20"/>
              </w:rPr>
            </w:pPr>
            <w:r w:rsidRPr="005E0ADF">
              <w:rPr>
                <w:szCs w:val="20"/>
              </w:rPr>
              <w:t>2.555.247</w:t>
            </w:r>
          </w:p>
        </w:tc>
        <w:tc>
          <w:tcPr>
            <w:tcW w:w="1134" w:type="dxa"/>
            <w:tcBorders>
              <w:top w:val="single" w:sz="2" w:space="0" w:color="auto"/>
              <w:left w:val="nil"/>
              <w:bottom w:val="single" w:sz="2" w:space="0" w:color="auto"/>
              <w:right w:val="nil"/>
            </w:tcBorders>
            <w:vAlign w:val="center"/>
          </w:tcPr>
          <w:p w:rsidR="006944BB" w:rsidRPr="005E0ADF" w:rsidRDefault="006944BB" w:rsidP="00884477">
            <w:pPr>
              <w:pStyle w:val="cuatexto"/>
              <w:jc w:val="right"/>
              <w:rPr>
                <w:szCs w:val="20"/>
              </w:rPr>
            </w:pPr>
            <w:r w:rsidRPr="005E0ADF">
              <w:rPr>
                <w:szCs w:val="20"/>
              </w:rPr>
              <w:t>14.692.770</w:t>
            </w:r>
          </w:p>
        </w:tc>
        <w:tc>
          <w:tcPr>
            <w:tcW w:w="1276" w:type="dxa"/>
            <w:tcBorders>
              <w:top w:val="single" w:sz="2" w:space="0" w:color="auto"/>
              <w:left w:val="nil"/>
              <w:bottom w:val="single" w:sz="2" w:space="0" w:color="auto"/>
              <w:right w:val="nil"/>
            </w:tcBorders>
            <w:vAlign w:val="center"/>
          </w:tcPr>
          <w:p w:rsidR="006944BB" w:rsidRPr="005E0ADF" w:rsidRDefault="006944BB" w:rsidP="00884477">
            <w:pPr>
              <w:pStyle w:val="cuatexto"/>
              <w:jc w:val="right"/>
              <w:rPr>
                <w:szCs w:val="20"/>
              </w:rPr>
            </w:pPr>
            <w:r w:rsidRPr="005E0ADF">
              <w:rPr>
                <w:szCs w:val="20"/>
              </w:rPr>
              <w:t>14.611.401</w:t>
            </w:r>
          </w:p>
        </w:tc>
        <w:tc>
          <w:tcPr>
            <w:tcW w:w="1306" w:type="dxa"/>
            <w:tcBorders>
              <w:top w:val="single" w:sz="2" w:space="0" w:color="auto"/>
              <w:left w:val="nil"/>
              <w:bottom w:val="single" w:sz="2" w:space="0" w:color="auto"/>
              <w:right w:val="nil"/>
            </w:tcBorders>
            <w:vAlign w:val="center"/>
          </w:tcPr>
          <w:p w:rsidR="006944BB" w:rsidRPr="005E0ADF" w:rsidRDefault="006944BB" w:rsidP="00884477">
            <w:pPr>
              <w:pStyle w:val="cuatexto"/>
              <w:jc w:val="right"/>
              <w:rPr>
                <w:szCs w:val="20"/>
              </w:rPr>
            </w:pPr>
            <w:r w:rsidRPr="005E0ADF">
              <w:rPr>
                <w:szCs w:val="20"/>
              </w:rPr>
              <w:t>0,3</w:t>
            </w:r>
          </w:p>
        </w:tc>
        <w:tc>
          <w:tcPr>
            <w:tcW w:w="2153" w:type="dxa"/>
            <w:tcBorders>
              <w:top w:val="single" w:sz="2" w:space="0" w:color="auto"/>
              <w:left w:val="nil"/>
              <w:bottom w:val="single" w:sz="2" w:space="0" w:color="auto"/>
              <w:right w:val="nil"/>
            </w:tcBorders>
            <w:vAlign w:val="center"/>
          </w:tcPr>
          <w:p w:rsidR="006944BB" w:rsidRPr="005E0ADF" w:rsidRDefault="006944BB" w:rsidP="00884477">
            <w:pPr>
              <w:pStyle w:val="cuatexto"/>
              <w:jc w:val="right"/>
              <w:rPr>
                <w:szCs w:val="20"/>
              </w:rPr>
            </w:pPr>
            <w:r w:rsidRPr="005E0ADF">
              <w:rPr>
                <w:szCs w:val="20"/>
              </w:rPr>
              <w:t>14.655.235</w:t>
            </w:r>
          </w:p>
        </w:tc>
      </w:tr>
      <w:tr w:rsidR="006944BB" w:rsidRPr="005E0ADF" w:rsidTr="003A4D8C">
        <w:trPr>
          <w:trHeight w:hRule="exact" w:val="255"/>
          <w:jc w:val="center"/>
        </w:trPr>
        <w:tc>
          <w:tcPr>
            <w:tcW w:w="1552" w:type="dxa"/>
            <w:tcBorders>
              <w:top w:val="single" w:sz="2" w:space="0" w:color="auto"/>
              <w:left w:val="nil"/>
              <w:bottom w:val="single" w:sz="4" w:space="0" w:color="auto"/>
              <w:right w:val="nil"/>
            </w:tcBorders>
            <w:vAlign w:val="center"/>
          </w:tcPr>
          <w:p w:rsidR="006944BB" w:rsidRPr="005E0ADF" w:rsidRDefault="006944BB" w:rsidP="00884477">
            <w:pPr>
              <w:pStyle w:val="cuatexto"/>
              <w:jc w:val="left"/>
              <w:rPr>
                <w:szCs w:val="20"/>
              </w:rPr>
            </w:pPr>
            <w:r w:rsidRPr="005E0ADF">
              <w:rPr>
                <w:szCs w:val="20"/>
              </w:rPr>
              <w:t>Octubre 2014</w:t>
            </w:r>
          </w:p>
        </w:tc>
        <w:tc>
          <w:tcPr>
            <w:tcW w:w="1445" w:type="dxa"/>
            <w:tcBorders>
              <w:top w:val="single" w:sz="2" w:space="0" w:color="auto"/>
              <w:left w:val="nil"/>
              <w:bottom w:val="single" w:sz="4" w:space="0" w:color="auto"/>
              <w:right w:val="nil"/>
            </w:tcBorders>
            <w:vAlign w:val="center"/>
          </w:tcPr>
          <w:p w:rsidR="006944BB" w:rsidRPr="005E0ADF" w:rsidRDefault="006944BB" w:rsidP="00884477">
            <w:pPr>
              <w:pStyle w:val="cuatexto"/>
              <w:jc w:val="right"/>
              <w:rPr>
                <w:szCs w:val="20"/>
              </w:rPr>
            </w:pPr>
            <w:r w:rsidRPr="005E0ADF">
              <w:rPr>
                <w:szCs w:val="20"/>
              </w:rPr>
              <w:t>11.869.544</w:t>
            </w:r>
          </w:p>
        </w:tc>
        <w:tc>
          <w:tcPr>
            <w:tcW w:w="1134" w:type="dxa"/>
            <w:tcBorders>
              <w:top w:val="single" w:sz="2" w:space="0" w:color="auto"/>
              <w:left w:val="nil"/>
              <w:bottom w:val="single" w:sz="4" w:space="0" w:color="auto"/>
              <w:right w:val="nil"/>
            </w:tcBorders>
            <w:vAlign w:val="center"/>
          </w:tcPr>
          <w:p w:rsidR="006944BB" w:rsidRPr="005E0ADF" w:rsidRDefault="006944BB" w:rsidP="00884477">
            <w:pPr>
              <w:pStyle w:val="cuatexto"/>
              <w:jc w:val="right"/>
              <w:rPr>
                <w:szCs w:val="20"/>
              </w:rPr>
            </w:pPr>
            <w:r w:rsidRPr="005E0ADF">
              <w:rPr>
                <w:szCs w:val="20"/>
              </w:rPr>
              <w:t>65.282.918</w:t>
            </w:r>
          </w:p>
        </w:tc>
        <w:tc>
          <w:tcPr>
            <w:tcW w:w="1276" w:type="dxa"/>
            <w:tcBorders>
              <w:top w:val="single" w:sz="2" w:space="0" w:color="auto"/>
              <w:left w:val="nil"/>
              <w:bottom w:val="single" w:sz="4" w:space="0" w:color="auto"/>
              <w:right w:val="nil"/>
            </w:tcBorders>
            <w:vAlign w:val="center"/>
          </w:tcPr>
          <w:p w:rsidR="006944BB" w:rsidRPr="005E0ADF" w:rsidRDefault="006944BB" w:rsidP="00884477">
            <w:pPr>
              <w:pStyle w:val="cuatexto"/>
              <w:jc w:val="right"/>
              <w:rPr>
                <w:szCs w:val="20"/>
              </w:rPr>
            </w:pPr>
            <w:r w:rsidRPr="005E0ADF">
              <w:rPr>
                <w:szCs w:val="20"/>
              </w:rPr>
              <w:t>64.917.243</w:t>
            </w:r>
          </w:p>
        </w:tc>
        <w:tc>
          <w:tcPr>
            <w:tcW w:w="1306" w:type="dxa"/>
            <w:tcBorders>
              <w:top w:val="single" w:sz="2" w:space="0" w:color="auto"/>
              <w:left w:val="nil"/>
              <w:bottom w:val="single" w:sz="4" w:space="0" w:color="auto"/>
              <w:right w:val="nil"/>
            </w:tcBorders>
            <w:vAlign w:val="center"/>
          </w:tcPr>
          <w:p w:rsidR="006944BB" w:rsidRPr="005E0ADF" w:rsidRDefault="006944BB" w:rsidP="00884477">
            <w:pPr>
              <w:pStyle w:val="cuatexto"/>
              <w:jc w:val="right"/>
              <w:rPr>
                <w:szCs w:val="20"/>
              </w:rPr>
            </w:pPr>
            <w:r w:rsidRPr="005E0ADF">
              <w:rPr>
                <w:szCs w:val="20"/>
              </w:rPr>
              <w:t>0</w:t>
            </w:r>
          </w:p>
        </w:tc>
        <w:tc>
          <w:tcPr>
            <w:tcW w:w="2153" w:type="dxa"/>
            <w:tcBorders>
              <w:top w:val="single" w:sz="2" w:space="0" w:color="auto"/>
              <w:left w:val="nil"/>
              <w:bottom w:val="single" w:sz="4" w:space="0" w:color="auto"/>
              <w:right w:val="nil"/>
            </w:tcBorders>
            <w:vAlign w:val="center"/>
          </w:tcPr>
          <w:p w:rsidR="006944BB" w:rsidRPr="005E0ADF" w:rsidRDefault="006944BB" w:rsidP="00884477">
            <w:pPr>
              <w:pStyle w:val="cuatexto"/>
              <w:jc w:val="right"/>
              <w:rPr>
                <w:szCs w:val="20"/>
              </w:rPr>
            </w:pPr>
            <w:r w:rsidRPr="005E0ADF">
              <w:rPr>
                <w:szCs w:val="20"/>
              </w:rPr>
              <w:t>64.917.243</w:t>
            </w:r>
          </w:p>
        </w:tc>
      </w:tr>
      <w:tr w:rsidR="006944BB" w:rsidRPr="00684B5D" w:rsidTr="003A4D8C">
        <w:trPr>
          <w:trHeight w:hRule="exact" w:val="312"/>
          <w:jc w:val="center"/>
        </w:trPr>
        <w:tc>
          <w:tcPr>
            <w:tcW w:w="1552" w:type="dxa"/>
            <w:tcBorders>
              <w:top w:val="single" w:sz="4" w:space="0" w:color="auto"/>
              <w:left w:val="nil"/>
              <w:bottom w:val="single" w:sz="4" w:space="0" w:color="auto"/>
              <w:right w:val="nil"/>
            </w:tcBorders>
            <w:shd w:val="clear" w:color="auto" w:fill="8DB3E2" w:themeFill="text2" w:themeFillTint="66"/>
            <w:vAlign w:val="center"/>
          </w:tcPr>
          <w:p w:rsidR="006944BB" w:rsidRPr="005E0ADF" w:rsidRDefault="006944BB" w:rsidP="00884477">
            <w:pPr>
              <w:pStyle w:val="cuadroCabe"/>
              <w:jc w:val="left"/>
            </w:pPr>
            <w:r w:rsidRPr="005E0ADF">
              <w:t>Total</w:t>
            </w:r>
          </w:p>
        </w:tc>
        <w:tc>
          <w:tcPr>
            <w:tcW w:w="1445" w:type="dxa"/>
            <w:tcBorders>
              <w:top w:val="single" w:sz="4" w:space="0" w:color="auto"/>
              <w:left w:val="nil"/>
              <w:bottom w:val="single" w:sz="4" w:space="0" w:color="auto"/>
              <w:right w:val="nil"/>
            </w:tcBorders>
            <w:shd w:val="clear" w:color="auto" w:fill="8DB3E2" w:themeFill="text2" w:themeFillTint="66"/>
            <w:vAlign w:val="center"/>
          </w:tcPr>
          <w:p w:rsidR="006944BB" w:rsidRPr="005E0ADF" w:rsidRDefault="006944BB" w:rsidP="00884477">
            <w:pPr>
              <w:pStyle w:val="cuadroCabe"/>
              <w:jc w:val="right"/>
            </w:pPr>
            <w:r w:rsidRPr="005E0ADF">
              <w:fldChar w:fldCharType="begin"/>
            </w:r>
            <w:r w:rsidRPr="005E0ADF">
              <w:instrText xml:space="preserve"> =SUM(ABOVE) </w:instrText>
            </w:r>
            <w:r w:rsidRPr="005E0ADF">
              <w:fldChar w:fldCharType="separate"/>
            </w:r>
            <w:r w:rsidRPr="005E0ADF">
              <w:t>28.849.574</w:t>
            </w:r>
            <w:r w:rsidRPr="005E0ADF">
              <w:fldChar w:fldCharType="end"/>
            </w:r>
          </w:p>
        </w:tc>
        <w:tc>
          <w:tcPr>
            <w:tcW w:w="1134" w:type="dxa"/>
            <w:tcBorders>
              <w:top w:val="single" w:sz="4" w:space="0" w:color="auto"/>
              <w:left w:val="nil"/>
              <w:bottom w:val="single" w:sz="4" w:space="0" w:color="auto"/>
              <w:right w:val="nil"/>
            </w:tcBorders>
            <w:shd w:val="clear" w:color="auto" w:fill="8DB3E2" w:themeFill="text2" w:themeFillTint="66"/>
            <w:vAlign w:val="center"/>
          </w:tcPr>
          <w:p w:rsidR="006944BB" w:rsidRPr="005E0ADF" w:rsidRDefault="006944BB" w:rsidP="00884477">
            <w:pPr>
              <w:pStyle w:val="cuadroCabe"/>
              <w:jc w:val="right"/>
            </w:pPr>
          </w:p>
        </w:tc>
        <w:tc>
          <w:tcPr>
            <w:tcW w:w="1276" w:type="dxa"/>
            <w:tcBorders>
              <w:top w:val="single" w:sz="4" w:space="0" w:color="auto"/>
              <w:left w:val="nil"/>
              <w:bottom w:val="single" w:sz="4" w:space="0" w:color="auto"/>
              <w:right w:val="nil"/>
            </w:tcBorders>
            <w:shd w:val="clear" w:color="auto" w:fill="8DB3E2" w:themeFill="text2" w:themeFillTint="66"/>
            <w:vAlign w:val="center"/>
          </w:tcPr>
          <w:p w:rsidR="006944BB" w:rsidRPr="005E0ADF" w:rsidRDefault="006944BB" w:rsidP="00884477">
            <w:pPr>
              <w:pStyle w:val="cuadroCabe"/>
              <w:jc w:val="right"/>
            </w:pPr>
          </w:p>
        </w:tc>
        <w:tc>
          <w:tcPr>
            <w:tcW w:w="1306" w:type="dxa"/>
            <w:tcBorders>
              <w:top w:val="single" w:sz="4" w:space="0" w:color="auto"/>
              <w:left w:val="nil"/>
              <w:bottom w:val="single" w:sz="4" w:space="0" w:color="auto"/>
              <w:right w:val="nil"/>
            </w:tcBorders>
            <w:shd w:val="clear" w:color="auto" w:fill="8DB3E2" w:themeFill="text2" w:themeFillTint="66"/>
            <w:vAlign w:val="center"/>
          </w:tcPr>
          <w:p w:rsidR="006944BB" w:rsidRPr="005E0ADF" w:rsidRDefault="006944BB" w:rsidP="00884477">
            <w:pPr>
              <w:pStyle w:val="cuadroCabe"/>
              <w:jc w:val="right"/>
            </w:pPr>
          </w:p>
        </w:tc>
        <w:tc>
          <w:tcPr>
            <w:tcW w:w="2153" w:type="dxa"/>
            <w:tcBorders>
              <w:top w:val="single" w:sz="4" w:space="0" w:color="auto"/>
              <w:left w:val="nil"/>
              <w:bottom w:val="single" w:sz="4" w:space="0" w:color="auto"/>
              <w:right w:val="nil"/>
            </w:tcBorders>
            <w:shd w:val="clear" w:color="auto" w:fill="8DB3E2" w:themeFill="text2" w:themeFillTint="66"/>
            <w:vAlign w:val="center"/>
          </w:tcPr>
          <w:p w:rsidR="006944BB" w:rsidRPr="005E0ADF" w:rsidRDefault="006944BB" w:rsidP="00884477">
            <w:pPr>
              <w:pStyle w:val="cuadroCabe"/>
              <w:jc w:val="right"/>
            </w:pPr>
            <w:r w:rsidRPr="005E0ADF">
              <w:fldChar w:fldCharType="begin"/>
            </w:r>
            <w:r w:rsidRPr="005E0ADF">
              <w:instrText xml:space="preserve"> =SUM(ABOVE) </w:instrText>
            </w:r>
            <w:r w:rsidRPr="005E0ADF">
              <w:fldChar w:fldCharType="separate"/>
            </w:r>
            <w:r w:rsidRPr="005E0ADF">
              <w:t>153.389.27</w:t>
            </w:r>
            <w:r w:rsidRPr="005E0ADF">
              <w:fldChar w:fldCharType="end"/>
            </w:r>
            <w:r w:rsidRPr="005E0ADF">
              <w:t>3</w:t>
            </w:r>
          </w:p>
        </w:tc>
      </w:tr>
    </w:tbl>
    <w:p w:rsidR="006944BB" w:rsidRPr="00593080" w:rsidRDefault="00593080" w:rsidP="00593080">
      <w:pPr>
        <w:pStyle w:val="texto"/>
        <w:tabs>
          <w:tab w:val="clear" w:pos="2835"/>
          <w:tab w:val="clear" w:pos="3969"/>
          <w:tab w:val="clear" w:pos="5103"/>
          <w:tab w:val="clear" w:pos="6237"/>
          <w:tab w:val="clear" w:pos="7371"/>
        </w:tabs>
        <w:spacing w:before="160" w:after="120"/>
        <w:ind w:firstLine="0"/>
        <w:rPr>
          <w:rFonts w:ascii="Arial Narrow" w:eastAsia="Calibri" w:hAnsi="Arial Narrow"/>
          <w:sz w:val="19"/>
          <w:szCs w:val="19"/>
          <w:lang w:eastAsia="es-ES"/>
        </w:rPr>
      </w:pPr>
      <w:r>
        <w:rPr>
          <w:rFonts w:ascii="Arial Narrow" w:eastAsia="Calibri" w:hAnsi="Arial Narrow"/>
          <w:sz w:val="19"/>
          <w:szCs w:val="19"/>
          <w:lang w:eastAsia="es-ES"/>
        </w:rPr>
        <w:t>(</w:t>
      </w:r>
      <w:r w:rsidR="0034100D">
        <w:rPr>
          <w:rFonts w:ascii="Arial Narrow" w:eastAsia="Calibri" w:hAnsi="Arial Narrow"/>
          <w:sz w:val="19"/>
          <w:szCs w:val="19"/>
          <w:lang w:eastAsia="es-ES"/>
        </w:rPr>
        <w:t>1</w:t>
      </w:r>
      <w:r>
        <w:rPr>
          <w:rFonts w:ascii="Arial Narrow" w:eastAsia="Calibri" w:hAnsi="Arial Narrow"/>
          <w:sz w:val="19"/>
          <w:szCs w:val="19"/>
          <w:lang w:eastAsia="es-ES"/>
        </w:rPr>
        <w:t xml:space="preserve">) </w:t>
      </w:r>
      <w:r w:rsidR="009F2665" w:rsidRPr="00593080">
        <w:rPr>
          <w:rFonts w:ascii="Arial Narrow" w:eastAsia="Calibri" w:hAnsi="Arial Narrow"/>
          <w:sz w:val="19"/>
          <w:szCs w:val="19"/>
          <w:lang w:eastAsia="es-ES"/>
        </w:rPr>
        <w:t>Importes netos de comisiones,</w:t>
      </w:r>
      <w:r w:rsidR="00522161">
        <w:rPr>
          <w:rFonts w:ascii="Arial Narrow" w:eastAsia="Calibri" w:hAnsi="Arial Narrow"/>
          <w:sz w:val="19"/>
          <w:szCs w:val="19"/>
          <w:lang w:eastAsia="es-ES"/>
        </w:rPr>
        <w:t xml:space="preserve"> </w:t>
      </w:r>
      <w:r w:rsidR="009F2665" w:rsidRPr="00593080">
        <w:rPr>
          <w:rFonts w:ascii="Arial Narrow" w:eastAsia="Calibri" w:hAnsi="Arial Narrow"/>
          <w:sz w:val="19"/>
          <w:szCs w:val="19"/>
          <w:lang w:eastAsia="es-ES"/>
        </w:rPr>
        <w:t>corretajes y gastos varios</w:t>
      </w:r>
    </w:p>
    <w:p w:rsidR="00E96655" w:rsidRPr="009F2665" w:rsidRDefault="006944BB" w:rsidP="009F2665">
      <w:pPr>
        <w:pStyle w:val="atitulo2"/>
        <w:numPr>
          <w:ilvl w:val="0"/>
          <w:numId w:val="25"/>
        </w:numPr>
        <w:spacing w:before="240" w:after="320"/>
        <w:rPr>
          <w:rFonts w:cs="Arial"/>
          <w:bCs w:val="0"/>
          <w:iCs w:val="0"/>
          <w:color w:val="auto"/>
          <w:spacing w:val="0"/>
          <w:kern w:val="0"/>
          <w:sz w:val="20"/>
          <w:szCs w:val="20"/>
        </w:rPr>
      </w:pPr>
      <w:r w:rsidRPr="009F2665">
        <w:rPr>
          <w:rFonts w:cs="Arial"/>
          <w:bCs w:val="0"/>
          <w:iCs w:val="0"/>
          <w:color w:val="auto"/>
          <w:spacing w:val="0"/>
          <w:kern w:val="0"/>
          <w:sz w:val="20"/>
          <w:szCs w:val="20"/>
        </w:rPr>
        <w:br w:type="page"/>
      </w:r>
    </w:p>
    <w:p w:rsidR="00E96655" w:rsidRPr="00E96655" w:rsidRDefault="00E96655" w:rsidP="00E96655">
      <w:pPr>
        <w:spacing w:after="40"/>
        <w:ind w:left="567" w:firstLine="0"/>
        <w:jc w:val="center"/>
        <w:rPr>
          <w:sz w:val="8"/>
          <w:szCs w:val="8"/>
        </w:rPr>
      </w:pPr>
    </w:p>
    <w:p w:rsidR="006944BB" w:rsidRPr="00E96655" w:rsidRDefault="006944BB" w:rsidP="000E73CB">
      <w:pPr>
        <w:spacing w:after="300"/>
        <w:ind w:firstLine="0"/>
        <w:jc w:val="center"/>
        <w:rPr>
          <w:rFonts w:ascii="Arial" w:hAnsi="Arial" w:cs="Arial"/>
        </w:rPr>
      </w:pPr>
      <w:r w:rsidRPr="00E96655">
        <w:rPr>
          <w:rFonts w:ascii="Arial" w:hAnsi="Arial" w:cs="Arial"/>
        </w:rPr>
        <w:t xml:space="preserve">Ingresos netos por dividendos y retenciones sobre el dividendo recuperadas </w:t>
      </w:r>
      <w:r w:rsidR="00D41B5B">
        <w:rPr>
          <w:rFonts w:ascii="Arial" w:hAnsi="Arial" w:cs="Arial"/>
        </w:rPr>
        <w:t xml:space="preserve">                                </w:t>
      </w:r>
      <w:r w:rsidRPr="00E96655">
        <w:rPr>
          <w:rFonts w:ascii="Arial" w:hAnsi="Arial" w:cs="Arial"/>
        </w:rPr>
        <w:t>en el Impuesto de sociedades</w:t>
      </w:r>
    </w:p>
    <w:tbl>
      <w:tblPr>
        <w:tblW w:w="8856" w:type="dxa"/>
        <w:jc w:val="center"/>
        <w:tblLayout w:type="fixed"/>
        <w:tblCellMar>
          <w:left w:w="70" w:type="dxa"/>
          <w:right w:w="70" w:type="dxa"/>
        </w:tblCellMar>
        <w:tblLook w:val="04A0" w:firstRow="1" w:lastRow="0" w:firstColumn="1" w:lastColumn="0" w:noHBand="0" w:noVBand="1"/>
      </w:tblPr>
      <w:tblGrid>
        <w:gridCol w:w="2961"/>
        <w:gridCol w:w="1329"/>
        <w:gridCol w:w="1113"/>
        <w:gridCol w:w="1407"/>
        <w:gridCol w:w="1904"/>
        <w:gridCol w:w="142"/>
      </w:tblGrid>
      <w:tr w:rsidR="006944BB" w:rsidRPr="000C7E08" w:rsidTr="00E1587C">
        <w:trPr>
          <w:trHeight w:val="300"/>
          <w:jc w:val="center"/>
        </w:trPr>
        <w:tc>
          <w:tcPr>
            <w:tcW w:w="2961"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7A4471">
            <w:pPr>
              <w:pStyle w:val="cuadroCabe"/>
              <w:jc w:val="left"/>
            </w:pPr>
            <w:r w:rsidRPr="007A4471">
              <w:t>Concepto</w:t>
            </w:r>
          </w:p>
        </w:tc>
        <w:tc>
          <w:tcPr>
            <w:tcW w:w="1329"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E1587C">
            <w:pPr>
              <w:pStyle w:val="cuadroCabe"/>
              <w:jc w:val="right"/>
            </w:pPr>
            <w:r w:rsidRPr="007A4471">
              <w:t>Fecha</w:t>
            </w:r>
          </w:p>
          <w:p w:rsidR="006944BB" w:rsidRPr="007A4471" w:rsidRDefault="006944BB" w:rsidP="00E1587C">
            <w:pPr>
              <w:pStyle w:val="cuadroCabe"/>
              <w:jc w:val="right"/>
            </w:pPr>
            <w:r w:rsidRPr="007A4471">
              <w:t>cobro</w:t>
            </w:r>
          </w:p>
        </w:tc>
        <w:tc>
          <w:tcPr>
            <w:tcW w:w="1113"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E1587C">
            <w:pPr>
              <w:pStyle w:val="cuadroCabe"/>
              <w:jc w:val="right"/>
            </w:pPr>
            <w:r w:rsidRPr="007A4471">
              <w:t>Dividendo neto</w:t>
            </w:r>
          </w:p>
        </w:tc>
        <w:tc>
          <w:tcPr>
            <w:tcW w:w="1407"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E1587C">
            <w:pPr>
              <w:pStyle w:val="cuadroCabe"/>
              <w:jc w:val="right"/>
            </w:pPr>
            <w:r w:rsidRPr="007A4471">
              <w:t>Factor</w:t>
            </w:r>
          </w:p>
          <w:p w:rsidR="006944BB" w:rsidRPr="007A4471" w:rsidRDefault="006944BB" w:rsidP="00E1587C">
            <w:pPr>
              <w:pStyle w:val="cuadroCabe"/>
              <w:jc w:val="right"/>
            </w:pPr>
            <w:r w:rsidRPr="007A4471">
              <w:t xml:space="preserve"> capitalización</w:t>
            </w:r>
          </w:p>
        </w:tc>
        <w:tc>
          <w:tcPr>
            <w:tcW w:w="2046" w:type="dxa"/>
            <w:gridSpan w:val="2"/>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E1587C">
            <w:pPr>
              <w:pStyle w:val="cuadroCabe"/>
              <w:jc w:val="right"/>
            </w:pPr>
            <w:r w:rsidRPr="007A4471">
              <w:t>Dividendo neto cap</w:t>
            </w:r>
            <w:r w:rsidRPr="007A4471">
              <w:t>i</w:t>
            </w:r>
            <w:r w:rsidRPr="007A4471">
              <w:t>talizado a 31/1</w:t>
            </w:r>
            <w:r w:rsidR="004C024C" w:rsidRPr="007A4471">
              <w:t>0</w:t>
            </w:r>
            <w:r w:rsidRPr="007A4471">
              <w:t>/2014</w:t>
            </w:r>
          </w:p>
        </w:tc>
      </w:tr>
      <w:tr w:rsidR="006944BB" w:rsidRPr="007A4471" w:rsidTr="00D37FFC">
        <w:trPr>
          <w:gridAfter w:val="1"/>
          <w:wAfter w:w="142" w:type="dxa"/>
          <w:trHeight w:val="255"/>
          <w:jc w:val="center"/>
        </w:trPr>
        <w:tc>
          <w:tcPr>
            <w:tcW w:w="2961" w:type="dxa"/>
            <w:tcBorders>
              <w:top w:val="single" w:sz="4"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Complementario 2004</w:t>
            </w:r>
          </w:p>
        </w:tc>
        <w:tc>
          <w:tcPr>
            <w:tcW w:w="1329" w:type="dxa"/>
            <w:tcBorders>
              <w:top w:val="single" w:sz="4"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01/07/2005</w:t>
            </w:r>
          </w:p>
        </w:tc>
        <w:tc>
          <w:tcPr>
            <w:tcW w:w="1113" w:type="dxa"/>
            <w:tcBorders>
              <w:top w:val="single" w:sz="4"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3.387.755</w:t>
            </w:r>
          </w:p>
        </w:tc>
        <w:tc>
          <w:tcPr>
            <w:tcW w:w="1407" w:type="dxa"/>
            <w:tcBorders>
              <w:top w:val="single" w:sz="4"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18,40</w:t>
            </w:r>
          </w:p>
        </w:tc>
        <w:tc>
          <w:tcPr>
            <w:tcW w:w="1904" w:type="dxa"/>
            <w:tcBorders>
              <w:top w:val="single" w:sz="4"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4.011.102</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A cuenta  2005</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02/01/2006</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2.812.383</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17,20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3.296.113</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Complementario 2005</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03/07/2006</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3.970.301</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14,16</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4.532.495</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Retención sobre el dividendo</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18/10/2006</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597.839</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14,10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682.134</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A cuenta 2006</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02/01/2007</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3.326.717</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15,10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3.829.051</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Prima Junta General 2007</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15/05/2007</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147.854</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11,80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165.301</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Complementario 2006</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02/07/2007</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4.383.873</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12,50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4.931.857</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Retención sobre el dividendo</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28/11/2007</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1.196.944</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9,30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1.308.260</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A cuenta. 2007</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02/01/2008</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3.400.644</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10,30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3.750.910</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Prima Junta General 2008</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21/05/2008</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118.283</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6,70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126.208</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Complementario 2007</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02/07/2008</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3.690.438</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7,50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3.967.220</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Retención sobre el dividendo</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12/11/2008</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1.725.024</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8,00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1.863.026</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A cuenta. 2008</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02/01/2009</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3.382.901</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10,00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3.721.191</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Prima Junta General 2009</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21/05/2009</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118.283</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8,00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127.746</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Complementario 2008</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02/07/2009</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4.352.824</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8</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4.735.872</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Retención sobre el dividendo</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28/10/2009</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1.582.543</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7,50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1.701.234</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A cuenta. 2009</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30/12/2009</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3.382.901</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9,00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3.687.362</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Prima Junta General 2010</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20/04/2010</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116.841</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6,70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124.669</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Complementario 2009</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02/07/2010</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4.691.188</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6,80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5.010.189</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Retención sobre el dividendo</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04/11/2010</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2.466.639</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4,60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2.580.104</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A cuenta. 2010</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22/12/2010</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3.411.751</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5,80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3.609.632</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Prima Junta General 2011</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20/06/2011</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116.841</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3,70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121.164</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Complementario 2010</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13/07/2011</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701.045</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3,80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727.684</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Dividendo flexible 2010</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01/08/2011</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3.645.432</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3,60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3.776.668</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A cuenta. 2011</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10/01/2012</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4.183.188</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3,20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4.317.050</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Retención sobre el dividendo</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25/01/2012</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1.725.081</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3,20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1.780.283</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Complementario 2011</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04/07/2012</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683.735</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0,90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689.889</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Prima Junta General 2012</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13/07/2012</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113.956</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0,90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114.981</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Dividendo flexible 2011</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23/07/2012</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4.861.619</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0,90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4.905.374</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E1587C" w:rsidP="007A4471">
            <w:pPr>
              <w:pStyle w:val="cuatexto"/>
              <w:jc w:val="left"/>
              <w:rPr>
                <w:szCs w:val="20"/>
              </w:rPr>
            </w:pPr>
            <w:r>
              <w:rPr>
                <w:szCs w:val="20"/>
              </w:rPr>
              <w:t>A c</w:t>
            </w:r>
            <w:r w:rsidR="006944BB" w:rsidRPr="007A4471">
              <w:rPr>
                <w:szCs w:val="20"/>
              </w:rPr>
              <w:t xml:space="preserve">uenta. 2012 </w:t>
            </w:r>
            <w:r w:rsidR="006944BB" w:rsidRPr="00E1587C">
              <w:rPr>
                <w:sz w:val="18"/>
                <w:szCs w:val="18"/>
              </w:rPr>
              <w:t>(Dividendo Flexible)</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10/01/2013</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4.178.243</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0,70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4.207.490</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Retención sobre el dividendo</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20/02/2013</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1.046.951</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0,10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1.047.998</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Prima Junta General 2013</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24/04/2013</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117.418</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-0,30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117.066</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Complementario 2012</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02/07/2013</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704.507</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-0,20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703.098</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rsidRPr="007A4471">
              <w:rPr>
                <w:szCs w:val="20"/>
              </w:rPr>
              <w:t>Dividendo flexible 2012</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03/07/2013</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3.750.445</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-0,20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rsidRPr="007A4471">
              <w:rPr>
                <w:szCs w:val="20"/>
              </w:rPr>
              <w:t>3.742.944</w:t>
            </w:r>
          </w:p>
        </w:tc>
      </w:tr>
      <w:tr w:rsidR="00E1587C"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tcPr>
          <w:p w:rsidR="00E1587C" w:rsidRPr="007A4471" w:rsidRDefault="00E1587C" w:rsidP="00F42761">
            <w:pPr>
              <w:pStyle w:val="cuatexto"/>
              <w:jc w:val="left"/>
              <w:rPr>
                <w:szCs w:val="20"/>
              </w:rPr>
            </w:pPr>
            <w:r w:rsidRPr="007A4471">
              <w:rPr>
                <w:szCs w:val="20"/>
              </w:rPr>
              <w:t xml:space="preserve">A cuenta. 2013 </w:t>
            </w:r>
            <w:r w:rsidRPr="00E1587C">
              <w:rPr>
                <w:sz w:val="18"/>
                <w:szCs w:val="18"/>
              </w:rPr>
              <w:t>(Dividendo Flexible)</w:t>
            </w:r>
          </w:p>
        </w:tc>
        <w:tc>
          <w:tcPr>
            <w:tcW w:w="1329" w:type="dxa"/>
            <w:tcBorders>
              <w:top w:val="single" w:sz="2" w:space="0" w:color="auto"/>
              <w:left w:val="nil"/>
              <w:bottom w:val="single" w:sz="2" w:space="0" w:color="auto"/>
              <w:right w:val="nil"/>
            </w:tcBorders>
            <w:shd w:val="clear" w:color="auto" w:fill="auto"/>
            <w:noWrap/>
            <w:vAlign w:val="center"/>
          </w:tcPr>
          <w:p w:rsidR="00E1587C" w:rsidRPr="007A4471" w:rsidRDefault="00E1587C" w:rsidP="00E1587C">
            <w:pPr>
              <w:pStyle w:val="cuatexto"/>
              <w:jc w:val="right"/>
              <w:rPr>
                <w:szCs w:val="20"/>
              </w:rPr>
            </w:pPr>
            <w:r w:rsidRPr="007A4471">
              <w:rPr>
                <w:szCs w:val="20"/>
              </w:rPr>
              <w:t>13/01/2014</w:t>
            </w:r>
          </w:p>
        </w:tc>
        <w:tc>
          <w:tcPr>
            <w:tcW w:w="1113" w:type="dxa"/>
            <w:tcBorders>
              <w:top w:val="single" w:sz="2" w:space="0" w:color="auto"/>
              <w:left w:val="nil"/>
              <w:bottom w:val="single" w:sz="2" w:space="0" w:color="auto"/>
              <w:right w:val="nil"/>
            </w:tcBorders>
            <w:shd w:val="clear" w:color="auto" w:fill="auto"/>
            <w:noWrap/>
            <w:vAlign w:val="center"/>
          </w:tcPr>
          <w:p w:rsidR="00E1587C" w:rsidRPr="007A4471" w:rsidRDefault="00E1587C" w:rsidP="00E1587C">
            <w:pPr>
              <w:pStyle w:val="cuatexto"/>
              <w:jc w:val="right"/>
              <w:rPr>
                <w:szCs w:val="20"/>
              </w:rPr>
            </w:pPr>
            <w:r w:rsidRPr="007A4471">
              <w:rPr>
                <w:szCs w:val="20"/>
              </w:rPr>
              <w:t>3.784.240</w:t>
            </w:r>
          </w:p>
        </w:tc>
        <w:tc>
          <w:tcPr>
            <w:tcW w:w="1407" w:type="dxa"/>
            <w:tcBorders>
              <w:top w:val="single" w:sz="2" w:space="0" w:color="auto"/>
              <w:left w:val="nil"/>
              <w:bottom w:val="single" w:sz="2" w:space="0" w:color="auto"/>
              <w:right w:val="nil"/>
            </w:tcBorders>
            <w:shd w:val="clear" w:color="auto" w:fill="auto"/>
            <w:noWrap/>
            <w:vAlign w:val="center"/>
          </w:tcPr>
          <w:p w:rsidR="00E1587C" w:rsidRPr="007A4471" w:rsidRDefault="00E1587C" w:rsidP="00E1587C">
            <w:pPr>
              <w:pStyle w:val="cuatexto"/>
              <w:jc w:val="right"/>
              <w:rPr>
                <w:szCs w:val="20"/>
              </w:rPr>
            </w:pPr>
            <w:r w:rsidRPr="007A4471">
              <w:rPr>
                <w:szCs w:val="20"/>
              </w:rPr>
              <w:t>1,10</w:t>
            </w:r>
          </w:p>
        </w:tc>
        <w:tc>
          <w:tcPr>
            <w:tcW w:w="1904" w:type="dxa"/>
            <w:tcBorders>
              <w:top w:val="single" w:sz="2" w:space="0" w:color="auto"/>
              <w:left w:val="nil"/>
              <w:bottom w:val="single" w:sz="2" w:space="0" w:color="auto"/>
              <w:right w:val="nil"/>
            </w:tcBorders>
            <w:shd w:val="clear" w:color="auto" w:fill="auto"/>
            <w:noWrap/>
            <w:vAlign w:val="center"/>
          </w:tcPr>
          <w:p w:rsidR="00E1587C" w:rsidRPr="007A4471" w:rsidRDefault="00E1587C" w:rsidP="00E1587C">
            <w:pPr>
              <w:pStyle w:val="cuatexto"/>
              <w:jc w:val="right"/>
              <w:rPr>
                <w:szCs w:val="20"/>
              </w:rPr>
            </w:pPr>
            <w:r w:rsidRPr="007A4471">
              <w:rPr>
                <w:szCs w:val="20"/>
              </w:rPr>
              <w:t>3.825.866</w:t>
            </w:r>
          </w:p>
        </w:tc>
      </w:tr>
      <w:tr w:rsidR="00E1587C"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tcPr>
          <w:p w:rsidR="00E1587C" w:rsidRPr="007A4471" w:rsidRDefault="00E1587C" w:rsidP="007A4471">
            <w:pPr>
              <w:pStyle w:val="cuatexto"/>
              <w:jc w:val="left"/>
              <w:rPr>
                <w:szCs w:val="20"/>
              </w:rPr>
            </w:pPr>
            <w:r w:rsidRPr="007A4471">
              <w:rPr>
                <w:szCs w:val="20"/>
              </w:rPr>
              <w:t>Retención sobre el dividendo</w:t>
            </w:r>
          </w:p>
        </w:tc>
        <w:tc>
          <w:tcPr>
            <w:tcW w:w="1329" w:type="dxa"/>
            <w:tcBorders>
              <w:top w:val="single" w:sz="2" w:space="0" w:color="auto"/>
              <w:left w:val="nil"/>
              <w:bottom w:val="single" w:sz="2" w:space="0" w:color="auto"/>
              <w:right w:val="nil"/>
            </w:tcBorders>
            <w:shd w:val="clear" w:color="auto" w:fill="auto"/>
            <w:noWrap/>
            <w:vAlign w:val="center"/>
          </w:tcPr>
          <w:p w:rsidR="00E1587C" w:rsidRPr="007A4471" w:rsidRDefault="00E1587C" w:rsidP="00E1587C">
            <w:pPr>
              <w:pStyle w:val="cuatexto"/>
              <w:jc w:val="right"/>
              <w:rPr>
                <w:szCs w:val="20"/>
              </w:rPr>
            </w:pPr>
            <w:r w:rsidRPr="007A4471">
              <w:rPr>
                <w:szCs w:val="20"/>
              </w:rPr>
              <w:t>14/05/2014</w:t>
            </w:r>
          </w:p>
        </w:tc>
        <w:tc>
          <w:tcPr>
            <w:tcW w:w="1113" w:type="dxa"/>
            <w:tcBorders>
              <w:top w:val="single" w:sz="2" w:space="0" w:color="auto"/>
              <w:left w:val="nil"/>
              <w:bottom w:val="single" w:sz="2" w:space="0" w:color="auto"/>
              <w:right w:val="nil"/>
            </w:tcBorders>
            <w:shd w:val="clear" w:color="auto" w:fill="auto"/>
            <w:noWrap/>
            <w:vAlign w:val="center"/>
          </w:tcPr>
          <w:p w:rsidR="00E1587C" w:rsidRPr="007A4471" w:rsidRDefault="00E1587C" w:rsidP="00E1587C">
            <w:pPr>
              <w:pStyle w:val="cuatexto"/>
              <w:jc w:val="right"/>
              <w:rPr>
                <w:szCs w:val="20"/>
              </w:rPr>
            </w:pPr>
            <w:r w:rsidRPr="007A4471">
              <w:rPr>
                <w:szCs w:val="20"/>
              </w:rPr>
              <w:t>212.044</w:t>
            </w:r>
          </w:p>
        </w:tc>
        <w:tc>
          <w:tcPr>
            <w:tcW w:w="1407" w:type="dxa"/>
            <w:tcBorders>
              <w:top w:val="single" w:sz="2" w:space="0" w:color="auto"/>
              <w:left w:val="nil"/>
              <w:bottom w:val="single" w:sz="2" w:space="0" w:color="auto"/>
              <w:right w:val="nil"/>
            </w:tcBorders>
            <w:shd w:val="clear" w:color="auto" w:fill="auto"/>
            <w:noWrap/>
            <w:vAlign w:val="center"/>
          </w:tcPr>
          <w:p w:rsidR="00E1587C" w:rsidRPr="007A4471" w:rsidRDefault="00E1587C" w:rsidP="00E1587C">
            <w:pPr>
              <w:pStyle w:val="cuatexto"/>
              <w:jc w:val="right"/>
              <w:rPr>
                <w:szCs w:val="20"/>
              </w:rPr>
            </w:pPr>
            <w:r w:rsidRPr="007A4471">
              <w:rPr>
                <w:szCs w:val="20"/>
              </w:rPr>
              <w:t>-0,40</w:t>
            </w:r>
          </w:p>
        </w:tc>
        <w:tc>
          <w:tcPr>
            <w:tcW w:w="1904" w:type="dxa"/>
            <w:tcBorders>
              <w:top w:val="single" w:sz="2" w:space="0" w:color="auto"/>
              <w:left w:val="nil"/>
              <w:bottom w:val="single" w:sz="2" w:space="0" w:color="auto"/>
              <w:right w:val="nil"/>
            </w:tcBorders>
            <w:shd w:val="clear" w:color="auto" w:fill="auto"/>
            <w:noWrap/>
            <w:vAlign w:val="center"/>
          </w:tcPr>
          <w:p w:rsidR="00E1587C" w:rsidRPr="007A4471" w:rsidRDefault="00E1587C" w:rsidP="00E1587C">
            <w:pPr>
              <w:pStyle w:val="cuatexto"/>
              <w:jc w:val="right"/>
              <w:rPr>
                <w:szCs w:val="20"/>
              </w:rPr>
            </w:pPr>
            <w:r w:rsidRPr="007A4471">
              <w:rPr>
                <w:szCs w:val="20"/>
              </w:rPr>
              <w:t>211.196</w:t>
            </w:r>
          </w:p>
        </w:tc>
      </w:tr>
      <w:tr w:rsidR="00E1587C"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tcPr>
          <w:p w:rsidR="00E1587C" w:rsidRPr="007A4471" w:rsidRDefault="00E1587C" w:rsidP="00F42761">
            <w:pPr>
              <w:pStyle w:val="cuatexto"/>
              <w:jc w:val="left"/>
              <w:rPr>
                <w:szCs w:val="20"/>
              </w:rPr>
            </w:pPr>
            <w:r w:rsidRPr="007A4471">
              <w:rPr>
                <w:szCs w:val="20"/>
              </w:rPr>
              <w:t>Complementario 2013</w:t>
            </w:r>
          </w:p>
        </w:tc>
        <w:tc>
          <w:tcPr>
            <w:tcW w:w="1329" w:type="dxa"/>
            <w:tcBorders>
              <w:top w:val="single" w:sz="2" w:space="0" w:color="auto"/>
              <w:left w:val="nil"/>
              <w:bottom w:val="single" w:sz="2" w:space="0" w:color="auto"/>
              <w:right w:val="nil"/>
            </w:tcBorders>
            <w:shd w:val="clear" w:color="auto" w:fill="auto"/>
            <w:noWrap/>
            <w:vAlign w:val="center"/>
          </w:tcPr>
          <w:p w:rsidR="00E1587C" w:rsidRPr="007A4471" w:rsidRDefault="00E1587C" w:rsidP="00E1587C">
            <w:pPr>
              <w:pStyle w:val="cuatexto"/>
              <w:jc w:val="right"/>
              <w:rPr>
                <w:szCs w:val="20"/>
              </w:rPr>
            </w:pPr>
            <w:r w:rsidRPr="007A4471">
              <w:rPr>
                <w:szCs w:val="20"/>
              </w:rPr>
              <w:t>03/07/2014</w:t>
            </w:r>
          </w:p>
        </w:tc>
        <w:tc>
          <w:tcPr>
            <w:tcW w:w="1113" w:type="dxa"/>
            <w:tcBorders>
              <w:top w:val="single" w:sz="2" w:space="0" w:color="auto"/>
              <w:left w:val="nil"/>
              <w:bottom w:val="single" w:sz="2" w:space="0" w:color="auto"/>
              <w:right w:val="nil"/>
            </w:tcBorders>
            <w:shd w:val="clear" w:color="auto" w:fill="auto"/>
            <w:noWrap/>
            <w:vAlign w:val="center"/>
          </w:tcPr>
          <w:p w:rsidR="00E1587C" w:rsidRPr="007A4471" w:rsidRDefault="00E1587C" w:rsidP="00E1587C">
            <w:pPr>
              <w:pStyle w:val="cuatexto"/>
              <w:jc w:val="right"/>
              <w:rPr>
                <w:szCs w:val="20"/>
              </w:rPr>
            </w:pPr>
            <w:r w:rsidRPr="007A4471">
              <w:rPr>
                <w:szCs w:val="20"/>
              </w:rPr>
              <w:t>352.253</w:t>
            </w:r>
          </w:p>
        </w:tc>
        <w:tc>
          <w:tcPr>
            <w:tcW w:w="1407" w:type="dxa"/>
            <w:tcBorders>
              <w:top w:val="single" w:sz="2" w:space="0" w:color="auto"/>
              <w:left w:val="nil"/>
              <w:bottom w:val="single" w:sz="2" w:space="0" w:color="auto"/>
              <w:right w:val="nil"/>
            </w:tcBorders>
            <w:shd w:val="clear" w:color="auto" w:fill="auto"/>
            <w:noWrap/>
            <w:vAlign w:val="center"/>
          </w:tcPr>
          <w:p w:rsidR="00E1587C" w:rsidRPr="007A4471" w:rsidRDefault="00E1587C" w:rsidP="00E1587C">
            <w:pPr>
              <w:pStyle w:val="cuatexto"/>
              <w:jc w:val="right"/>
              <w:rPr>
                <w:szCs w:val="20"/>
              </w:rPr>
            </w:pPr>
            <w:r w:rsidRPr="007A4471">
              <w:rPr>
                <w:szCs w:val="20"/>
              </w:rPr>
              <w:t>0,60</w:t>
            </w:r>
          </w:p>
        </w:tc>
        <w:tc>
          <w:tcPr>
            <w:tcW w:w="1904" w:type="dxa"/>
            <w:tcBorders>
              <w:top w:val="single" w:sz="2" w:space="0" w:color="auto"/>
              <w:left w:val="nil"/>
              <w:bottom w:val="single" w:sz="2" w:space="0" w:color="auto"/>
              <w:right w:val="nil"/>
            </w:tcBorders>
            <w:shd w:val="clear" w:color="auto" w:fill="auto"/>
            <w:noWrap/>
            <w:vAlign w:val="center"/>
          </w:tcPr>
          <w:p w:rsidR="00E1587C" w:rsidRPr="007A4471" w:rsidRDefault="00E1587C" w:rsidP="00E1587C">
            <w:pPr>
              <w:pStyle w:val="cuatexto"/>
              <w:jc w:val="right"/>
              <w:rPr>
                <w:szCs w:val="20"/>
              </w:rPr>
            </w:pPr>
            <w:r w:rsidRPr="007A4471">
              <w:rPr>
                <w:szCs w:val="20"/>
              </w:rPr>
              <w:t>354.367</w:t>
            </w:r>
          </w:p>
        </w:tc>
      </w:tr>
      <w:tr w:rsidR="00E1587C" w:rsidRPr="007A4471" w:rsidTr="00D37FFC">
        <w:trPr>
          <w:gridAfter w:val="1"/>
          <w:wAfter w:w="142" w:type="dxa"/>
          <w:trHeight w:val="255"/>
          <w:jc w:val="center"/>
        </w:trPr>
        <w:tc>
          <w:tcPr>
            <w:tcW w:w="2961" w:type="dxa"/>
            <w:tcBorders>
              <w:top w:val="single" w:sz="2" w:space="0" w:color="auto"/>
              <w:left w:val="nil"/>
              <w:bottom w:val="single" w:sz="4" w:space="0" w:color="auto"/>
              <w:right w:val="nil"/>
            </w:tcBorders>
            <w:shd w:val="clear" w:color="auto" w:fill="auto"/>
            <w:noWrap/>
            <w:vAlign w:val="center"/>
          </w:tcPr>
          <w:p w:rsidR="00E1587C" w:rsidRPr="007A4471" w:rsidRDefault="00E1587C" w:rsidP="00F42761">
            <w:pPr>
              <w:pStyle w:val="cuatexto"/>
              <w:jc w:val="left"/>
              <w:rPr>
                <w:szCs w:val="20"/>
              </w:rPr>
            </w:pPr>
            <w:r w:rsidRPr="007A4471">
              <w:rPr>
                <w:szCs w:val="20"/>
              </w:rPr>
              <w:t>Dividendo flexible 2013</w:t>
            </w:r>
          </w:p>
        </w:tc>
        <w:tc>
          <w:tcPr>
            <w:tcW w:w="1329" w:type="dxa"/>
            <w:tcBorders>
              <w:top w:val="single" w:sz="2" w:space="0" w:color="auto"/>
              <w:left w:val="nil"/>
              <w:bottom w:val="single" w:sz="4" w:space="0" w:color="auto"/>
              <w:right w:val="nil"/>
            </w:tcBorders>
            <w:shd w:val="clear" w:color="auto" w:fill="auto"/>
            <w:noWrap/>
            <w:vAlign w:val="center"/>
          </w:tcPr>
          <w:p w:rsidR="00E1587C" w:rsidRPr="007A4471" w:rsidRDefault="00E1587C" w:rsidP="00E1587C">
            <w:pPr>
              <w:pStyle w:val="cuatexto"/>
              <w:jc w:val="right"/>
              <w:rPr>
                <w:szCs w:val="20"/>
              </w:rPr>
            </w:pPr>
            <w:r w:rsidRPr="007A4471">
              <w:rPr>
                <w:szCs w:val="20"/>
              </w:rPr>
              <w:t>03/07/2014</w:t>
            </w:r>
          </w:p>
        </w:tc>
        <w:tc>
          <w:tcPr>
            <w:tcW w:w="1113" w:type="dxa"/>
            <w:tcBorders>
              <w:top w:val="single" w:sz="2" w:space="0" w:color="auto"/>
              <w:left w:val="nil"/>
              <w:bottom w:val="single" w:sz="4" w:space="0" w:color="auto"/>
              <w:right w:val="nil"/>
            </w:tcBorders>
            <w:shd w:val="clear" w:color="auto" w:fill="auto"/>
            <w:noWrap/>
            <w:vAlign w:val="center"/>
          </w:tcPr>
          <w:p w:rsidR="00E1587C" w:rsidRPr="007A4471" w:rsidRDefault="00E1587C" w:rsidP="00E1587C">
            <w:pPr>
              <w:pStyle w:val="cuatexto"/>
              <w:jc w:val="right"/>
              <w:rPr>
                <w:szCs w:val="20"/>
              </w:rPr>
            </w:pPr>
            <w:r w:rsidRPr="007A4471">
              <w:rPr>
                <w:szCs w:val="20"/>
              </w:rPr>
              <w:t>1.644.426</w:t>
            </w:r>
          </w:p>
        </w:tc>
        <w:tc>
          <w:tcPr>
            <w:tcW w:w="1407" w:type="dxa"/>
            <w:tcBorders>
              <w:top w:val="single" w:sz="2" w:space="0" w:color="auto"/>
              <w:left w:val="nil"/>
              <w:bottom w:val="single" w:sz="4" w:space="0" w:color="auto"/>
              <w:right w:val="nil"/>
            </w:tcBorders>
            <w:shd w:val="clear" w:color="auto" w:fill="auto"/>
            <w:noWrap/>
            <w:vAlign w:val="center"/>
          </w:tcPr>
          <w:p w:rsidR="00E1587C" w:rsidRPr="007A4471" w:rsidRDefault="00E1587C" w:rsidP="00E1587C">
            <w:pPr>
              <w:pStyle w:val="cuatexto"/>
              <w:jc w:val="right"/>
              <w:rPr>
                <w:szCs w:val="20"/>
              </w:rPr>
            </w:pPr>
            <w:r w:rsidRPr="007A4471">
              <w:rPr>
                <w:szCs w:val="20"/>
              </w:rPr>
              <w:t>0,60</w:t>
            </w:r>
          </w:p>
        </w:tc>
        <w:tc>
          <w:tcPr>
            <w:tcW w:w="1904" w:type="dxa"/>
            <w:tcBorders>
              <w:top w:val="single" w:sz="2" w:space="0" w:color="auto"/>
              <w:left w:val="nil"/>
              <w:bottom w:val="single" w:sz="4" w:space="0" w:color="auto"/>
              <w:right w:val="nil"/>
            </w:tcBorders>
            <w:shd w:val="clear" w:color="auto" w:fill="auto"/>
            <w:noWrap/>
            <w:vAlign w:val="center"/>
          </w:tcPr>
          <w:p w:rsidR="00E1587C" w:rsidRPr="007A4471" w:rsidRDefault="00E1587C" w:rsidP="00E1587C">
            <w:pPr>
              <w:pStyle w:val="cuatexto"/>
              <w:jc w:val="right"/>
              <w:rPr>
                <w:szCs w:val="20"/>
              </w:rPr>
            </w:pPr>
            <w:r w:rsidRPr="007A4471">
              <w:rPr>
                <w:szCs w:val="20"/>
              </w:rPr>
              <w:t>1.654.293</w:t>
            </w:r>
          </w:p>
        </w:tc>
      </w:tr>
      <w:tr w:rsidR="00E1587C" w:rsidRPr="00E1587C" w:rsidTr="00E1587C">
        <w:trPr>
          <w:gridAfter w:val="1"/>
          <w:wAfter w:w="142" w:type="dxa"/>
          <w:trHeight w:val="312"/>
          <w:jc w:val="center"/>
        </w:trPr>
        <w:tc>
          <w:tcPr>
            <w:tcW w:w="5403" w:type="dxa"/>
            <w:gridSpan w:val="3"/>
            <w:tcBorders>
              <w:top w:val="single" w:sz="4" w:space="0" w:color="auto"/>
              <w:left w:val="nil"/>
              <w:bottom w:val="single" w:sz="4" w:space="0" w:color="auto"/>
              <w:right w:val="nil"/>
            </w:tcBorders>
            <w:shd w:val="clear" w:color="auto" w:fill="8DB3E2" w:themeFill="text2" w:themeFillTint="66"/>
            <w:noWrap/>
            <w:vAlign w:val="center"/>
          </w:tcPr>
          <w:p w:rsidR="00E1587C" w:rsidRPr="007A4471" w:rsidRDefault="00E1587C" w:rsidP="00E1587C">
            <w:pPr>
              <w:pStyle w:val="cuadroCabe"/>
              <w:jc w:val="left"/>
            </w:pPr>
            <w:r w:rsidRPr="007A4471">
              <w:t>Total dividendo neto capitalizado a 31 octubre 2014</w:t>
            </w:r>
          </w:p>
        </w:tc>
        <w:tc>
          <w:tcPr>
            <w:tcW w:w="1407" w:type="dxa"/>
            <w:tcBorders>
              <w:top w:val="single" w:sz="4" w:space="0" w:color="auto"/>
              <w:left w:val="nil"/>
              <w:bottom w:val="single" w:sz="4" w:space="0" w:color="auto"/>
              <w:right w:val="nil"/>
            </w:tcBorders>
            <w:shd w:val="clear" w:color="auto" w:fill="8DB3E2" w:themeFill="text2" w:themeFillTint="66"/>
            <w:noWrap/>
            <w:vAlign w:val="center"/>
          </w:tcPr>
          <w:p w:rsidR="00E1587C" w:rsidRPr="00E1587C" w:rsidRDefault="00E1587C" w:rsidP="00E1587C">
            <w:pPr>
              <w:pStyle w:val="cuadroCabe"/>
              <w:jc w:val="right"/>
            </w:pPr>
          </w:p>
        </w:tc>
        <w:tc>
          <w:tcPr>
            <w:tcW w:w="1904" w:type="dxa"/>
            <w:tcBorders>
              <w:top w:val="single" w:sz="4" w:space="0" w:color="auto"/>
              <w:left w:val="nil"/>
              <w:bottom w:val="single" w:sz="4" w:space="0" w:color="auto"/>
              <w:right w:val="nil"/>
            </w:tcBorders>
            <w:shd w:val="clear" w:color="auto" w:fill="8DB3E2" w:themeFill="text2" w:themeFillTint="66"/>
            <w:noWrap/>
            <w:vAlign w:val="center"/>
          </w:tcPr>
          <w:p w:rsidR="00E1587C" w:rsidRPr="00E1587C" w:rsidRDefault="00E1587C" w:rsidP="00E1587C">
            <w:pPr>
              <w:pStyle w:val="cuadroCabe"/>
              <w:jc w:val="right"/>
            </w:pPr>
            <w:r w:rsidRPr="007A4471">
              <w:t>90.172.815</w:t>
            </w:r>
          </w:p>
        </w:tc>
      </w:tr>
    </w:tbl>
    <w:p w:rsidR="006944BB" w:rsidRDefault="006944BB" w:rsidP="006944BB">
      <w:pPr>
        <w:ind w:firstLine="0"/>
        <w:rPr>
          <w:rFonts w:ascii="Arial Narrow" w:hAnsi="Arial Narrow" w:cs="Arial"/>
          <w:sz w:val="18"/>
          <w:szCs w:val="18"/>
        </w:rPr>
      </w:pPr>
    </w:p>
    <w:p w:rsidR="00D37FFC" w:rsidRDefault="00D37FFC" w:rsidP="006944BB">
      <w:pPr>
        <w:pStyle w:val="texto"/>
        <w:tabs>
          <w:tab w:val="clear" w:pos="2835"/>
          <w:tab w:val="clear" w:pos="3969"/>
          <w:tab w:val="clear" w:pos="5103"/>
          <w:tab w:val="clear" w:pos="6237"/>
          <w:tab w:val="clear" w:pos="7371"/>
        </w:tabs>
        <w:spacing w:after="240"/>
        <w:ind w:firstLine="0"/>
        <w:rPr>
          <w:rFonts w:eastAsia="Calibri"/>
          <w:lang w:eastAsia="es-ES"/>
        </w:rPr>
      </w:pPr>
    </w:p>
    <w:p w:rsidR="00D37FFC" w:rsidRDefault="00D37FFC" w:rsidP="006944BB">
      <w:pPr>
        <w:pStyle w:val="texto"/>
        <w:tabs>
          <w:tab w:val="clear" w:pos="2835"/>
          <w:tab w:val="clear" w:pos="3969"/>
          <w:tab w:val="clear" w:pos="5103"/>
          <w:tab w:val="clear" w:pos="6237"/>
          <w:tab w:val="clear" w:pos="7371"/>
        </w:tabs>
        <w:spacing w:after="240"/>
        <w:ind w:firstLine="0"/>
        <w:rPr>
          <w:rFonts w:eastAsia="Calibri"/>
          <w:lang w:eastAsia="es-ES"/>
        </w:rPr>
      </w:pPr>
    </w:p>
    <w:p w:rsidR="00E96655" w:rsidRDefault="00E96655" w:rsidP="00E96655">
      <w:pPr>
        <w:spacing w:after="300"/>
        <w:ind w:left="567" w:firstLine="0"/>
        <w:jc w:val="center"/>
        <w:rPr>
          <w:sz w:val="8"/>
          <w:szCs w:val="8"/>
        </w:rPr>
      </w:pPr>
    </w:p>
    <w:p w:rsidR="00E96655" w:rsidRDefault="00E96655" w:rsidP="00E96655">
      <w:pPr>
        <w:spacing w:after="80"/>
        <w:ind w:left="567" w:firstLine="0"/>
        <w:jc w:val="center"/>
        <w:rPr>
          <w:sz w:val="8"/>
          <w:szCs w:val="8"/>
        </w:rPr>
      </w:pPr>
    </w:p>
    <w:p w:rsidR="006944BB" w:rsidRPr="00E96655" w:rsidRDefault="006944BB" w:rsidP="000E73CB">
      <w:pPr>
        <w:spacing w:after="300"/>
        <w:ind w:firstLine="0"/>
        <w:jc w:val="center"/>
        <w:rPr>
          <w:rFonts w:ascii="Arial" w:hAnsi="Arial" w:cs="Arial"/>
        </w:rPr>
      </w:pPr>
      <w:r w:rsidRPr="00E96655">
        <w:rPr>
          <w:rFonts w:ascii="Arial" w:hAnsi="Arial" w:cs="Arial"/>
        </w:rPr>
        <w:t xml:space="preserve">Retenciones sobre el dividendo recuperadas en el impuesto de sociedades, </w:t>
      </w:r>
      <w:r w:rsidR="00D41B5B">
        <w:rPr>
          <w:rFonts w:ascii="Arial" w:hAnsi="Arial" w:cs="Arial"/>
        </w:rPr>
        <w:t xml:space="preserve">                             </w:t>
      </w:r>
      <w:r w:rsidRPr="00E96655">
        <w:rPr>
          <w:rFonts w:ascii="Arial" w:hAnsi="Arial" w:cs="Arial"/>
        </w:rPr>
        <w:t>de</w:t>
      </w:r>
      <w:r w:rsidR="00BF55EA">
        <w:rPr>
          <w:rFonts w:ascii="Arial" w:hAnsi="Arial" w:cs="Arial"/>
        </w:rPr>
        <w:t>spués del 31 de octubre de 2014</w:t>
      </w:r>
    </w:p>
    <w:tbl>
      <w:tblPr>
        <w:tblW w:w="8818" w:type="dxa"/>
        <w:jc w:val="center"/>
        <w:tblLayout w:type="fixed"/>
        <w:tblCellMar>
          <w:left w:w="70" w:type="dxa"/>
          <w:right w:w="70" w:type="dxa"/>
        </w:tblCellMar>
        <w:tblLook w:val="04A0" w:firstRow="1" w:lastRow="0" w:firstColumn="1" w:lastColumn="0" w:noHBand="0" w:noVBand="1"/>
      </w:tblPr>
      <w:tblGrid>
        <w:gridCol w:w="3151"/>
        <w:gridCol w:w="1282"/>
        <w:gridCol w:w="1112"/>
        <w:gridCol w:w="1483"/>
        <w:gridCol w:w="1790"/>
      </w:tblGrid>
      <w:tr w:rsidR="006944BB" w:rsidRPr="000C7E08" w:rsidTr="00522161">
        <w:trPr>
          <w:trHeight w:val="757"/>
          <w:jc w:val="center"/>
        </w:trPr>
        <w:tc>
          <w:tcPr>
            <w:tcW w:w="3151"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D93647">
            <w:pPr>
              <w:pStyle w:val="cuadroCabe"/>
              <w:jc w:val="left"/>
            </w:pPr>
            <w:r w:rsidRPr="007A4471">
              <w:t>Concepto</w:t>
            </w:r>
          </w:p>
        </w:tc>
        <w:tc>
          <w:tcPr>
            <w:tcW w:w="1282"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D93647">
            <w:pPr>
              <w:pStyle w:val="cuadroCabe"/>
              <w:jc w:val="left"/>
            </w:pPr>
            <w:r w:rsidRPr="007A4471">
              <w:t>Fecha</w:t>
            </w:r>
          </w:p>
          <w:p w:rsidR="006944BB" w:rsidRPr="007A4471" w:rsidRDefault="006944BB" w:rsidP="00D93647">
            <w:pPr>
              <w:pStyle w:val="cuadroCabe"/>
              <w:jc w:val="left"/>
            </w:pPr>
            <w:r w:rsidRPr="007A4471">
              <w:t>cobro</w:t>
            </w:r>
          </w:p>
        </w:tc>
        <w:tc>
          <w:tcPr>
            <w:tcW w:w="1112"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D93647">
            <w:pPr>
              <w:pStyle w:val="cuadroCabe"/>
              <w:jc w:val="right"/>
            </w:pPr>
            <w:r w:rsidRPr="007A4471">
              <w:t xml:space="preserve">Dividendo </w:t>
            </w:r>
          </w:p>
        </w:tc>
        <w:tc>
          <w:tcPr>
            <w:tcW w:w="1483"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D93647">
            <w:pPr>
              <w:pStyle w:val="cuadroCabe"/>
              <w:jc w:val="right"/>
            </w:pPr>
            <w:r w:rsidRPr="007A4471">
              <w:t>Factor</w:t>
            </w:r>
          </w:p>
          <w:p w:rsidR="006944BB" w:rsidRDefault="00522161" w:rsidP="00D93647">
            <w:pPr>
              <w:pStyle w:val="cuadroCabe"/>
              <w:jc w:val="right"/>
            </w:pPr>
            <w:r w:rsidRPr="007A4471">
              <w:t>A</w:t>
            </w:r>
            <w:r w:rsidR="006944BB" w:rsidRPr="007A4471">
              <w:t>ctualización</w:t>
            </w:r>
          </w:p>
          <w:p w:rsidR="00522161" w:rsidRPr="007A4471" w:rsidRDefault="00522161" w:rsidP="00D93647">
            <w:pPr>
              <w:pStyle w:val="cuadroCabe"/>
              <w:jc w:val="right"/>
            </w:pPr>
            <w:r>
              <w:t>(1)</w:t>
            </w:r>
          </w:p>
        </w:tc>
        <w:tc>
          <w:tcPr>
            <w:tcW w:w="1790"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D93647">
            <w:pPr>
              <w:pStyle w:val="cuadroCabe"/>
              <w:jc w:val="right"/>
            </w:pPr>
            <w:r w:rsidRPr="007A4471">
              <w:t>Dividendo recup</w:t>
            </w:r>
            <w:r w:rsidRPr="007A4471">
              <w:t>e</w:t>
            </w:r>
            <w:r w:rsidRPr="007A4471">
              <w:t>rado actualizado a 31/1</w:t>
            </w:r>
            <w:r w:rsidR="004C024C" w:rsidRPr="007A4471">
              <w:t>0</w:t>
            </w:r>
            <w:r w:rsidRPr="007A4471">
              <w:t>/2014</w:t>
            </w:r>
          </w:p>
        </w:tc>
      </w:tr>
      <w:tr w:rsidR="006944BB" w:rsidRPr="007A4471" w:rsidTr="00D93647">
        <w:trPr>
          <w:trHeight w:val="255"/>
          <w:jc w:val="center"/>
        </w:trPr>
        <w:tc>
          <w:tcPr>
            <w:tcW w:w="3151" w:type="dxa"/>
            <w:tcBorders>
              <w:top w:val="single" w:sz="4" w:space="0" w:color="auto"/>
              <w:left w:val="nil"/>
              <w:bottom w:val="single" w:sz="2" w:space="0" w:color="auto"/>
              <w:right w:val="nil"/>
            </w:tcBorders>
            <w:shd w:val="clear" w:color="auto" w:fill="auto"/>
            <w:noWrap/>
            <w:vAlign w:val="center"/>
          </w:tcPr>
          <w:p w:rsidR="006944BB" w:rsidRPr="007A4471" w:rsidRDefault="006944BB" w:rsidP="00D93647">
            <w:pPr>
              <w:pStyle w:val="cuatexto"/>
              <w:jc w:val="left"/>
              <w:rPr>
                <w:szCs w:val="20"/>
              </w:rPr>
            </w:pPr>
            <w:r w:rsidRPr="007A4471">
              <w:rPr>
                <w:szCs w:val="20"/>
              </w:rPr>
              <w:t>Retención sobre dividendo 2013</w:t>
            </w:r>
          </w:p>
        </w:tc>
        <w:tc>
          <w:tcPr>
            <w:tcW w:w="1282" w:type="dxa"/>
            <w:tcBorders>
              <w:top w:val="single" w:sz="4" w:space="0" w:color="auto"/>
              <w:left w:val="nil"/>
              <w:bottom w:val="single" w:sz="2" w:space="0" w:color="auto"/>
              <w:right w:val="nil"/>
            </w:tcBorders>
            <w:shd w:val="clear" w:color="auto" w:fill="auto"/>
            <w:noWrap/>
            <w:vAlign w:val="center"/>
          </w:tcPr>
          <w:p w:rsidR="006944BB" w:rsidRPr="007A4471" w:rsidRDefault="006944BB" w:rsidP="00D93647">
            <w:pPr>
              <w:pStyle w:val="cuatexto"/>
              <w:jc w:val="left"/>
              <w:rPr>
                <w:szCs w:val="20"/>
              </w:rPr>
            </w:pPr>
            <w:r w:rsidRPr="007A4471">
              <w:rPr>
                <w:szCs w:val="20"/>
              </w:rPr>
              <w:t>Febrero 2015</w:t>
            </w:r>
          </w:p>
        </w:tc>
        <w:tc>
          <w:tcPr>
            <w:tcW w:w="1112" w:type="dxa"/>
            <w:tcBorders>
              <w:top w:val="single" w:sz="4" w:space="0" w:color="auto"/>
              <w:left w:val="nil"/>
              <w:bottom w:val="single" w:sz="2" w:space="0" w:color="auto"/>
              <w:right w:val="nil"/>
            </w:tcBorders>
            <w:shd w:val="clear" w:color="auto" w:fill="auto"/>
            <w:noWrap/>
            <w:vAlign w:val="center"/>
          </w:tcPr>
          <w:p w:rsidR="006944BB" w:rsidRPr="007A4471" w:rsidRDefault="006944BB" w:rsidP="00D93647">
            <w:pPr>
              <w:pStyle w:val="cuatexto"/>
              <w:jc w:val="right"/>
              <w:rPr>
                <w:szCs w:val="20"/>
              </w:rPr>
            </w:pPr>
            <w:r w:rsidRPr="007A4471">
              <w:rPr>
                <w:szCs w:val="20"/>
              </w:rPr>
              <w:t>179.040</w:t>
            </w:r>
          </w:p>
        </w:tc>
        <w:tc>
          <w:tcPr>
            <w:tcW w:w="1483" w:type="dxa"/>
            <w:tcBorders>
              <w:top w:val="single" w:sz="4" w:space="0" w:color="auto"/>
              <w:left w:val="nil"/>
              <w:bottom w:val="single" w:sz="2" w:space="0" w:color="auto"/>
              <w:right w:val="nil"/>
            </w:tcBorders>
            <w:shd w:val="clear" w:color="auto" w:fill="auto"/>
            <w:noWrap/>
            <w:vAlign w:val="center"/>
          </w:tcPr>
          <w:p w:rsidR="006944BB" w:rsidRPr="007A4471" w:rsidRDefault="006944BB" w:rsidP="000B3F12">
            <w:pPr>
              <w:pStyle w:val="cuatexto"/>
              <w:jc w:val="right"/>
              <w:rPr>
                <w:szCs w:val="20"/>
              </w:rPr>
            </w:pPr>
            <w:r w:rsidRPr="007A4471">
              <w:rPr>
                <w:szCs w:val="20"/>
              </w:rPr>
              <w:t>-2,</w:t>
            </w:r>
            <w:r w:rsidR="000B3F12">
              <w:rPr>
                <w:szCs w:val="20"/>
              </w:rPr>
              <w:t>5</w:t>
            </w:r>
          </w:p>
        </w:tc>
        <w:tc>
          <w:tcPr>
            <w:tcW w:w="1790" w:type="dxa"/>
            <w:tcBorders>
              <w:top w:val="single" w:sz="4" w:space="0" w:color="auto"/>
              <w:left w:val="nil"/>
              <w:bottom w:val="single" w:sz="2" w:space="0" w:color="auto"/>
              <w:right w:val="nil"/>
            </w:tcBorders>
            <w:shd w:val="clear" w:color="auto" w:fill="auto"/>
            <w:noWrap/>
            <w:vAlign w:val="center"/>
          </w:tcPr>
          <w:p w:rsidR="006944BB" w:rsidRPr="007A4471" w:rsidRDefault="000B3F12" w:rsidP="00D93647">
            <w:pPr>
              <w:pStyle w:val="cuatexto"/>
              <w:jc w:val="right"/>
              <w:rPr>
                <w:szCs w:val="20"/>
              </w:rPr>
            </w:pPr>
            <w:r>
              <w:rPr>
                <w:szCs w:val="20"/>
              </w:rPr>
              <w:t>183.631</w:t>
            </w:r>
          </w:p>
        </w:tc>
      </w:tr>
      <w:tr w:rsidR="006944BB" w:rsidRPr="007A4471" w:rsidTr="00D93647">
        <w:trPr>
          <w:trHeight w:val="255"/>
          <w:jc w:val="center"/>
        </w:trPr>
        <w:tc>
          <w:tcPr>
            <w:tcW w:w="3151" w:type="dxa"/>
            <w:tcBorders>
              <w:top w:val="single" w:sz="2" w:space="0" w:color="auto"/>
              <w:left w:val="nil"/>
              <w:bottom w:val="single" w:sz="2" w:space="0" w:color="auto"/>
              <w:right w:val="nil"/>
            </w:tcBorders>
            <w:shd w:val="clear" w:color="auto" w:fill="auto"/>
            <w:noWrap/>
            <w:vAlign w:val="center"/>
          </w:tcPr>
          <w:p w:rsidR="006944BB" w:rsidRPr="007A4471" w:rsidRDefault="006944BB" w:rsidP="00D93647">
            <w:pPr>
              <w:pStyle w:val="cuatexto"/>
              <w:jc w:val="left"/>
              <w:rPr>
                <w:szCs w:val="20"/>
              </w:rPr>
            </w:pPr>
            <w:r w:rsidRPr="007A4471">
              <w:rPr>
                <w:szCs w:val="20"/>
              </w:rPr>
              <w:t>Retención sobre dividendo 2013</w:t>
            </w:r>
          </w:p>
        </w:tc>
        <w:tc>
          <w:tcPr>
            <w:tcW w:w="1282" w:type="dxa"/>
            <w:tcBorders>
              <w:top w:val="single" w:sz="2" w:space="0" w:color="auto"/>
              <w:left w:val="nil"/>
              <w:bottom w:val="single" w:sz="2" w:space="0" w:color="auto"/>
              <w:right w:val="nil"/>
            </w:tcBorders>
            <w:shd w:val="clear" w:color="auto" w:fill="auto"/>
            <w:noWrap/>
            <w:vAlign w:val="center"/>
          </w:tcPr>
          <w:p w:rsidR="006944BB" w:rsidRPr="007A4471" w:rsidRDefault="006944BB" w:rsidP="00D93647">
            <w:pPr>
              <w:pStyle w:val="cuatexto"/>
              <w:jc w:val="left"/>
              <w:rPr>
                <w:szCs w:val="20"/>
              </w:rPr>
            </w:pPr>
            <w:r w:rsidRPr="007A4471">
              <w:rPr>
                <w:szCs w:val="20"/>
              </w:rPr>
              <w:t>Marzo 2015</w:t>
            </w:r>
          </w:p>
        </w:tc>
        <w:tc>
          <w:tcPr>
            <w:tcW w:w="1112" w:type="dxa"/>
            <w:tcBorders>
              <w:top w:val="single" w:sz="2" w:space="0" w:color="auto"/>
              <w:left w:val="nil"/>
              <w:bottom w:val="single" w:sz="2" w:space="0" w:color="auto"/>
              <w:right w:val="nil"/>
            </w:tcBorders>
            <w:shd w:val="clear" w:color="auto" w:fill="auto"/>
            <w:noWrap/>
            <w:vAlign w:val="center"/>
          </w:tcPr>
          <w:p w:rsidR="006944BB" w:rsidRPr="007A4471" w:rsidRDefault="006944BB" w:rsidP="00D93647">
            <w:pPr>
              <w:pStyle w:val="cuatexto"/>
              <w:jc w:val="right"/>
              <w:rPr>
                <w:szCs w:val="20"/>
              </w:rPr>
            </w:pPr>
            <w:r w:rsidRPr="007A4471">
              <w:rPr>
                <w:szCs w:val="20"/>
              </w:rPr>
              <w:t>8.771</w:t>
            </w:r>
          </w:p>
        </w:tc>
        <w:tc>
          <w:tcPr>
            <w:tcW w:w="1483" w:type="dxa"/>
            <w:tcBorders>
              <w:top w:val="single" w:sz="2" w:space="0" w:color="auto"/>
              <w:left w:val="nil"/>
              <w:bottom w:val="single" w:sz="2" w:space="0" w:color="auto"/>
              <w:right w:val="nil"/>
            </w:tcBorders>
            <w:shd w:val="clear" w:color="auto" w:fill="auto"/>
            <w:noWrap/>
            <w:vAlign w:val="center"/>
          </w:tcPr>
          <w:p w:rsidR="006944BB" w:rsidRPr="007A4471" w:rsidRDefault="006944BB" w:rsidP="000B3F12">
            <w:pPr>
              <w:pStyle w:val="cuatexto"/>
              <w:jc w:val="right"/>
              <w:rPr>
                <w:szCs w:val="20"/>
              </w:rPr>
            </w:pPr>
            <w:r w:rsidRPr="007A4471">
              <w:rPr>
                <w:szCs w:val="20"/>
              </w:rPr>
              <w:t>-1,</w:t>
            </w:r>
            <w:r w:rsidR="000B3F12">
              <w:rPr>
                <w:szCs w:val="20"/>
              </w:rPr>
              <w:t>7</w:t>
            </w:r>
          </w:p>
        </w:tc>
        <w:tc>
          <w:tcPr>
            <w:tcW w:w="1790" w:type="dxa"/>
            <w:tcBorders>
              <w:top w:val="single" w:sz="2" w:space="0" w:color="auto"/>
              <w:left w:val="nil"/>
              <w:bottom w:val="single" w:sz="2" w:space="0" w:color="auto"/>
              <w:right w:val="nil"/>
            </w:tcBorders>
            <w:shd w:val="clear" w:color="auto" w:fill="auto"/>
            <w:noWrap/>
            <w:vAlign w:val="center"/>
          </w:tcPr>
          <w:p w:rsidR="006944BB" w:rsidRPr="007A4471" w:rsidRDefault="000B3F12" w:rsidP="00D93647">
            <w:pPr>
              <w:pStyle w:val="cuatexto"/>
              <w:jc w:val="right"/>
              <w:rPr>
                <w:szCs w:val="20"/>
              </w:rPr>
            </w:pPr>
            <w:r>
              <w:rPr>
                <w:szCs w:val="20"/>
              </w:rPr>
              <w:t>8.896</w:t>
            </w:r>
          </w:p>
        </w:tc>
      </w:tr>
      <w:tr w:rsidR="006944BB" w:rsidRPr="007A4471" w:rsidTr="00D93647">
        <w:trPr>
          <w:trHeight w:val="255"/>
          <w:jc w:val="center"/>
        </w:trPr>
        <w:tc>
          <w:tcPr>
            <w:tcW w:w="3151" w:type="dxa"/>
            <w:tcBorders>
              <w:top w:val="single" w:sz="2" w:space="0" w:color="auto"/>
              <w:left w:val="nil"/>
              <w:bottom w:val="single" w:sz="4" w:space="0" w:color="auto"/>
              <w:right w:val="nil"/>
            </w:tcBorders>
            <w:shd w:val="clear" w:color="auto" w:fill="auto"/>
            <w:noWrap/>
            <w:vAlign w:val="center"/>
          </w:tcPr>
          <w:p w:rsidR="006944BB" w:rsidRPr="007A4471" w:rsidRDefault="006944BB" w:rsidP="00D93647">
            <w:pPr>
              <w:pStyle w:val="cuatexto"/>
              <w:jc w:val="left"/>
              <w:rPr>
                <w:szCs w:val="20"/>
              </w:rPr>
            </w:pPr>
            <w:r w:rsidRPr="007A4471">
              <w:rPr>
                <w:szCs w:val="20"/>
              </w:rPr>
              <w:t>Retención sobre dividendo 2014</w:t>
            </w:r>
          </w:p>
        </w:tc>
        <w:tc>
          <w:tcPr>
            <w:tcW w:w="1282" w:type="dxa"/>
            <w:tcBorders>
              <w:top w:val="single" w:sz="2" w:space="0" w:color="auto"/>
              <w:left w:val="nil"/>
              <w:bottom w:val="single" w:sz="4" w:space="0" w:color="auto"/>
              <w:right w:val="nil"/>
            </w:tcBorders>
            <w:shd w:val="clear" w:color="auto" w:fill="auto"/>
            <w:noWrap/>
            <w:vAlign w:val="center"/>
          </w:tcPr>
          <w:p w:rsidR="006944BB" w:rsidRPr="007A4471" w:rsidRDefault="006944BB" w:rsidP="00333C10">
            <w:pPr>
              <w:pStyle w:val="cuatexto"/>
              <w:jc w:val="left"/>
              <w:rPr>
                <w:szCs w:val="20"/>
              </w:rPr>
            </w:pPr>
            <w:r w:rsidRPr="007A4471">
              <w:rPr>
                <w:szCs w:val="20"/>
              </w:rPr>
              <w:t>Enero 2016(</w:t>
            </w:r>
            <w:r w:rsidR="00333C10">
              <w:rPr>
                <w:szCs w:val="20"/>
              </w:rPr>
              <w:t>2</w:t>
            </w:r>
            <w:r w:rsidRPr="007A4471">
              <w:rPr>
                <w:szCs w:val="20"/>
              </w:rPr>
              <w:t>)</w:t>
            </w:r>
          </w:p>
        </w:tc>
        <w:tc>
          <w:tcPr>
            <w:tcW w:w="1112" w:type="dxa"/>
            <w:tcBorders>
              <w:top w:val="single" w:sz="2" w:space="0" w:color="auto"/>
              <w:left w:val="nil"/>
              <w:bottom w:val="single" w:sz="4" w:space="0" w:color="auto"/>
              <w:right w:val="nil"/>
            </w:tcBorders>
            <w:shd w:val="clear" w:color="auto" w:fill="auto"/>
            <w:noWrap/>
            <w:vAlign w:val="center"/>
          </w:tcPr>
          <w:p w:rsidR="006944BB" w:rsidRPr="007A4471" w:rsidRDefault="006944BB" w:rsidP="00D93647">
            <w:pPr>
              <w:pStyle w:val="cuatexto"/>
              <w:jc w:val="right"/>
              <w:rPr>
                <w:szCs w:val="20"/>
              </w:rPr>
            </w:pPr>
            <w:r w:rsidRPr="007A4471">
              <w:rPr>
                <w:szCs w:val="20"/>
              </w:rPr>
              <w:t>110.782</w:t>
            </w:r>
          </w:p>
        </w:tc>
        <w:tc>
          <w:tcPr>
            <w:tcW w:w="1483" w:type="dxa"/>
            <w:tcBorders>
              <w:top w:val="single" w:sz="2" w:space="0" w:color="auto"/>
              <w:left w:val="nil"/>
              <w:bottom w:val="single" w:sz="4" w:space="0" w:color="auto"/>
              <w:right w:val="nil"/>
            </w:tcBorders>
            <w:shd w:val="clear" w:color="auto" w:fill="auto"/>
            <w:noWrap/>
            <w:vAlign w:val="center"/>
          </w:tcPr>
          <w:p w:rsidR="006944BB" w:rsidRPr="007A4471" w:rsidRDefault="000B3F12" w:rsidP="00D93647">
            <w:pPr>
              <w:pStyle w:val="cuatexto"/>
              <w:jc w:val="right"/>
              <w:rPr>
                <w:szCs w:val="20"/>
              </w:rPr>
            </w:pPr>
            <w:r>
              <w:rPr>
                <w:szCs w:val="20"/>
              </w:rPr>
              <w:t>-0,5</w:t>
            </w:r>
          </w:p>
        </w:tc>
        <w:tc>
          <w:tcPr>
            <w:tcW w:w="1790" w:type="dxa"/>
            <w:tcBorders>
              <w:top w:val="single" w:sz="2" w:space="0" w:color="auto"/>
              <w:left w:val="nil"/>
              <w:bottom w:val="single" w:sz="4" w:space="0" w:color="auto"/>
              <w:right w:val="nil"/>
            </w:tcBorders>
            <w:shd w:val="clear" w:color="auto" w:fill="auto"/>
            <w:noWrap/>
            <w:vAlign w:val="center"/>
          </w:tcPr>
          <w:p w:rsidR="006944BB" w:rsidRPr="007A4471" w:rsidRDefault="000B3F12" w:rsidP="00D93647">
            <w:pPr>
              <w:pStyle w:val="cuatexto"/>
              <w:jc w:val="right"/>
              <w:rPr>
                <w:szCs w:val="20"/>
              </w:rPr>
            </w:pPr>
            <w:r>
              <w:rPr>
                <w:szCs w:val="20"/>
              </w:rPr>
              <w:t>111.901</w:t>
            </w:r>
          </w:p>
        </w:tc>
      </w:tr>
      <w:tr w:rsidR="006944BB" w:rsidRPr="00E1362D" w:rsidTr="00D93647">
        <w:trPr>
          <w:trHeight w:val="300"/>
          <w:jc w:val="center"/>
        </w:trPr>
        <w:tc>
          <w:tcPr>
            <w:tcW w:w="5545" w:type="dxa"/>
            <w:gridSpan w:val="3"/>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D93647">
            <w:pPr>
              <w:pStyle w:val="cuadroCabe"/>
              <w:jc w:val="left"/>
            </w:pPr>
            <w:r w:rsidRPr="007A4471">
              <w:t>Total  dividendo actualizado a 31 octubre 2014</w:t>
            </w:r>
          </w:p>
        </w:tc>
        <w:tc>
          <w:tcPr>
            <w:tcW w:w="1483"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D93647">
            <w:pPr>
              <w:pStyle w:val="cuadroCabe"/>
              <w:jc w:val="right"/>
            </w:pPr>
          </w:p>
        </w:tc>
        <w:tc>
          <w:tcPr>
            <w:tcW w:w="1790"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0B3F12" w:rsidP="000B3F12">
            <w:pPr>
              <w:pStyle w:val="cuadroCabe"/>
              <w:jc w:val="right"/>
            </w:pPr>
            <w:r>
              <w:fldChar w:fldCharType="begin"/>
            </w:r>
            <w:r>
              <w:instrText xml:space="preserve"> =SUM(ABOVE) </w:instrText>
            </w:r>
            <w:r>
              <w:fldChar w:fldCharType="separate"/>
            </w:r>
            <w:r>
              <w:rPr>
                <w:noProof/>
              </w:rPr>
              <w:t>304.427</w:t>
            </w:r>
            <w:r>
              <w:fldChar w:fldCharType="end"/>
            </w:r>
          </w:p>
        </w:tc>
      </w:tr>
    </w:tbl>
    <w:p w:rsidR="009F2665" w:rsidRPr="00567EA7" w:rsidRDefault="009F2665" w:rsidP="00567EA7">
      <w:pPr>
        <w:pStyle w:val="texto"/>
        <w:tabs>
          <w:tab w:val="clear" w:pos="2835"/>
          <w:tab w:val="clear" w:pos="3969"/>
          <w:tab w:val="clear" w:pos="5103"/>
          <w:tab w:val="clear" w:pos="6237"/>
          <w:tab w:val="clear" w:pos="7371"/>
        </w:tabs>
        <w:spacing w:before="160" w:after="120"/>
        <w:ind w:firstLine="0"/>
        <w:rPr>
          <w:rFonts w:ascii="Arial Narrow" w:eastAsia="Calibri" w:hAnsi="Arial Narrow"/>
          <w:sz w:val="19"/>
          <w:szCs w:val="19"/>
          <w:lang w:eastAsia="es-ES"/>
        </w:rPr>
      </w:pPr>
      <w:r w:rsidRPr="00567EA7">
        <w:rPr>
          <w:rFonts w:ascii="Arial Narrow" w:eastAsia="Calibri" w:hAnsi="Arial Narrow"/>
          <w:sz w:val="19"/>
          <w:szCs w:val="19"/>
          <w:lang w:eastAsia="es-ES"/>
        </w:rPr>
        <w:t>(1) IPC</w:t>
      </w:r>
      <w:r w:rsidR="00522161">
        <w:rPr>
          <w:rFonts w:ascii="Arial Narrow" w:eastAsia="Calibri" w:hAnsi="Arial Narrow"/>
          <w:sz w:val="19"/>
          <w:szCs w:val="19"/>
          <w:lang w:eastAsia="es-ES"/>
        </w:rPr>
        <w:t xml:space="preserve"> de Navarra</w:t>
      </w:r>
      <w:r w:rsidRPr="00567EA7">
        <w:rPr>
          <w:rFonts w:ascii="Arial Narrow" w:eastAsia="Calibri" w:hAnsi="Arial Narrow"/>
          <w:sz w:val="19"/>
          <w:szCs w:val="19"/>
          <w:lang w:eastAsia="es-ES"/>
        </w:rPr>
        <w:t xml:space="preserve"> acumulado desde </w:t>
      </w:r>
      <w:r w:rsidR="000B3F12" w:rsidRPr="00567EA7">
        <w:rPr>
          <w:rFonts w:ascii="Arial Narrow" w:eastAsia="Calibri" w:hAnsi="Arial Narrow"/>
          <w:sz w:val="19"/>
          <w:szCs w:val="19"/>
          <w:lang w:eastAsia="es-ES"/>
        </w:rPr>
        <w:t xml:space="preserve">noviembre </w:t>
      </w:r>
      <w:r w:rsidR="00333C10" w:rsidRPr="00567EA7">
        <w:rPr>
          <w:rFonts w:ascii="Arial Narrow" w:eastAsia="Calibri" w:hAnsi="Arial Narrow"/>
          <w:sz w:val="19"/>
          <w:szCs w:val="19"/>
          <w:lang w:eastAsia="es-ES"/>
        </w:rPr>
        <w:t>de 2014 hasta la fecha de cobro</w:t>
      </w:r>
    </w:p>
    <w:p w:rsidR="00567EA7" w:rsidRDefault="00D93647" w:rsidP="00567EA7">
      <w:pPr>
        <w:pStyle w:val="texto"/>
        <w:tabs>
          <w:tab w:val="clear" w:pos="2835"/>
          <w:tab w:val="clear" w:pos="3969"/>
          <w:tab w:val="clear" w:pos="5103"/>
          <w:tab w:val="clear" w:pos="6237"/>
          <w:tab w:val="clear" w:pos="7371"/>
        </w:tabs>
        <w:spacing w:before="160" w:after="0"/>
        <w:ind w:left="-40" w:firstLine="0"/>
        <w:rPr>
          <w:rFonts w:ascii="Arial Narrow" w:eastAsia="Calibri" w:hAnsi="Arial Narrow"/>
          <w:sz w:val="19"/>
          <w:szCs w:val="19"/>
          <w:lang w:eastAsia="es-ES"/>
        </w:rPr>
      </w:pPr>
      <w:r w:rsidRPr="00567EA7">
        <w:rPr>
          <w:rFonts w:ascii="Arial Narrow" w:eastAsia="Calibri" w:hAnsi="Arial Narrow"/>
          <w:sz w:val="19"/>
          <w:szCs w:val="19"/>
          <w:lang w:eastAsia="es-ES"/>
        </w:rPr>
        <w:t xml:space="preserve"> (</w:t>
      </w:r>
      <w:r w:rsidR="00333C10" w:rsidRPr="00567EA7">
        <w:rPr>
          <w:rFonts w:ascii="Arial Narrow" w:eastAsia="Calibri" w:hAnsi="Arial Narrow"/>
          <w:sz w:val="19"/>
          <w:szCs w:val="19"/>
          <w:lang w:eastAsia="es-ES"/>
        </w:rPr>
        <w:t>2</w:t>
      </w:r>
      <w:r w:rsidRPr="00567EA7">
        <w:rPr>
          <w:rFonts w:ascii="Arial Narrow" w:eastAsia="Calibri" w:hAnsi="Arial Narrow"/>
          <w:sz w:val="19"/>
          <w:szCs w:val="19"/>
          <w:lang w:eastAsia="es-ES"/>
        </w:rPr>
        <w:t xml:space="preserve">) </w:t>
      </w:r>
      <w:r w:rsidR="006944BB" w:rsidRPr="00567EA7">
        <w:rPr>
          <w:rFonts w:ascii="Arial Narrow" w:eastAsia="Calibri" w:hAnsi="Arial Narrow"/>
          <w:sz w:val="19"/>
          <w:szCs w:val="19"/>
          <w:lang w:eastAsia="es-ES"/>
        </w:rPr>
        <w:t xml:space="preserve">Aunque el dividendo se recuperará en enero de 2016, hemos considerado que se cobra </w:t>
      </w:r>
      <w:r w:rsidR="000B3F12" w:rsidRPr="00567EA7">
        <w:rPr>
          <w:rFonts w:ascii="Arial Narrow" w:eastAsia="Calibri" w:hAnsi="Arial Narrow"/>
          <w:sz w:val="19"/>
          <w:szCs w:val="19"/>
          <w:lang w:eastAsia="es-ES"/>
        </w:rPr>
        <w:t>en noviembre</w:t>
      </w:r>
      <w:r w:rsidR="006944BB" w:rsidRPr="00567EA7">
        <w:rPr>
          <w:rFonts w:ascii="Arial Narrow" w:eastAsia="Calibri" w:hAnsi="Arial Narrow"/>
          <w:sz w:val="19"/>
          <w:szCs w:val="19"/>
          <w:lang w:eastAsia="es-ES"/>
        </w:rPr>
        <w:t xml:space="preserve"> de 2015, </w:t>
      </w:r>
    </w:p>
    <w:p w:rsidR="006944BB" w:rsidRPr="00567EA7" w:rsidRDefault="00567EA7" w:rsidP="00567EA7">
      <w:pPr>
        <w:pStyle w:val="texto"/>
        <w:tabs>
          <w:tab w:val="clear" w:pos="2835"/>
          <w:tab w:val="clear" w:pos="3969"/>
          <w:tab w:val="clear" w:pos="5103"/>
          <w:tab w:val="clear" w:pos="6237"/>
          <w:tab w:val="clear" w:pos="7371"/>
        </w:tabs>
        <w:spacing w:after="120"/>
        <w:ind w:left="-40" w:firstLine="0"/>
        <w:rPr>
          <w:rFonts w:ascii="Arial Narrow" w:eastAsia="Calibri" w:hAnsi="Arial Narrow"/>
          <w:sz w:val="19"/>
          <w:szCs w:val="19"/>
          <w:lang w:eastAsia="es-ES"/>
        </w:rPr>
      </w:pPr>
      <w:r>
        <w:rPr>
          <w:rFonts w:ascii="Arial Narrow" w:eastAsia="Calibri" w:hAnsi="Arial Narrow"/>
          <w:sz w:val="19"/>
          <w:szCs w:val="19"/>
          <w:lang w:eastAsia="es-ES"/>
        </w:rPr>
        <w:t xml:space="preserve">     </w:t>
      </w:r>
      <w:proofErr w:type="gramStart"/>
      <w:r w:rsidR="006944BB" w:rsidRPr="00567EA7">
        <w:rPr>
          <w:rFonts w:ascii="Arial Narrow" w:eastAsia="Calibri" w:hAnsi="Arial Narrow"/>
          <w:sz w:val="19"/>
          <w:szCs w:val="19"/>
          <w:lang w:eastAsia="es-ES"/>
        </w:rPr>
        <w:t>último</w:t>
      </w:r>
      <w:proofErr w:type="gramEnd"/>
      <w:r w:rsidR="006944BB" w:rsidRPr="00567EA7">
        <w:rPr>
          <w:rFonts w:ascii="Arial Narrow" w:eastAsia="Calibri" w:hAnsi="Arial Narrow"/>
          <w:sz w:val="19"/>
          <w:szCs w:val="19"/>
          <w:lang w:eastAsia="es-ES"/>
        </w:rPr>
        <w:t xml:space="preserve"> mes del que disponemos de datos sobre la evolución del IPC.</w:t>
      </w:r>
    </w:p>
    <w:p w:rsidR="006944BB" w:rsidRPr="00F43938" w:rsidRDefault="006944BB" w:rsidP="00E96655">
      <w:pPr>
        <w:pStyle w:val="atitulo2"/>
        <w:spacing w:before="240" w:after="400"/>
      </w:pPr>
      <w:r>
        <w:rPr>
          <w:rFonts w:ascii="Times New Roman" w:eastAsia="Calibri" w:hAnsi="Times New Roman"/>
          <w:bCs w:val="0"/>
          <w:iCs w:val="0"/>
          <w:color w:val="auto"/>
          <w:spacing w:val="6"/>
          <w:kern w:val="0"/>
          <w:sz w:val="22"/>
          <w:szCs w:val="22"/>
          <w:lang w:eastAsia="es-ES"/>
        </w:rPr>
        <w:br w:type="page"/>
      </w:r>
      <w:bookmarkStart w:id="26" w:name="_Toc441141970"/>
      <w:r w:rsidRPr="00F43938">
        <w:lastRenderedPageBreak/>
        <w:t>Anexo 2: Gastos</w:t>
      </w:r>
      <w:bookmarkEnd w:id="26"/>
      <w:r w:rsidRPr="00F43938">
        <w:t xml:space="preserve"> </w:t>
      </w:r>
    </w:p>
    <w:p w:rsidR="006944BB" w:rsidRPr="00E96655" w:rsidRDefault="006944BB" w:rsidP="00E96655">
      <w:pPr>
        <w:spacing w:after="300"/>
        <w:ind w:left="567" w:firstLine="0"/>
        <w:jc w:val="center"/>
        <w:rPr>
          <w:rFonts w:ascii="Arial" w:hAnsi="Arial" w:cs="Arial"/>
        </w:rPr>
      </w:pPr>
      <w:r w:rsidRPr="00E96655">
        <w:rPr>
          <w:rFonts w:ascii="Arial" w:hAnsi="Arial" w:cs="Arial"/>
        </w:rPr>
        <w:t xml:space="preserve">Adquisición de acciones </w:t>
      </w:r>
    </w:p>
    <w:tbl>
      <w:tblPr>
        <w:tblW w:w="8834" w:type="dxa"/>
        <w:jc w:val="center"/>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559"/>
        <w:gridCol w:w="1327"/>
        <w:gridCol w:w="1309"/>
        <w:gridCol w:w="1539"/>
        <w:gridCol w:w="2100"/>
      </w:tblGrid>
      <w:tr w:rsidR="006944BB" w:rsidRPr="000C7E08" w:rsidTr="00F42761">
        <w:trPr>
          <w:trHeight w:val="300"/>
          <w:jc w:val="center"/>
        </w:trPr>
        <w:tc>
          <w:tcPr>
            <w:tcW w:w="2559" w:type="dxa"/>
            <w:shd w:val="clear" w:color="auto" w:fill="8DB3E2" w:themeFill="text2" w:themeFillTint="66"/>
            <w:vAlign w:val="center"/>
          </w:tcPr>
          <w:p w:rsidR="006944BB" w:rsidRPr="007A4471" w:rsidRDefault="006944BB" w:rsidP="00F42761">
            <w:pPr>
              <w:pStyle w:val="cuadroCabe"/>
              <w:jc w:val="left"/>
            </w:pPr>
            <w:r w:rsidRPr="007A4471">
              <w:t>Concepto</w:t>
            </w:r>
          </w:p>
        </w:tc>
        <w:tc>
          <w:tcPr>
            <w:tcW w:w="1327" w:type="dxa"/>
            <w:shd w:val="clear" w:color="auto" w:fill="8DB3E2" w:themeFill="text2" w:themeFillTint="66"/>
            <w:noWrap/>
            <w:vAlign w:val="center"/>
          </w:tcPr>
          <w:p w:rsidR="006944BB" w:rsidRPr="007A4471" w:rsidRDefault="006944BB" w:rsidP="00F42761">
            <w:pPr>
              <w:pStyle w:val="cuadroCabe"/>
              <w:jc w:val="right"/>
            </w:pPr>
            <w:r w:rsidRPr="007A4471">
              <w:t xml:space="preserve">Fecha </w:t>
            </w:r>
          </w:p>
        </w:tc>
        <w:tc>
          <w:tcPr>
            <w:tcW w:w="1309" w:type="dxa"/>
            <w:shd w:val="clear" w:color="auto" w:fill="8DB3E2" w:themeFill="text2" w:themeFillTint="66"/>
            <w:noWrap/>
            <w:vAlign w:val="center"/>
          </w:tcPr>
          <w:p w:rsidR="006944BB" w:rsidRPr="007A4471" w:rsidRDefault="006944BB" w:rsidP="00F42761">
            <w:pPr>
              <w:pStyle w:val="cuadroCabe"/>
              <w:jc w:val="right"/>
            </w:pPr>
            <w:r w:rsidRPr="007A4471">
              <w:t>Importe</w:t>
            </w:r>
          </w:p>
        </w:tc>
        <w:tc>
          <w:tcPr>
            <w:tcW w:w="1539" w:type="dxa"/>
            <w:shd w:val="clear" w:color="auto" w:fill="8DB3E2" w:themeFill="text2" w:themeFillTint="66"/>
            <w:noWrap/>
            <w:vAlign w:val="center"/>
          </w:tcPr>
          <w:p w:rsidR="006944BB" w:rsidRPr="007A4471" w:rsidRDefault="006944BB" w:rsidP="00F42761">
            <w:pPr>
              <w:pStyle w:val="cuadroCabe"/>
              <w:jc w:val="right"/>
            </w:pPr>
            <w:r w:rsidRPr="007A4471">
              <w:t>Factor</w:t>
            </w:r>
          </w:p>
          <w:p w:rsidR="006944BB" w:rsidRPr="007A4471" w:rsidRDefault="006944BB" w:rsidP="00F42761">
            <w:pPr>
              <w:pStyle w:val="cuadroCabe"/>
              <w:jc w:val="right"/>
            </w:pPr>
            <w:r w:rsidRPr="007A4471">
              <w:t xml:space="preserve"> capitalización</w:t>
            </w:r>
          </w:p>
        </w:tc>
        <w:tc>
          <w:tcPr>
            <w:tcW w:w="2100" w:type="dxa"/>
            <w:shd w:val="clear" w:color="auto" w:fill="8DB3E2" w:themeFill="text2" w:themeFillTint="66"/>
            <w:noWrap/>
            <w:vAlign w:val="center"/>
          </w:tcPr>
          <w:p w:rsidR="00F42761" w:rsidRDefault="006944BB" w:rsidP="00F42761">
            <w:pPr>
              <w:pStyle w:val="cuadroCabe"/>
              <w:jc w:val="right"/>
            </w:pPr>
            <w:r w:rsidRPr="007A4471">
              <w:t>Importe</w:t>
            </w:r>
            <w:r w:rsidR="00F42761">
              <w:t xml:space="preserve"> </w:t>
            </w:r>
            <w:r w:rsidRPr="007A4471">
              <w:t>capitalizado</w:t>
            </w:r>
          </w:p>
          <w:p w:rsidR="006944BB" w:rsidRPr="007A4471" w:rsidRDefault="006944BB" w:rsidP="00F42761">
            <w:pPr>
              <w:pStyle w:val="cuadroCabe"/>
              <w:jc w:val="right"/>
            </w:pPr>
            <w:r w:rsidRPr="007A4471">
              <w:t xml:space="preserve"> a 31/1</w:t>
            </w:r>
            <w:r w:rsidR="004C024C" w:rsidRPr="007A4471">
              <w:t>0</w:t>
            </w:r>
            <w:r w:rsidRPr="007A4471">
              <w:t>/2014</w:t>
            </w:r>
          </w:p>
        </w:tc>
      </w:tr>
      <w:tr w:rsidR="006944BB" w:rsidRPr="007A4471" w:rsidTr="00F42761">
        <w:trPr>
          <w:trHeight w:val="284"/>
          <w:jc w:val="center"/>
        </w:trPr>
        <w:tc>
          <w:tcPr>
            <w:tcW w:w="2559" w:type="dxa"/>
            <w:vAlign w:val="center"/>
          </w:tcPr>
          <w:p w:rsidR="006944BB" w:rsidRPr="007A4471" w:rsidRDefault="006944BB" w:rsidP="00F42761">
            <w:pPr>
              <w:pStyle w:val="cuatexto"/>
              <w:jc w:val="left"/>
              <w:rPr>
                <w:szCs w:val="20"/>
              </w:rPr>
            </w:pPr>
            <w:r w:rsidRPr="007A4471">
              <w:rPr>
                <w:szCs w:val="20"/>
              </w:rPr>
              <w:t>Compra</w:t>
            </w:r>
          </w:p>
        </w:tc>
        <w:tc>
          <w:tcPr>
            <w:tcW w:w="1327" w:type="dxa"/>
            <w:shd w:val="clear" w:color="auto" w:fill="auto"/>
            <w:noWrap/>
            <w:vAlign w:val="center"/>
          </w:tcPr>
          <w:p w:rsidR="006944BB" w:rsidRPr="007A4471" w:rsidRDefault="006944BB" w:rsidP="00F42761">
            <w:pPr>
              <w:pStyle w:val="cuatexto"/>
              <w:jc w:val="right"/>
              <w:rPr>
                <w:szCs w:val="20"/>
              </w:rPr>
            </w:pPr>
            <w:r w:rsidRPr="007A4471">
              <w:rPr>
                <w:szCs w:val="20"/>
              </w:rPr>
              <w:t>10/02/2005</w:t>
            </w:r>
          </w:p>
        </w:tc>
        <w:tc>
          <w:tcPr>
            <w:tcW w:w="1309" w:type="dxa"/>
            <w:shd w:val="clear" w:color="auto" w:fill="auto"/>
            <w:noWrap/>
            <w:vAlign w:val="center"/>
          </w:tcPr>
          <w:p w:rsidR="006944BB" w:rsidRPr="007A4471" w:rsidRDefault="006944BB" w:rsidP="00F42761">
            <w:pPr>
              <w:pStyle w:val="cuatexto"/>
              <w:jc w:val="right"/>
              <w:rPr>
                <w:szCs w:val="20"/>
              </w:rPr>
            </w:pPr>
            <w:r w:rsidRPr="007A4471">
              <w:rPr>
                <w:szCs w:val="20"/>
              </w:rPr>
              <w:t>173.556.238</w:t>
            </w:r>
          </w:p>
        </w:tc>
        <w:tc>
          <w:tcPr>
            <w:tcW w:w="1539" w:type="dxa"/>
            <w:shd w:val="clear" w:color="auto" w:fill="auto"/>
            <w:noWrap/>
            <w:vAlign w:val="center"/>
          </w:tcPr>
          <w:p w:rsidR="006944BB" w:rsidRPr="007A4471" w:rsidRDefault="006944BB" w:rsidP="00F42761">
            <w:pPr>
              <w:pStyle w:val="cuatexto"/>
              <w:jc w:val="right"/>
              <w:rPr>
                <w:szCs w:val="20"/>
              </w:rPr>
            </w:pPr>
            <w:r w:rsidRPr="007A4471">
              <w:rPr>
                <w:szCs w:val="20"/>
              </w:rPr>
              <w:t>20,8</w:t>
            </w:r>
          </w:p>
        </w:tc>
        <w:tc>
          <w:tcPr>
            <w:tcW w:w="2100" w:type="dxa"/>
            <w:shd w:val="clear" w:color="auto" w:fill="auto"/>
            <w:noWrap/>
            <w:vAlign w:val="center"/>
          </w:tcPr>
          <w:p w:rsidR="006944BB" w:rsidRPr="007A4471" w:rsidRDefault="006944BB" w:rsidP="00F42761">
            <w:pPr>
              <w:pStyle w:val="cuatexto"/>
              <w:jc w:val="right"/>
              <w:rPr>
                <w:szCs w:val="20"/>
              </w:rPr>
            </w:pPr>
            <w:r w:rsidRPr="007A4471">
              <w:rPr>
                <w:szCs w:val="20"/>
              </w:rPr>
              <w:t>209.655.935</w:t>
            </w:r>
          </w:p>
        </w:tc>
      </w:tr>
      <w:tr w:rsidR="006944BB" w:rsidRPr="0027754A" w:rsidTr="00F42761">
        <w:trPr>
          <w:trHeight w:val="300"/>
          <w:jc w:val="center"/>
        </w:trPr>
        <w:tc>
          <w:tcPr>
            <w:tcW w:w="2559" w:type="dxa"/>
            <w:shd w:val="clear" w:color="auto" w:fill="8DB3E2" w:themeFill="text2" w:themeFillTint="66"/>
            <w:vAlign w:val="center"/>
          </w:tcPr>
          <w:p w:rsidR="006944BB" w:rsidRPr="007A4471" w:rsidRDefault="006944BB" w:rsidP="00F42761">
            <w:pPr>
              <w:pStyle w:val="cuadroCabe"/>
              <w:jc w:val="left"/>
            </w:pPr>
            <w:r w:rsidRPr="007A4471">
              <w:t>Total compra capitalizada</w:t>
            </w:r>
          </w:p>
        </w:tc>
        <w:tc>
          <w:tcPr>
            <w:tcW w:w="1327" w:type="dxa"/>
            <w:shd w:val="clear" w:color="auto" w:fill="8DB3E2" w:themeFill="text2" w:themeFillTint="66"/>
            <w:noWrap/>
            <w:vAlign w:val="bottom"/>
          </w:tcPr>
          <w:p w:rsidR="006944BB" w:rsidRPr="007A4471" w:rsidRDefault="006944BB" w:rsidP="007A4471">
            <w:pPr>
              <w:pStyle w:val="cuadroCabe"/>
              <w:jc w:val="left"/>
            </w:pPr>
          </w:p>
        </w:tc>
        <w:tc>
          <w:tcPr>
            <w:tcW w:w="1309" w:type="dxa"/>
            <w:shd w:val="clear" w:color="auto" w:fill="8DB3E2" w:themeFill="text2" w:themeFillTint="66"/>
            <w:noWrap/>
            <w:vAlign w:val="bottom"/>
          </w:tcPr>
          <w:p w:rsidR="006944BB" w:rsidRPr="007A4471" w:rsidRDefault="006944BB" w:rsidP="007A4471">
            <w:pPr>
              <w:pStyle w:val="cuadroCabe"/>
              <w:jc w:val="left"/>
            </w:pPr>
          </w:p>
        </w:tc>
        <w:tc>
          <w:tcPr>
            <w:tcW w:w="1539" w:type="dxa"/>
            <w:shd w:val="clear" w:color="auto" w:fill="8DB3E2" w:themeFill="text2" w:themeFillTint="66"/>
            <w:noWrap/>
            <w:vAlign w:val="center"/>
          </w:tcPr>
          <w:p w:rsidR="006944BB" w:rsidRPr="007A4471" w:rsidRDefault="006944BB" w:rsidP="00F42761">
            <w:pPr>
              <w:pStyle w:val="cuadroCabe"/>
              <w:jc w:val="right"/>
            </w:pPr>
          </w:p>
        </w:tc>
        <w:tc>
          <w:tcPr>
            <w:tcW w:w="2100" w:type="dxa"/>
            <w:shd w:val="clear" w:color="auto" w:fill="8DB3E2" w:themeFill="text2" w:themeFillTint="66"/>
            <w:noWrap/>
            <w:vAlign w:val="center"/>
          </w:tcPr>
          <w:p w:rsidR="006944BB" w:rsidRPr="007A4471" w:rsidRDefault="006944BB" w:rsidP="00F42761">
            <w:pPr>
              <w:pStyle w:val="cuadroCabe"/>
              <w:jc w:val="right"/>
            </w:pPr>
            <w:r w:rsidRPr="007A4471">
              <w:t>209.655.935</w:t>
            </w:r>
          </w:p>
        </w:tc>
      </w:tr>
    </w:tbl>
    <w:p w:rsidR="006944BB" w:rsidRDefault="006944BB" w:rsidP="006944BB">
      <w:pPr>
        <w:pStyle w:val="atitulo2"/>
        <w:spacing w:before="240" w:after="320"/>
        <w:rPr>
          <w:rFonts w:ascii="Times New Roman" w:eastAsia="Calibri" w:hAnsi="Times New Roman"/>
          <w:bCs w:val="0"/>
          <w:iCs w:val="0"/>
          <w:color w:val="auto"/>
          <w:spacing w:val="6"/>
          <w:kern w:val="0"/>
          <w:sz w:val="22"/>
          <w:szCs w:val="22"/>
          <w:lang w:eastAsia="es-ES"/>
        </w:rPr>
      </w:pPr>
    </w:p>
    <w:p w:rsidR="006944BB" w:rsidRPr="00E96655" w:rsidRDefault="00ED31E9" w:rsidP="00E96655">
      <w:pPr>
        <w:spacing w:after="300"/>
        <w:ind w:left="567" w:firstLine="0"/>
        <w:jc w:val="center"/>
        <w:rPr>
          <w:rFonts w:ascii="Arial" w:hAnsi="Arial" w:cs="Arial"/>
        </w:rPr>
      </w:pPr>
      <w:r>
        <w:rPr>
          <w:rFonts w:ascii="Arial" w:hAnsi="Arial" w:cs="Arial"/>
        </w:rPr>
        <w:t>Cobertura</w:t>
      </w:r>
      <w:r w:rsidR="006944BB" w:rsidRPr="00E96655">
        <w:rPr>
          <w:rFonts w:ascii="Arial" w:hAnsi="Arial" w:cs="Arial"/>
        </w:rPr>
        <w:t xml:space="preserve"> de las acciones</w:t>
      </w:r>
    </w:p>
    <w:tbl>
      <w:tblPr>
        <w:tblW w:w="8830" w:type="dxa"/>
        <w:jc w:val="center"/>
        <w:tblCellMar>
          <w:left w:w="70" w:type="dxa"/>
          <w:right w:w="70" w:type="dxa"/>
        </w:tblCellMar>
        <w:tblLook w:val="04A0" w:firstRow="1" w:lastRow="0" w:firstColumn="1" w:lastColumn="0" w:noHBand="0" w:noVBand="1"/>
      </w:tblPr>
      <w:tblGrid>
        <w:gridCol w:w="3164"/>
        <w:gridCol w:w="1021"/>
        <w:gridCol w:w="1183"/>
        <w:gridCol w:w="1452"/>
        <w:gridCol w:w="2010"/>
      </w:tblGrid>
      <w:tr w:rsidR="006944BB" w:rsidRPr="000C7E08" w:rsidTr="00CE79C5">
        <w:trPr>
          <w:trHeight w:val="300"/>
          <w:jc w:val="center"/>
        </w:trPr>
        <w:tc>
          <w:tcPr>
            <w:tcW w:w="3164" w:type="dxa"/>
            <w:tcBorders>
              <w:top w:val="single" w:sz="4" w:space="0" w:color="auto"/>
              <w:left w:val="nil"/>
              <w:bottom w:val="single" w:sz="4" w:space="0" w:color="auto"/>
              <w:right w:val="nil"/>
            </w:tcBorders>
            <w:shd w:val="clear" w:color="auto" w:fill="8DB3E2" w:themeFill="text2" w:themeFillTint="66"/>
            <w:vAlign w:val="center"/>
          </w:tcPr>
          <w:p w:rsidR="006944BB" w:rsidRPr="007A4471" w:rsidRDefault="006944BB" w:rsidP="00F42761">
            <w:pPr>
              <w:pStyle w:val="cuadroCabe"/>
              <w:jc w:val="left"/>
            </w:pPr>
            <w:r w:rsidRPr="007A4471">
              <w:t>Concepto</w:t>
            </w:r>
          </w:p>
        </w:tc>
        <w:tc>
          <w:tcPr>
            <w:tcW w:w="1021"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F42761">
            <w:pPr>
              <w:pStyle w:val="cuadroCabe"/>
              <w:jc w:val="right"/>
            </w:pPr>
            <w:r w:rsidRPr="007A4471">
              <w:t xml:space="preserve">Fecha </w:t>
            </w:r>
          </w:p>
        </w:tc>
        <w:tc>
          <w:tcPr>
            <w:tcW w:w="1183"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F42761">
            <w:pPr>
              <w:pStyle w:val="cuadroCabe"/>
              <w:jc w:val="right"/>
            </w:pPr>
            <w:r w:rsidRPr="007A4471">
              <w:t>Importe</w:t>
            </w:r>
          </w:p>
        </w:tc>
        <w:tc>
          <w:tcPr>
            <w:tcW w:w="1452"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F42761">
            <w:pPr>
              <w:pStyle w:val="cuadroCabe"/>
              <w:jc w:val="right"/>
            </w:pPr>
            <w:r w:rsidRPr="007A4471">
              <w:t>Factor</w:t>
            </w:r>
          </w:p>
          <w:p w:rsidR="006944BB" w:rsidRPr="007A4471" w:rsidRDefault="006944BB" w:rsidP="00F42761">
            <w:pPr>
              <w:pStyle w:val="cuadroCabe"/>
              <w:jc w:val="right"/>
            </w:pPr>
            <w:r w:rsidRPr="007A4471">
              <w:t xml:space="preserve"> capitalización</w:t>
            </w:r>
          </w:p>
        </w:tc>
        <w:tc>
          <w:tcPr>
            <w:tcW w:w="2010" w:type="dxa"/>
            <w:tcBorders>
              <w:top w:val="single" w:sz="4" w:space="0" w:color="auto"/>
              <w:left w:val="nil"/>
              <w:bottom w:val="single" w:sz="4" w:space="0" w:color="auto"/>
              <w:right w:val="nil"/>
            </w:tcBorders>
            <w:shd w:val="clear" w:color="auto" w:fill="8DB3E2" w:themeFill="text2" w:themeFillTint="66"/>
            <w:noWrap/>
            <w:vAlign w:val="center"/>
          </w:tcPr>
          <w:p w:rsidR="00F42761" w:rsidRDefault="006944BB" w:rsidP="00F42761">
            <w:pPr>
              <w:pStyle w:val="cuadroCabe"/>
              <w:jc w:val="right"/>
            </w:pPr>
            <w:r w:rsidRPr="007A4471">
              <w:t>Importe capitalizado</w:t>
            </w:r>
          </w:p>
          <w:p w:rsidR="006944BB" w:rsidRPr="007A4471" w:rsidRDefault="006944BB" w:rsidP="00F42761">
            <w:pPr>
              <w:pStyle w:val="cuadroCabe"/>
              <w:jc w:val="right"/>
            </w:pPr>
            <w:r w:rsidRPr="007A4471">
              <w:t>a 31/1</w:t>
            </w:r>
            <w:r w:rsidR="004C024C" w:rsidRPr="007A4471">
              <w:t>0</w:t>
            </w:r>
            <w:r w:rsidRPr="007A4471">
              <w:t>/2014</w:t>
            </w:r>
          </w:p>
        </w:tc>
      </w:tr>
      <w:tr w:rsidR="006944BB" w:rsidRPr="007A4471" w:rsidTr="00CE79C5">
        <w:trPr>
          <w:trHeight w:val="255"/>
          <w:jc w:val="center"/>
        </w:trPr>
        <w:tc>
          <w:tcPr>
            <w:tcW w:w="3164" w:type="dxa"/>
            <w:tcBorders>
              <w:top w:val="single" w:sz="4" w:space="0" w:color="auto"/>
              <w:left w:val="nil"/>
              <w:bottom w:val="single" w:sz="2" w:space="0" w:color="auto"/>
              <w:right w:val="nil"/>
            </w:tcBorders>
            <w:vAlign w:val="center"/>
          </w:tcPr>
          <w:p w:rsidR="006944BB" w:rsidRPr="007A4471" w:rsidRDefault="006944BB" w:rsidP="00F42761">
            <w:pPr>
              <w:pStyle w:val="cuatexto"/>
              <w:jc w:val="left"/>
              <w:rPr>
                <w:szCs w:val="20"/>
              </w:rPr>
            </w:pPr>
            <w:r w:rsidRPr="007A4471">
              <w:rPr>
                <w:szCs w:val="20"/>
              </w:rPr>
              <w:t>Comisión</w:t>
            </w:r>
          </w:p>
        </w:tc>
        <w:tc>
          <w:tcPr>
            <w:tcW w:w="1021" w:type="dxa"/>
            <w:tcBorders>
              <w:top w:val="single" w:sz="4"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01/07/2005</w:t>
            </w:r>
          </w:p>
        </w:tc>
        <w:tc>
          <w:tcPr>
            <w:tcW w:w="1183" w:type="dxa"/>
            <w:tcBorders>
              <w:top w:val="single" w:sz="4"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25.000</w:t>
            </w:r>
          </w:p>
        </w:tc>
        <w:tc>
          <w:tcPr>
            <w:tcW w:w="1452" w:type="dxa"/>
            <w:tcBorders>
              <w:top w:val="single" w:sz="4"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18,4</w:t>
            </w:r>
          </w:p>
        </w:tc>
        <w:tc>
          <w:tcPr>
            <w:tcW w:w="2010" w:type="dxa"/>
            <w:tcBorders>
              <w:top w:val="single" w:sz="4"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29.600</w:t>
            </w:r>
          </w:p>
        </w:tc>
      </w:tr>
      <w:tr w:rsidR="006944BB" w:rsidRPr="007A4471" w:rsidTr="00CE79C5">
        <w:trPr>
          <w:trHeight w:val="255"/>
          <w:jc w:val="center"/>
        </w:trPr>
        <w:tc>
          <w:tcPr>
            <w:tcW w:w="3164" w:type="dxa"/>
            <w:tcBorders>
              <w:top w:val="single" w:sz="2" w:space="0" w:color="auto"/>
              <w:left w:val="nil"/>
              <w:bottom w:val="single" w:sz="2" w:space="0" w:color="auto"/>
              <w:right w:val="nil"/>
            </w:tcBorders>
            <w:vAlign w:val="center"/>
          </w:tcPr>
          <w:p w:rsidR="006944BB" w:rsidRPr="007A4471" w:rsidRDefault="006944BB" w:rsidP="00F42761">
            <w:pPr>
              <w:pStyle w:val="cuatexto"/>
              <w:jc w:val="left"/>
              <w:rPr>
                <w:szCs w:val="20"/>
              </w:rPr>
            </w:pPr>
            <w:r w:rsidRPr="007A4471">
              <w:rPr>
                <w:szCs w:val="20"/>
              </w:rPr>
              <w:t>Prima neta</w:t>
            </w:r>
          </w:p>
        </w:tc>
        <w:tc>
          <w:tcPr>
            <w:tcW w:w="1021"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01/07/2005</w:t>
            </w:r>
          </w:p>
        </w:tc>
        <w:tc>
          <w:tcPr>
            <w:tcW w:w="1183"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2.650.555</w:t>
            </w:r>
          </w:p>
        </w:tc>
        <w:tc>
          <w:tcPr>
            <w:tcW w:w="1452"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18,4</w:t>
            </w:r>
          </w:p>
        </w:tc>
        <w:tc>
          <w:tcPr>
            <w:tcW w:w="2010"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3.138.257</w:t>
            </w:r>
          </w:p>
        </w:tc>
      </w:tr>
      <w:tr w:rsidR="006944BB" w:rsidRPr="007A4471" w:rsidTr="00CE79C5">
        <w:trPr>
          <w:trHeight w:val="255"/>
          <w:jc w:val="center"/>
        </w:trPr>
        <w:tc>
          <w:tcPr>
            <w:tcW w:w="3164" w:type="dxa"/>
            <w:tcBorders>
              <w:top w:val="single" w:sz="2" w:space="0" w:color="auto"/>
              <w:left w:val="nil"/>
              <w:bottom w:val="single" w:sz="2" w:space="0" w:color="auto"/>
              <w:right w:val="nil"/>
            </w:tcBorders>
            <w:vAlign w:val="center"/>
          </w:tcPr>
          <w:p w:rsidR="006944BB" w:rsidRPr="007A4471" w:rsidRDefault="006944BB" w:rsidP="00F42761">
            <w:pPr>
              <w:pStyle w:val="cuatexto"/>
              <w:jc w:val="left"/>
              <w:rPr>
                <w:szCs w:val="20"/>
              </w:rPr>
            </w:pPr>
            <w:r w:rsidRPr="007A4471">
              <w:rPr>
                <w:szCs w:val="20"/>
              </w:rPr>
              <w:t>Prima neta</w:t>
            </w:r>
          </w:p>
        </w:tc>
        <w:tc>
          <w:tcPr>
            <w:tcW w:w="1021"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03/01/2006</w:t>
            </w:r>
          </w:p>
        </w:tc>
        <w:tc>
          <w:tcPr>
            <w:tcW w:w="1183"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2.362.059</w:t>
            </w:r>
          </w:p>
        </w:tc>
        <w:tc>
          <w:tcPr>
            <w:tcW w:w="1452"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17,2</w:t>
            </w:r>
          </w:p>
        </w:tc>
        <w:tc>
          <w:tcPr>
            <w:tcW w:w="2010"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2.768.333</w:t>
            </w:r>
          </w:p>
        </w:tc>
      </w:tr>
      <w:tr w:rsidR="006944BB" w:rsidRPr="007A4471" w:rsidTr="00CE79C5">
        <w:trPr>
          <w:trHeight w:val="255"/>
          <w:jc w:val="center"/>
        </w:trPr>
        <w:tc>
          <w:tcPr>
            <w:tcW w:w="3164" w:type="dxa"/>
            <w:tcBorders>
              <w:top w:val="single" w:sz="2" w:space="0" w:color="auto"/>
              <w:left w:val="nil"/>
              <w:bottom w:val="single" w:sz="2" w:space="0" w:color="auto"/>
              <w:right w:val="nil"/>
            </w:tcBorders>
            <w:vAlign w:val="center"/>
          </w:tcPr>
          <w:p w:rsidR="006944BB" w:rsidRPr="007A4471" w:rsidRDefault="006944BB" w:rsidP="00F42761">
            <w:pPr>
              <w:pStyle w:val="cuatexto"/>
              <w:jc w:val="left"/>
              <w:rPr>
                <w:szCs w:val="20"/>
              </w:rPr>
            </w:pPr>
            <w:r w:rsidRPr="007A4471">
              <w:rPr>
                <w:szCs w:val="20"/>
              </w:rPr>
              <w:t>Comisión</w:t>
            </w:r>
          </w:p>
        </w:tc>
        <w:tc>
          <w:tcPr>
            <w:tcW w:w="1021"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03/07/2006</w:t>
            </w:r>
          </w:p>
        </w:tc>
        <w:tc>
          <w:tcPr>
            <w:tcW w:w="1183"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25.000</w:t>
            </w:r>
          </w:p>
        </w:tc>
        <w:tc>
          <w:tcPr>
            <w:tcW w:w="1452"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14,6</w:t>
            </w:r>
          </w:p>
        </w:tc>
        <w:tc>
          <w:tcPr>
            <w:tcW w:w="2010"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28.650</w:t>
            </w:r>
          </w:p>
        </w:tc>
      </w:tr>
      <w:tr w:rsidR="006944BB" w:rsidRPr="007A4471" w:rsidTr="00CE79C5">
        <w:trPr>
          <w:trHeight w:val="255"/>
          <w:jc w:val="center"/>
        </w:trPr>
        <w:tc>
          <w:tcPr>
            <w:tcW w:w="3164" w:type="dxa"/>
            <w:tcBorders>
              <w:top w:val="single" w:sz="2" w:space="0" w:color="auto"/>
              <w:left w:val="nil"/>
              <w:bottom w:val="single" w:sz="2" w:space="0" w:color="auto"/>
              <w:right w:val="nil"/>
            </w:tcBorders>
            <w:vAlign w:val="center"/>
          </w:tcPr>
          <w:p w:rsidR="006944BB" w:rsidRPr="007A4471" w:rsidRDefault="006944BB" w:rsidP="00F42761">
            <w:pPr>
              <w:pStyle w:val="cuatexto"/>
              <w:jc w:val="left"/>
              <w:rPr>
                <w:szCs w:val="20"/>
              </w:rPr>
            </w:pPr>
            <w:r w:rsidRPr="007A4471">
              <w:rPr>
                <w:szCs w:val="20"/>
              </w:rPr>
              <w:t>Prima neta</w:t>
            </w:r>
          </w:p>
        </w:tc>
        <w:tc>
          <w:tcPr>
            <w:tcW w:w="1021"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03/07/2006</w:t>
            </w:r>
          </w:p>
        </w:tc>
        <w:tc>
          <w:tcPr>
            <w:tcW w:w="1183"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2.966.097</w:t>
            </w:r>
          </w:p>
        </w:tc>
        <w:tc>
          <w:tcPr>
            <w:tcW w:w="1452"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14,6</w:t>
            </w:r>
          </w:p>
        </w:tc>
        <w:tc>
          <w:tcPr>
            <w:tcW w:w="2010"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3.399.147</w:t>
            </w:r>
          </w:p>
        </w:tc>
      </w:tr>
      <w:tr w:rsidR="006944BB" w:rsidRPr="007A4471" w:rsidTr="00CE79C5">
        <w:trPr>
          <w:trHeight w:val="255"/>
          <w:jc w:val="center"/>
        </w:trPr>
        <w:tc>
          <w:tcPr>
            <w:tcW w:w="3164" w:type="dxa"/>
            <w:tcBorders>
              <w:top w:val="single" w:sz="2" w:space="0" w:color="auto"/>
              <w:left w:val="nil"/>
              <w:bottom w:val="single" w:sz="4" w:space="0" w:color="auto"/>
              <w:right w:val="nil"/>
            </w:tcBorders>
            <w:vAlign w:val="center"/>
          </w:tcPr>
          <w:p w:rsidR="006944BB" w:rsidRPr="007A4471" w:rsidRDefault="006944BB" w:rsidP="00ED31E9">
            <w:pPr>
              <w:pStyle w:val="cuatexto"/>
              <w:jc w:val="left"/>
              <w:rPr>
                <w:szCs w:val="20"/>
              </w:rPr>
            </w:pPr>
            <w:r w:rsidRPr="007A4471">
              <w:rPr>
                <w:szCs w:val="20"/>
              </w:rPr>
              <w:t xml:space="preserve">Liquidación </w:t>
            </w:r>
            <w:r w:rsidR="00B35083">
              <w:rPr>
                <w:szCs w:val="20"/>
              </w:rPr>
              <w:t xml:space="preserve">operación </w:t>
            </w:r>
            <w:r w:rsidR="00ED31E9">
              <w:rPr>
                <w:szCs w:val="20"/>
              </w:rPr>
              <w:t>cobertura</w:t>
            </w:r>
          </w:p>
        </w:tc>
        <w:tc>
          <w:tcPr>
            <w:tcW w:w="1021" w:type="dxa"/>
            <w:tcBorders>
              <w:top w:val="single" w:sz="2" w:space="0" w:color="auto"/>
              <w:left w:val="nil"/>
              <w:bottom w:val="single" w:sz="4"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21/05/2007</w:t>
            </w:r>
          </w:p>
        </w:tc>
        <w:tc>
          <w:tcPr>
            <w:tcW w:w="1183" w:type="dxa"/>
            <w:tcBorders>
              <w:top w:val="single" w:sz="2" w:space="0" w:color="auto"/>
              <w:left w:val="nil"/>
              <w:bottom w:val="single" w:sz="4"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90.956.308</w:t>
            </w:r>
          </w:p>
        </w:tc>
        <w:tc>
          <w:tcPr>
            <w:tcW w:w="1452" w:type="dxa"/>
            <w:tcBorders>
              <w:top w:val="single" w:sz="2" w:space="0" w:color="auto"/>
              <w:left w:val="nil"/>
              <w:bottom w:val="single" w:sz="4"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11,8</w:t>
            </w:r>
          </w:p>
        </w:tc>
        <w:tc>
          <w:tcPr>
            <w:tcW w:w="2010" w:type="dxa"/>
            <w:tcBorders>
              <w:top w:val="single" w:sz="2" w:space="0" w:color="auto"/>
              <w:left w:val="nil"/>
              <w:bottom w:val="single" w:sz="4"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101.689.152</w:t>
            </w:r>
          </w:p>
        </w:tc>
      </w:tr>
      <w:tr w:rsidR="006944BB" w:rsidRPr="0027754A" w:rsidTr="00CE79C5">
        <w:trPr>
          <w:trHeight w:val="300"/>
          <w:jc w:val="center"/>
        </w:trPr>
        <w:tc>
          <w:tcPr>
            <w:tcW w:w="5368" w:type="dxa"/>
            <w:gridSpan w:val="3"/>
            <w:tcBorders>
              <w:top w:val="single" w:sz="4" w:space="0" w:color="auto"/>
              <w:left w:val="nil"/>
              <w:bottom w:val="single" w:sz="4" w:space="0" w:color="auto"/>
              <w:right w:val="nil"/>
            </w:tcBorders>
            <w:shd w:val="clear" w:color="auto" w:fill="8DB3E2" w:themeFill="text2" w:themeFillTint="66"/>
            <w:vAlign w:val="center"/>
          </w:tcPr>
          <w:p w:rsidR="006944BB" w:rsidRPr="007A4471" w:rsidRDefault="006944BB" w:rsidP="00ED31E9">
            <w:pPr>
              <w:pStyle w:val="cuadroCabe"/>
              <w:jc w:val="left"/>
            </w:pPr>
            <w:r w:rsidRPr="007A4471">
              <w:t xml:space="preserve">Total operación de </w:t>
            </w:r>
            <w:r w:rsidR="00ED31E9">
              <w:t xml:space="preserve">cobertura </w:t>
            </w:r>
            <w:r w:rsidRPr="007A4471">
              <w:t>capitalizada</w:t>
            </w:r>
          </w:p>
        </w:tc>
        <w:tc>
          <w:tcPr>
            <w:tcW w:w="1452"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F42761">
            <w:pPr>
              <w:pStyle w:val="cuadroCabe"/>
              <w:jc w:val="right"/>
            </w:pPr>
          </w:p>
        </w:tc>
        <w:tc>
          <w:tcPr>
            <w:tcW w:w="2010"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F42761">
            <w:pPr>
              <w:pStyle w:val="cuadroCabe"/>
              <w:jc w:val="right"/>
            </w:pPr>
            <w:r w:rsidRPr="007A4471">
              <w:fldChar w:fldCharType="begin"/>
            </w:r>
            <w:r w:rsidRPr="007A4471">
              <w:instrText xml:space="preserve"> =SUM(ABOVE) </w:instrText>
            </w:r>
            <w:r w:rsidRPr="007A4471">
              <w:fldChar w:fldCharType="separate"/>
            </w:r>
            <w:r w:rsidRPr="007A4471">
              <w:t>111.053.139</w:t>
            </w:r>
            <w:r w:rsidRPr="007A4471">
              <w:fldChar w:fldCharType="end"/>
            </w:r>
          </w:p>
        </w:tc>
      </w:tr>
    </w:tbl>
    <w:p w:rsidR="006944BB" w:rsidRDefault="006944BB" w:rsidP="006944BB">
      <w:pPr>
        <w:pStyle w:val="atitulo2"/>
        <w:spacing w:before="240" w:after="320"/>
        <w:rPr>
          <w:rFonts w:ascii="Times New Roman" w:eastAsia="Calibri" w:hAnsi="Times New Roman"/>
          <w:bCs w:val="0"/>
          <w:iCs w:val="0"/>
          <w:color w:val="auto"/>
          <w:spacing w:val="6"/>
          <w:kern w:val="0"/>
          <w:sz w:val="22"/>
          <w:szCs w:val="22"/>
          <w:lang w:eastAsia="es-ES"/>
        </w:rPr>
      </w:pPr>
    </w:p>
    <w:p w:rsidR="006944BB" w:rsidRPr="00E96655" w:rsidRDefault="006944BB" w:rsidP="00E96655">
      <w:pPr>
        <w:spacing w:after="300"/>
        <w:ind w:left="567" w:firstLine="0"/>
        <w:jc w:val="center"/>
        <w:rPr>
          <w:rFonts w:ascii="Arial" w:hAnsi="Arial" w:cs="Arial"/>
        </w:rPr>
      </w:pPr>
      <w:r w:rsidRPr="00E96655">
        <w:rPr>
          <w:rFonts w:ascii="Arial" w:hAnsi="Arial" w:cs="Arial"/>
        </w:rPr>
        <w:t>Gastos de custodia de las acciones</w:t>
      </w:r>
    </w:p>
    <w:tbl>
      <w:tblPr>
        <w:tblW w:w="8876" w:type="dxa"/>
        <w:jc w:val="center"/>
        <w:tblCellMar>
          <w:left w:w="70" w:type="dxa"/>
          <w:right w:w="70" w:type="dxa"/>
        </w:tblCellMar>
        <w:tblLook w:val="04A0" w:firstRow="1" w:lastRow="0" w:firstColumn="1" w:lastColumn="0" w:noHBand="0" w:noVBand="1"/>
      </w:tblPr>
      <w:tblGrid>
        <w:gridCol w:w="2983"/>
        <w:gridCol w:w="1918"/>
        <w:gridCol w:w="1757"/>
        <w:gridCol w:w="2218"/>
      </w:tblGrid>
      <w:tr w:rsidR="006944BB" w:rsidRPr="000C7E08" w:rsidTr="00F42761">
        <w:trPr>
          <w:trHeight w:val="300"/>
          <w:jc w:val="center"/>
        </w:trPr>
        <w:tc>
          <w:tcPr>
            <w:tcW w:w="2983"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F42761">
            <w:pPr>
              <w:pStyle w:val="cuadroCabe"/>
              <w:jc w:val="left"/>
            </w:pPr>
            <w:r w:rsidRPr="007A4471">
              <w:t xml:space="preserve">Fecha </w:t>
            </w:r>
          </w:p>
        </w:tc>
        <w:tc>
          <w:tcPr>
            <w:tcW w:w="1918"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F42761">
            <w:pPr>
              <w:pStyle w:val="cuadroCabe"/>
              <w:jc w:val="right"/>
            </w:pPr>
            <w:r w:rsidRPr="007A4471">
              <w:t>Importe</w:t>
            </w:r>
          </w:p>
        </w:tc>
        <w:tc>
          <w:tcPr>
            <w:tcW w:w="1757" w:type="dxa"/>
            <w:tcBorders>
              <w:top w:val="single" w:sz="4" w:space="0" w:color="auto"/>
              <w:left w:val="nil"/>
              <w:bottom w:val="single" w:sz="4" w:space="0" w:color="auto"/>
              <w:right w:val="nil"/>
            </w:tcBorders>
            <w:shd w:val="clear" w:color="auto" w:fill="8DB3E2" w:themeFill="text2" w:themeFillTint="66"/>
            <w:noWrap/>
            <w:vAlign w:val="center"/>
          </w:tcPr>
          <w:p w:rsidR="006944BB" w:rsidRDefault="006944BB" w:rsidP="00F42761">
            <w:pPr>
              <w:pStyle w:val="cuadroCabe"/>
              <w:jc w:val="right"/>
            </w:pPr>
            <w:r w:rsidRPr="007A4471">
              <w:t>Factor</w:t>
            </w:r>
          </w:p>
          <w:p w:rsidR="006944BB" w:rsidRPr="007A4471" w:rsidRDefault="006944BB" w:rsidP="00F42761">
            <w:pPr>
              <w:pStyle w:val="cuadroCabe"/>
              <w:jc w:val="right"/>
            </w:pPr>
            <w:r w:rsidRPr="007A4471">
              <w:t>capitalización</w:t>
            </w:r>
          </w:p>
        </w:tc>
        <w:tc>
          <w:tcPr>
            <w:tcW w:w="2218" w:type="dxa"/>
            <w:tcBorders>
              <w:top w:val="single" w:sz="4" w:space="0" w:color="auto"/>
              <w:left w:val="nil"/>
              <w:bottom w:val="single" w:sz="4" w:space="0" w:color="auto"/>
              <w:right w:val="nil"/>
            </w:tcBorders>
            <w:shd w:val="clear" w:color="auto" w:fill="8DB3E2" w:themeFill="text2" w:themeFillTint="66"/>
            <w:noWrap/>
            <w:vAlign w:val="center"/>
          </w:tcPr>
          <w:p w:rsidR="00F42761" w:rsidRDefault="006944BB" w:rsidP="00F42761">
            <w:pPr>
              <w:pStyle w:val="cuadroCabe"/>
              <w:jc w:val="right"/>
            </w:pPr>
            <w:r w:rsidRPr="007A4471">
              <w:t>Importe capitalizado</w:t>
            </w:r>
          </w:p>
          <w:p w:rsidR="006944BB" w:rsidRPr="007A4471" w:rsidRDefault="006944BB" w:rsidP="00F42761">
            <w:pPr>
              <w:pStyle w:val="cuadroCabe"/>
              <w:jc w:val="right"/>
            </w:pPr>
            <w:r w:rsidRPr="007A4471">
              <w:t>a 31/1</w:t>
            </w:r>
            <w:r w:rsidR="004C024C" w:rsidRPr="007A4471">
              <w:t>0</w:t>
            </w:r>
            <w:r w:rsidRPr="007A4471">
              <w:t>/2014</w:t>
            </w:r>
          </w:p>
        </w:tc>
      </w:tr>
      <w:tr w:rsidR="006944BB" w:rsidRPr="007A4471" w:rsidTr="00F42761">
        <w:trPr>
          <w:trHeight w:val="255"/>
          <w:jc w:val="center"/>
        </w:trPr>
        <w:tc>
          <w:tcPr>
            <w:tcW w:w="2983" w:type="dxa"/>
            <w:tcBorders>
              <w:top w:val="single" w:sz="4" w:space="0" w:color="auto"/>
              <w:left w:val="nil"/>
              <w:bottom w:val="single" w:sz="2" w:space="0" w:color="auto"/>
              <w:right w:val="nil"/>
            </w:tcBorders>
            <w:shd w:val="clear" w:color="auto" w:fill="auto"/>
            <w:noWrap/>
            <w:vAlign w:val="center"/>
          </w:tcPr>
          <w:p w:rsidR="006944BB" w:rsidRPr="007A4471" w:rsidRDefault="006944BB" w:rsidP="00F42761">
            <w:pPr>
              <w:pStyle w:val="cuatexto"/>
              <w:jc w:val="left"/>
              <w:rPr>
                <w:szCs w:val="20"/>
              </w:rPr>
            </w:pPr>
            <w:r w:rsidRPr="007A4471">
              <w:rPr>
                <w:szCs w:val="20"/>
              </w:rPr>
              <w:t>Diciembre 2005</w:t>
            </w:r>
          </w:p>
        </w:tc>
        <w:tc>
          <w:tcPr>
            <w:tcW w:w="1918" w:type="dxa"/>
            <w:tcBorders>
              <w:top w:val="single" w:sz="4"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22.539</w:t>
            </w:r>
          </w:p>
        </w:tc>
        <w:tc>
          <w:tcPr>
            <w:tcW w:w="1757" w:type="dxa"/>
            <w:tcBorders>
              <w:top w:val="single" w:sz="4"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17,2</w:t>
            </w:r>
          </w:p>
        </w:tc>
        <w:tc>
          <w:tcPr>
            <w:tcW w:w="2218" w:type="dxa"/>
            <w:tcBorders>
              <w:top w:val="single" w:sz="4"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26.415</w:t>
            </w:r>
          </w:p>
        </w:tc>
      </w:tr>
      <w:tr w:rsidR="006944BB" w:rsidRPr="007A4471" w:rsidTr="00F42761">
        <w:trPr>
          <w:trHeight w:val="255"/>
          <w:jc w:val="center"/>
        </w:trPr>
        <w:tc>
          <w:tcPr>
            <w:tcW w:w="2983"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left"/>
              <w:rPr>
                <w:szCs w:val="20"/>
              </w:rPr>
            </w:pPr>
            <w:r w:rsidRPr="007A4471">
              <w:rPr>
                <w:szCs w:val="20"/>
              </w:rPr>
              <w:t>Diciembre 2006</w:t>
            </w:r>
          </w:p>
        </w:tc>
        <w:tc>
          <w:tcPr>
            <w:tcW w:w="1918"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27.046</w:t>
            </w:r>
          </w:p>
        </w:tc>
        <w:tc>
          <w:tcPr>
            <w:tcW w:w="1757"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15,2</w:t>
            </w:r>
          </w:p>
        </w:tc>
        <w:tc>
          <w:tcPr>
            <w:tcW w:w="2218"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31.158</w:t>
            </w:r>
          </w:p>
        </w:tc>
      </w:tr>
      <w:tr w:rsidR="006944BB" w:rsidRPr="007A4471" w:rsidTr="00F42761">
        <w:trPr>
          <w:trHeight w:val="255"/>
          <w:jc w:val="center"/>
        </w:trPr>
        <w:tc>
          <w:tcPr>
            <w:tcW w:w="2983"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left"/>
              <w:rPr>
                <w:szCs w:val="20"/>
              </w:rPr>
            </w:pPr>
            <w:r w:rsidRPr="007A4471">
              <w:rPr>
                <w:szCs w:val="20"/>
              </w:rPr>
              <w:t>Diciembre 2007</w:t>
            </w:r>
          </w:p>
        </w:tc>
        <w:tc>
          <w:tcPr>
            <w:tcW w:w="1918"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27.046</w:t>
            </w:r>
          </w:p>
        </w:tc>
        <w:tc>
          <w:tcPr>
            <w:tcW w:w="1757"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10,5</w:t>
            </w:r>
          </w:p>
        </w:tc>
        <w:tc>
          <w:tcPr>
            <w:tcW w:w="2218"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29.886</w:t>
            </w:r>
          </w:p>
        </w:tc>
      </w:tr>
      <w:tr w:rsidR="006944BB" w:rsidRPr="007A4471" w:rsidTr="00F42761">
        <w:trPr>
          <w:trHeight w:val="255"/>
          <w:jc w:val="center"/>
        </w:trPr>
        <w:tc>
          <w:tcPr>
            <w:tcW w:w="2983"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left"/>
              <w:rPr>
                <w:szCs w:val="20"/>
              </w:rPr>
            </w:pPr>
            <w:r w:rsidRPr="007A4471">
              <w:rPr>
                <w:szCs w:val="20"/>
              </w:rPr>
              <w:t>Diciembre 2008</w:t>
            </w:r>
          </w:p>
        </w:tc>
        <w:tc>
          <w:tcPr>
            <w:tcW w:w="1918"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22.178</w:t>
            </w:r>
          </w:p>
        </w:tc>
        <w:tc>
          <w:tcPr>
            <w:tcW w:w="1757"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9,6</w:t>
            </w:r>
          </w:p>
        </w:tc>
        <w:tc>
          <w:tcPr>
            <w:tcW w:w="2218"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24.307</w:t>
            </w:r>
          </w:p>
        </w:tc>
      </w:tr>
      <w:tr w:rsidR="006944BB" w:rsidRPr="007A4471" w:rsidTr="00F42761">
        <w:trPr>
          <w:trHeight w:val="255"/>
          <w:jc w:val="center"/>
        </w:trPr>
        <w:tc>
          <w:tcPr>
            <w:tcW w:w="2983"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left"/>
              <w:rPr>
                <w:szCs w:val="20"/>
              </w:rPr>
            </w:pPr>
            <w:r w:rsidRPr="007A4471">
              <w:rPr>
                <w:szCs w:val="20"/>
              </w:rPr>
              <w:t>Diciembre 2009</w:t>
            </w:r>
          </w:p>
        </w:tc>
        <w:tc>
          <w:tcPr>
            <w:tcW w:w="1918"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17.310</w:t>
            </w:r>
          </w:p>
        </w:tc>
        <w:tc>
          <w:tcPr>
            <w:tcW w:w="1757"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9</w:t>
            </w:r>
          </w:p>
        </w:tc>
        <w:tc>
          <w:tcPr>
            <w:tcW w:w="2218"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18.868</w:t>
            </w:r>
          </w:p>
        </w:tc>
      </w:tr>
      <w:tr w:rsidR="006944BB" w:rsidRPr="007A4471" w:rsidTr="00F42761">
        <w:trPr>
          <w:trHeight w:val="255"/>
          <w:jc w:val="center"/>
        </w:trPr>
        <w:tc>
          <w:tcPr>
            <w:tcW w:w="2983"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left"/>
              <w:rPr>
                <w:szCs w:val="20"/>
              </w:rPr>
            </w:pPr>
            <w:r w:rsidRPr="007A4471">
              <w:rPr>
                <w:szCs w:val="20"/>
              </w:rPr>
              <w:t>Diciembre 2010</w:t>
            </w:r>
          </w:p>
        </w:tc>
        <w:tc>
          <w:tcPr>
            <w:tcW w:w="1918"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17.310</w:t>
            </w:r>
          </w:p>
        </w:tc>
        <w:tc>
          <w:tcPr>
            <w:tcW w:w="1757"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5,8</w:t>
            </w:r>
          </w:p>
        </w:tc>
        <w:tc>
          <w:tcPr>
            <w:tcW w:w="2218"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18.314</w:t>
            </w:r>
          </w:p>
        </w:tc>
      </w:tr>
      <w:tr w:rsidR="006944BB" w:rsidRPr="007A4471" w:rsidTr="00F42761">
        <w:trPr>
          <w:trHeight w:val="255"/>
          <w:jc w:val="center"/>
        </w:trPr>
        <w:tc>
          <w:tcPr>
            <w:tcW w:w="2983"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left"/>
              <w:rPr>
                <w:szCs w:val="20"/>
              </w:rPr>
            </w:pPr>
            <w:r w:rsidRPr="007A4471">
              <w:rPr>
                <w:szCs w:val="20"/>
              </w:rPr>
              <w:t>Diciembre 2011</w:t>
            </w:r>
          </w:p>
        </w:tc>
        <w:tc>
          <w:tcPr>
            <w:tcW w:w="1918"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17.310</w:t>
            </w:r>
          </w:p>
        </w:tc>
        <w:tc>
          <w:tcPr>
            <w:tcW w:w="1757"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3,4</w:t>
            </w:r>
          </w:p>
        </w:tc>
        <w:tc>
          <w:tcPr>
            <w:tcW w:w="2218"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17.898</w:t>
            </w:r>
          </w:p>
        </w:tc>
      </w:tr>
      <w:tr w:rsidR="006944BB" w:rsidRPr="007A4471" w:rsidTr="00F42761">
        <w:trPr>
          <w:trHeight w:val="255"/>
          <w:jc w:val="center"/>
        </w:trPr>
        <w:tc>
          <w:tcPr>
            <w:tcW w:w="2983"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left"/>
              <w:rPr>
                <w:szCs w:val="20"/>
              </w:rPr>
            </w:pPr>
            <w:r w:rsidRPr="007A4471">
              <w:rPr>
                <w:szCs w:val="20"/>
              </w:rPr>
              <w:t>Diciembre 2012</w:t>
            </w:r>
          </w:p>
        </w:tc>
        <w:tc>
          <w:tcPr>
            <w:tcW w:w="1918"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17.310</w:t>
            </w:r>
          </w:p>
        </w:tc>
        <w:tc>
          <w:tcPr>
            <w:tcW w:w="1757"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0,7</w:t>
            </w:r>
          </w:p>
        </w:tc>
        <w:tc>
          <w:tcPr>
            <w:tcW w:w="2218"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17.431</w:t>
            </w:r>
          </w:p>
        </w:tc>
      </w:tr>
      <w:tr w:rsidR="006944BB" w:rsidRPr="007A4471" w:rsidTr="00F42761">
        <w:trPr>
          <w:trHeight w:val="255"/>
          <w:jc w:val="center"/>
        </w:trPr>
        <w:tc>
          <w:tcPr>
            <w:tcW w:w="2983"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left"/>
              <w:rPr>
                <w:szCs w:val="20"/>
              </w:rPr>
            </w:pPr>
            <w:r w:rsidRPr="007A4471">
              <w:rPr>
                <w:szCs w:val="20"/>
              </w:rPr>
              <w:t>Diciembre 2013</w:t>
            </w:r>
          </w:p>
        </w:tc>
        <w:tc>
          <w:tcPr>
            <w:tcW w:w="1918"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17.310</w:t>
            </w:r>
          </w:p>
        </w:tc>
        <w:tc>
          <w:tcPr>
            <w:tcW w:w="1757"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1,1</w:t>
            </w:r>
          </w:p>
        </w:tc>
        <w:tc>
          <w:tcPr>
            <w:tcW w:w="2218"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17.500</w:t>
            </w:r>
          </w:p>
        </w:tc>
      </w:tr>
      <w:tr w:rsidR="006944BB" w:rsidRPr="007A4471" w:rsidTr="000D410C">
        <w:trPr>
          <w:trHeight w:val="255"/>
          <w:jc w:val="center"/>
        </w:trPr>
        <w:tc>
          <w:tcPr>
            <w:tcW w:w="2983" w:type="dxa"/>
            <w:tcBorders>
              <w:top w:val="single" w:sz="2" w:space="0" w:color="auto"/>
              <w:left w:val="nil"/>
              <w:bottom w:val="single" w:sz="4" w:space="0" w:color="auto"/>
              <w:right w:val="nil"/>
            </w:tcBorders>
            <w:shd w:val="clear" w:color="auto" w:fill="auto"/>
            <w:noWrap/>
            <w:vAlign w:val="center"/>
          </w:tcPr>
          <w:p w:rsidR="006944BB" w:rsidRPr="007A4471" w:rsidRDefault="006944BB" w:rsidP="00F42761">
            <w:pPr>
              <w:pStyle w:val="cuatexto"/>
              <w:jc w:val="left"/>
              <w:rPr>
                <w:szCs w:val="20"/>
              </w:rPr>
            </w:pPr>
            <w:r w:rsidRPr="007A4471">
              <w:rPr>
                <w:szCs w:val="20"/>
              </w:rPr>
              <w:t>Octubre 2014</w:t>
            </w:r>
          </w:p>
        </w:tc>
        <w:tc>
          <w:tcPr>
            <w:tcW w:w="1918" w:type="dxa"/>
            <w:tcBorders>
              <w:top w:val="single" w:sz="2" w:space="0" w:color="auto"/>
              <w:left w:val="nil"/>
              <w:bottom w:val="single" w:sz="4"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14.725</w:t>
            </w:r>
          </w:p>
        </w:tc>
        <w:tc>
          <w:tcPr>
            <w:tcW w:w="1757" w:type="dxa"/>
            <w:tcBorders>
              <w:top w:val="single" w:sz="2" w:space="0" w:color="auto"/>
              <w:left w:val="nil"/>
              <w:bottom w:val="single" w:sz="4"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0</w:t>
            </w:r>
          </w:p>
        </w:tc>
        <w:tc>
          <w:tcPr>
            <w:tcW w:w="2218" w:type="dxa"/>
            <w:tcBorders>
              <w:top w:val="single" w:sz="2" w:space="0" w:color="auto"/>
              <w:left w:val="nil"/>
              <w:bottom w:val="single" w:sz="4" w:space="0" w:color="auto"/>
              <w:right w:val="nil"/>
            </w:tcBorders>
            <w:shd w:val="clear" w:color="auto" w:fill="auto"/>
            <w:noWrap/>
            <w:vAlign w:val="center"/>
          </w:tcPr>
          <w:p w:rsidR="006944BB" w:rsidRPr="007A4471" w:rsidRDefault="006944BB" w:rsidP="00F42761">
            <w:pPr>
              <w:pStyle w:val="cuatexto"/>
              <w:jc w:val="right"/>
              <w:rPr>
                <w:szCs w:val="20"/>
              </w:rPr>
            </w:pPr>
            <w:r w:rsidRPr="007A4471">
              <w:rPr>
                <w:szCs w:val="20"/>
              </w:rPr>
              <w:t>14.725</w:t>
            </w:r>
          </w:p>
        </w:tc>
      </w:tr>
      <w:tr w:rsidR="006944BB" w:rsidRPr="000C7E08" w:rsidTr="000D410C">
        <w:trPr>
          <w:trHeight w:val="312"/>
          <w:jc w:val="center"/>
        </w:trPr>
        <w:tc>
          <w:tcPr>
            <w:tcW w:w="6658" w:type="dxa"/>
            <w:gridSpan w:val="3"/>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F42761">
            <w:pPr>
              <w:pStyle w:val="cuadroCabe"/>
              <w:jc w:val="left"/>
            </w:pPr>
            <w:r w:rsidRPr="007A4471">
              <w:t>Total importe capitalizado</w:t>
            </w:r>
          </w:p>
        </w:tc>
        <w:tc>
          <w:tcPr>
            <w:tcW w:w="2218"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F42761">
            <w:pPr>
              <w:pStyle w:val="cuadroCabe"/>
              <w:jc w:val="right"/>
            </w:pPr>
            <w:r w:rsidRPr="007A4471">
              <w:fldChar w:fldCharType="begin"/>
            </w:r>
            <w:r w:rsidRPr="007A4471">
              <w:instrText xml:space="preserve"> =SUM(ABOVE) </w:instrText>
            </w:r>
            <w:r w:rsidRPr="007A4471">
              <w:fldChar w:fldCharType="separate"/>
            </w:r>
            <w:r w:rsidRPr="007A4471">
              <w:t>216.502</w:t>
            </w:r>
            <w:r w:rsidRPr="007A4471">
              <w:fldChar w:fldCharType="end"/>
            </w:r>
          </w:p>
        </w:tc>
      </w:tr>
    </w:tbl>
    <w:p w:rsidR="00E96655" w:rsidRDefault="006944BB" w:rsidP="00E96655">
      <w:pPr>
        <w:spacing w:after="300"/>
        <w:ind w:left="567" w:firstLine="0"/>
        <w:jc w:val="center"/>
        <w:rPr>
          <w:sz w:val="24"/>
        </w:rPr>
      </w:pPr>
      <w:r>
        <w:rPr>
          <w:sz w:val="24"/>
        </w:rPr>
        <w:br w:type="page"/>
      </w:r>
    </w:p>
    <w:p w:rsidR="00E96655" w:rsidRPr="00E96655" w:rsidRDefault="00E96655" w:rsidP="00E96655">
      <w:pPr>
        <w:spacing w:after="80"/>
        <w:ind w:left="567" w:firstLine="0"/>
        <w:jc w:val="center"/>
        <w:rPr>
          <w:rFonts w:ascii="Arial" w:hAnsi="Arial" w:cs="Arial"/>
          <w:sz w:val="8"/>
          <w:szCs w:val="8"/>
        </w:rPr>
      </w:pPr>
    </w:p>
    <w:p w:rsidR="006944BB" w:rsidRPr="00E96655" w:rsidRDefault="006944BB" w:rsidP="00E96655">
      <w:pPr>
        <w:spacing w:after="300"/>
        <w:ind w:left="567" w:firstLine="0"/>
        <w:jc w:val="center"/>
        <w:rPr>
          <w:rFonts w:ascii="Arial" w:hAnsi="Arial" w:cs="Arial"/>
        </w:rPr>
      </w:pPr>
      <w:r w:rsidRPr="00E96655">
        <w:rPr>
          <w:rFonts w:ascii="Arial" w:hAnsi="Arial" w:cs="Arial"/>
        </w:rPr>
        <w:t xml:space="preserve">Carga financiera </w:t>
      </w:r>
    </w:p>
    <w:tbl>
      <w:tblPr>
        <w:tblW w:w="8845" w:type="dxa"/>
        <w:jc w:val="center"/>
        <w:tblInd w:w="55" w:type="dxa"/>
        <w:tblLayout w:type="fixed"/>
        <w:tblCellMar>
          <w:left w:w="70" w:type="dxa"/>
          <w:right w:w="70" w:type="dxa"/>
        </w:tblCellMar>
        <w:tblLook w:val="04A0" w:firstRow="1" w:lastRow="0" w:firstColumn="1" w:lastColumn="0" w:noHBand="0" w:noVBand="1"/>
      </w:tblPr>
      <w:tblGrid>
        <w:gridCol w:w="1433"/>
        <w:gridCol w:w="2348"/>
        <w:gridCol w:w="2183"/>
        <w:gridCol w:w="2881"/>
      </w:tblGrid>
      <w:tr w:rsidR="006944BB" w:rsidRPr="000C7E08" w:rsidTr="00E833B7">
        <w:trPr>
          <w:trHeight w:val="300"/>
          <w:jc w:val="center"/>
        </w:trPr>
        <w:tc>
          <w:tcPr>
            <w:tcW w:w="1433"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E833B7">
            <w:pPr>
              <w:pStyle w:val="cuadroCabe"/>
              <w:jc w:val="left"/>
            </w:pPr>
            <w:r w:rsidRPr="007A4471">
              <w:t xml:space="preserve">Fecha de </w:t>
            </w:r>
          </w:p>
          <w:p w:rsidR="006944BB" w:rsidRPr="007A4471" w:rsidRDefault="006944BB" w:rsidP="00E833B7">
            <w:pPr>
              <w:pStyle w:val="cuadroCabe"/>
              <w:jc w:val="left"/>
            </w:pPr>
            <w:r w:rsidRPr="007A4471">
              <w:t>liquidación</w:t>
            </w:r>
          </w:p>
        </w:tc>
        <w:tc>
          <w:tcPr>
            <w:tcW w:w="2348"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E833B7">
            <w:pPr>
              <w:pStyle w:val="cuadroCabe"/>
              <w:jc w:val="right"/>
            </w:pPr>
            <w:r w:rsidRPr="007A4471">
              <w:t xml:space="preserve">Intereses </w:t>
            </w:r>
          </w:p>
          <w:p w:rsidR="006944BB" w:rsidRPr="007A4471" w:rsidRDefault="006944BB" w:rsidP="00E833B7">
            <w:pPr>
              <w:pStyle w:val="cuadroCabe"/>
              <w:jc w:val="right"/>
            </w:pPr>
            <w:r w:rsidRPr="007A4471">
              <w:t>liquidados</w:t>
            </w:r>
          </w:p>
        </w:tc>
        <w:tc>
          <w:tcPr>
            <w:tcW w:w="2183"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E833B7">
            <w:pPr>
              <w:pStyle w:val="cuadroCabe"/>
              <w:jc w:val="right"/>
            </w:pPr>
            <w:r w:rsidRPr="007A4471">
              <w:t>Factor</w:t>
            </w:r>
          </w:p>
          <w:p w:rsidR="006944BB" w:rsidRPr="007A4471" w:rsidRDefault="006944BB" w:rsidP="00E833B7">
            <w:pPr>
              <w:pStyle w:val="cuadroCabe"/>
              <w:jc w:val="right"/>
            </w:pPr>
            <w:r w:rsidRPr="007A4471">
              <w:t xml:space="preserve"> capitalización</w:t>
            </w:r>
          </w:p>
        </w:tc>
        <w:tc>
          <w:tcPr>
            <w:tcW w:w="2881" w:type="dxa"/>
            <w:tcBorders>
              <w:top w:val="single" w:sz="4" w:space="0" w:color="auto"/>
              <w:left w:val="nil"/>
              <w:bottom w:val="single" w:sz="4" w:space="0" w:color="auto"/>
              <w:right w:val="nil"/>
            </w:tcBorders>
            <w:shd w:val="clear" w:color="auto" w:fill="8DB3E2" w:themeFill="text2" w:themeFillTint="66"/>
            <w:noWrap/>
            <w:vAlign w:val="center"/>
          </w:tcPr>
          <w:p w:rsidR="00E833B7" w:rsidRDefault="006944BB" w:rsidP="00E833B7">
            <w:pPr>
              <w:pStyle w:val="cuadroCabe"/>
              <w:jc w:val="right"/>
            </w:pPr>
            <w:r w:rsidRPr="007A4471">
              <w:t>Intereses capitalizados</w:t>
            </w:r>
          </w:p>
          <w:p w:rsidR="006944BB" w:rsidRPr="007A4471" w:rsidRDefault="006944BB" w:rsidP="00E833B7">
            <w:pPr>
              <w:pStyle w:val="cuadroCabe"/>
              <w:jc w:val="right"/>
            </w:pPr>
            <w:r w:rsidRPr="007A4471">
              <w:t>a 31/1</w:t>
            </w:r>
            <w:r w:rsidR="004C024C" w:rsidRPr="007A4471">
              <w:t>0</w:t>
            </w:r>
            <w:r w:rsidRPr="007A4471">
              <w:t>/2014</w:t>
            </w:r>
          </w:p>
        </w:tc>
      </w:tr>
      <w:tr w:rsidR="00B47925" w:rsidRPr="00B47925" w:rsidTr="00B47925">
        <w:trPr>
          <w:trHeight w:val="255"/>
          <w:jc w:val="center"/>
        </w:trPr>
        <w:tc>
          <w:tcPr>
            <w:tcW w:w="1433" w:type="dxa"/>
            <w:tcBorders>
              <w:top w:val="single" w:sz="4"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26/11/2007</w:t>
            </w:r>
          </w:p>
        </w:tc>
        <w:tc>
          <w:tcPr>
            <w:tcW w:w="2348" w:type="dxa"/>
            <w:tcBorders>
              <w:top w:val="single" w:sz="4"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2.202.80</w:t>
            </w:r>
            <w:r>
              <w:rPr>
                <w:szCs w:val="20"/>
              </w:rPr>
              <w:t>3</w:t>
            </w:r>
          </w:p>
        </w:tc>
        <w:tc>
          <w:tcPr>
            <w:tcW w:w="2183" w:type="dxa"/>
            <w:tcBorders>
              <w:top w:val="single" w:sz="4"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9,30</w:t>
            </w:r>
          </w:p>
        </w:tc>
        <w:tc>
          <w:tcPr>
            <w:tcW w:w="2881" w:type="dxa"/>
            <w:tcBorders>
              <w:top w:val="single" w:sz="4"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2.407.663</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22/05/2008</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2.142.607</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6,70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2.286.162</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23/08/2008</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1.004.947</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7,40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1.079.313</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23/11/2008</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1.025.555</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8,00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1.107.599</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23/02/2009</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849.676</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9,50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930.395</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23/05/2009</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431.874</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8,00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466.424</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23/08/2009</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434.337</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9,10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473.862</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23/11/2009</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354.761</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7,50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381.368</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23/02/2010</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330.035</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8,40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357.758</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23/05/2010</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315.849</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6,50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336.379</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23/08/2010</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341.190</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6,80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364.391</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23/11/2010</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380.643</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4,60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398.153</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23/02/2011</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409.274</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4,60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428.101</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23/05/2011</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413.454</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3,40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427.511</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23/08/2011</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778.396</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3,60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806.418</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23/11/2011</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798.670</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1,90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813.845</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23/02/2012</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790.372</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2,50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810.131</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23/05/2012</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696.999</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1,40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706.757</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23/08/2012</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889.450</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0,00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889.450</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23/11/2012</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801.918</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-0,80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795.503</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23/02/2013</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773.452</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0,10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774.225</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23/05/2013</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770.471</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-0,50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766.619</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23/08/2013</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814.623</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0,00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814.623</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23/11/2013</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817.470</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-0,70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811.748</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31/03/2014</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1.160.094</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0,00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1.160.094</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01/04/2014</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1.160</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-0,20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1.158</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01/01/2014</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305</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-0,20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304</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08/04/2014</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4.289</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-0,20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4.280</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15/04/2014</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6.892</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-0,20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6.878</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13/05/2014</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13.225</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-0,40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13.172</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27/10/2014</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19.592</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0,00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19.592</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29/10/2014</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194.759</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0,00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194.759</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29/10/2014</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73.160</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0,00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73.160</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29/10/2014</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65.648</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0,00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65.648</w:t>
            </w:r>
          </w:p>
        </w:tc>
      </w:tr>
      <w:tr w:rsidR="00B47925" w:rsidRPr="00B47925" w:rsidTr="00B47925">
        <w:trPr>
          <w:trHeight w:val="255"/>
          <w:jc w:val="center"/>
        </w:trPr>
        <w:tc>
          <w:tcPr>
            <w:tcW w:w="1433" w:type="dxa"/>
            <w:tcBorders>
              <w:top w:val="single" w:sz="2" w:space="0" w:color="auto"/>
              <w:left w:val="nil"/>
              <w:bottom w:val="single" w:sz="4" w:space="0" w:color="auto"/>
              <w:right w:val="nil"/>
            </w:tcBorders>
            <w:shd w:val="clear" w:color="auto" w:fill="auto"/>
            <w:noWrap/>
            <w:vAlign w:val="center"/>
          </w:tcPr>
          <w:p w:rsidR="00B47925" w:rsidRPr="007A4471" w:rsidRDefault="00B47925" w:rsidP="00E833B7">
            <w:pPr>
              <w:pStyle w:val="cuatexto"/>
              <w:jc w:val="left"/>
              <w:rPr>
                <w:szCs w:val="20"/>
              </w:rPr>
            </w:pPr>
            <w:r w:rsidRPr="007A4471">
              <w:rPr>
                <w:szCs w:val="20"/>
              </w:rPr>
              <w:t>29/10/2014</w:t>
            </w:r>
          </w:p>
        </w:tc>
        <w:tc>
          <w:tcPr>
            <w:tcW w:w="2348" w:type="dxa"/>
            <w:tcBorders>
              <w:top w:val="single" w:sz="2" w:space="0" w:color="auto"/>
              <w:left w:val="nil"/>
              <w:bottom w:val="single" w:sz="4"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43.570</w:t>
            </w:r>
          </w:p>
        </w:tc>
        <w:tc>
          <w:tcPr>
            <w:tcW w:w="2183" w:type="dxa"/>
            <w:tcBorders>
              <w:top w:val="single" w:sz="2" w:space="0" w:color="auto"/>
              <w:left w:val="nil"/>
              <w:bottom w:val="single" w:sz="4" w:space="0" w:color="auto"/>
              <w:right w:val="nil"/>
            </w:tcBorders>
            <w:shd w:val="clear" w:color="auto" w:fill="auto"/>
            <w:noWrap/>
            <w:vAlign w:val="center"/>
          </w:tcPr>
          <w:p w:rsidR="00B47925" w:rsidRPr="007A4471" w:rsidRDefault="00B47925" w:rsidP="00E833B7">
            <w:pPr>
              <w:pStyle w:val="cuatexto"/>
              <w:jc w:val="right"/>
              <w:rPr>
                <w:szCs w:val="20"/>
              </w:rPr>
            </w:pPr>
            <w:r w:rsidRPr="007A4471">
              <w:rPr>
                <w:szCs w:val="20"/>
              </w:rPr>
              <w:t>0,00</w:t>
            </w:r>
          </w:p>
        </w:tc>
        <w:tc>
          <w:tcPr>
            <w:tcW w:w="2881" w:type="dxa"/>
            <w:tcBorders>
              <w:top w:val="single" w:sz="2" w:space="0" w:color="auto"/>
              <w:left w:val="nil"/>
              <w:bottom w:val="single" w:sz="4" w:space="0" w:color="auto"/>
              <w:right w:val="nil"/>
            </w:tcBorders>
            <w:shd w:val="clear" w:color="auto" w:fill="auto"/>
            <w:noWrap/>
            <w:vAlign w:val="bottom"/>
          </w:tcPr>
          <w:p w:rsidR="00B47925" w:rsidRPr="00B47925" w:rsidRDefault="00B47925" w:rsidP="00B47925">
            <w:pPr>
              <w:pStyle w:val="cuatexto"/>
              <w:jc w:val="right"/>
              <w:rPr>
                <w:szCs w:val="20"/>
              </w:rPr>
            </w:pPr>
            <w:r w:rsidRPr="00B47925">
              <w:rPr>
                <w:szCs w:val="20"/>
              </w:rPr>
              <w:t>43.570</w:t>
            </w:r>
          </w:p>
        </w:tc>
      </w:tr>
      <w:tr w:rsidR="006944BB" w:rsidRPr="0027754A" w:rsidTr="00E833B7">
        <w:trPr>
          <w:trHeight w:val="312"/>
          <w:jc w:val="center"/>
        </w:trPr>
        <w:tc>
          <w:tcPr>
            <w:tcW w:w="5964" w:type="dxa"/>
            <w:gridSpan w:val="3"/>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E833B7">
            <w:pPr>
              <w:pStyle w:val="cuadroCabe"/>
              <w:jc w:val="left"/>
            </w:pPr>
            <w:r w:rsidRPr="007A4471">
              <w:t>Total intereses capitalizados</w:t>
            </w:r>
          </w:p>
        </w:tc>
        <w:tc>
          <w:tcPr>
            <w:tcW w:w="2881"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B47925" w:rsidP="00B47925">
            <w:pPr>
              <w:pStyle w:val="cuadroCabe"/>
              <w:jc w:val="right"/>
            </w:pPr>
            <w:r>
              <w:fldChar w:fldCharType="begin"/>
            </w:r>
            <w:r>
              <w:instrText xml:space="preserve"> =SUM(ABOVE) </w:instrText>
            </w:r>
            <w:r>
              <w:fldChar w:fldCharType="separate"/>
            </w:r>
            <w:r>
              <w:rPr>
                <w:noProof/>
              </w:rPr>
              <w:t>21.017.01</w:t>
            </w:r>
            <w:r>
              <w:fldChar w:fldCharType="end"/>
            </w:r>
            <w:r>
              <w:t>4</w:t>
            </w:r>
          </w:p>
        </w:tc>
      </w:tr>
    </w:tbl>
    <w:p w:rsidR="006944BB" w:rsidRPr="00BD6126" w:rsidRDefault="006944BB" w:rsidP="005302D8">
      <w:pPr>
        <w:tabs>
          <w:tab w:val="left" w:pos="1775"/>
          <w:tab w:val="left" w:pos="2955"/>
        </w:tabs>
        <w:spacing w:after="0"/>
        <w:ind w:left="55" w:firstLine="0"/>
        <w:jc w:val="left"/>
        <w:rPr>
          <w:rFonts w:ascii="Calibri" w:hAnsi="Calibri"/>
          <w:color w:val="000000"/>
          <w:sz w:val="22"/>
          <w:szCs w:val="22"/>
          <w:lang w:val="es-ES" w:eastAsia="es-ES"/>
        </w:rPr>
      </w:pPr>
      <w:r w:rsidRPr="00BD6126">
        <w:rPr>
          <w:rFonts w:ascii="Calibri" w:hAnsi="Calibri"/>
          <w:color w:val="000000"/>
          <w:sz w:val="22"/>
          <w:szCs w:val="22"/>
          <w:lang w:val="es-ES" w:eastAsia="es-ES"/>
        </w:rPr>
        <w:tab/>
      </w:r>
      <w:r w:rsidRPr="00BD6126">
        <w:rPr>
          <w:rFonts w:ascii="Calibri" w:hAnsi="Calibri"/>
          <w:color w:val="000000"/>
          <w:sz w:val="22"/>
          <w:szCs w:val="22"/>
          <w:lang w:val="es-ES" w:eastAsia="es-ES"/>
        </w:rPr>
        <w:tab/>
      </w:r>
    </w:p>
    <w:p w:rsidR="006944BB" w:rsidRDefault="006944BB" w:rsidP="006944BB">
      <w:pPr>
        <w:pStyle w:val="texto"/>
        <w:tabs>
          <w:tab w:val="clear" w:pos="2835"/>
          <w:tab w:val="clear" w:pos="3969"/>
          <w:tab w:val="clear" w:pos="5103"/>
          <w:tab w:val="clear" w:pos="6237"/>
          <w:tab w:val="clear" w:pos="7371"/>
        </w:tabs>
        <w:spacing w:after="240"/>
        <w:ind w:firstLine="0"/>
        <w:rPr>
          <w:rFonts w:eastAsia="Calibri"/>
          <w:lang w:eastAsia="es-ES"/>
        </w:rPr>
        <w:sectPr w:rsidR="006944BB"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pPr>
    </w:p>
    <w:p w:rsidR="006944BB" w:rsidRPr="00F43938" w:rsidRDefault="006944BB" w:rsidP="00E96655">
      <w:pPr>
        <w:pStyle w:val="atitulo2"/>
        <w:spacing w:before="440" w:after="400"/>
      </w:pPr>
      <w:bookmarkStart w:id="27" w:name="_Toc441141971"/>
      <w:r w:rsidRPr="00F43938">
        <w:lastRenderedPageBreak/>
        <w:t xml:space="preserve">Anexo 3: Intereses de la deuda asociada a la operación de </w:t>
      </w:r>
      <w:r w:rsidR="00ED31E9">
        <w:t>cobertura</w:t>
      </w:r>
      <w:r w:rsidRPr="00F43938">
        <w:t xml:space="preserve"> de las acciones de Iberdrola</w:t>
      </w:r>
      <w:bookmarkEnd w:id="27"/>
    </w:p>
    <w:p w:rsidR="006944BB" w:rsidRPr="00E96655" w:rsidRDefault="006944BB" w:rsidP="00E96655">
      <w:pPr>
        <w:spacing w:after="300"/>
        <w:ind w:left="567" w:firstLine="0"/>
        <w:jc w:val="center"/>
        <w:rPr>
          <w:rFonts w:ascii="Arial" w:hAnsi="Arial" w:cs="Arial"/>
        </w:rPr>
      </w:pPr>
      <w:r w:rsidRPr="00E96655">
        <w:rPr>
          <w:rFonts w:ascii="Arial" w:hAnsi="Arial" w:cs="Arial"/>
        </w:rPr>
        <w:t>Periodo: 21  mayo 2007 a 31 de marzo de 2014</w:t>
      </w:r>
    </w:p>
    <w:tbl>
      <w:tblPr>
        <w:tblW w:w="13247" w:type="dxa"/>
        <w:jc w:val="center"/>
        <w:tblCellMar>
          <w:left w:w="70" w:type="dxa"/>
          <w:right w:w="70" w:type="dxa"/>
        </w:tblCellMar>
        <w:tblLook w:val="04A0" w:firstRow="1" w:lastRow="0" w:firstColumn="1" w:lastColumn="0" w:noHBand="0" w:noVBand="1"/>
      </w:tblPr>
      <w:tblGrid>
        <w:gridCol w:w="1568"/>
        <w:gridCol w:w="666"/>
        <w:gridCol w:w="916"/>
        <w:gridCol w:w="1596"/>
        <w:gridCol w:w="706"/>
        <w:gridCol w:w="651"/>
        <w:gridCol w:w="1456"/>
        <w:gridCol w:w="1190"/>
        <w:gridCol w:w="1414"/>
        <w:gridCol w:w="1497"/>
        <w:gridCol w:w="1587"/>
      </w:tblGrid>
      <w:tr w:rsidR="00B82D35" w:rsidRPr="002504B4" w:rsidTr="00B82D35">
        <w:trPr>
          <w:trHeight w:val="300"/>
          <w:jc w:val="center"/>
        </w:trPr>
        <w:tc>
          <w:tcPr>
            <w:tcW w:w="1568" w:type="dxa"/>
            <w:tcBorders>
              <w:top w:val="single" w:sz="4" w:space="0" w:color="auto"/>
              <w:left w:val="nil"/>
              <w:bottom w:val="single" w:sz="4" w:space="0" w:color="auto"/>
              <w:right w:val="nil"/>
            </w:tcBorders>
            <w:shd w:val="clear" w:color="auto" w:fill="8DB3E2" w:themeFill="text2" w:themeFillTint="66"/>
            <w:noWrap/>
            <w:vAlign w:val="center"/>
            <w:hideMark/>
          </w:tcPr>
          <w:p w:rsidR="00B82D35" w:rsidRPr="007A4471" w:rsidRDefault="00B82D35" w:rsidP="003E384D">
            <w:pPr>
              <w:pStyle w:val="cuadroCabe"/>
              <w:jc w:val="center"/>
            </w:pPr>
            <w:r>
              <w:t>Año</w:t>
            </w:r>
          </w:p>
        </w:tc>
        <w:tc>
          <w:tcPr>
            <w:tcW w:w="1582" w:type="dxa"/>
            <w:gridSpan w:val="2"/>
            <w:tcBorders>
              <w:top w:val="single" w:sz="4" w:space="0" w:color="auto"/>
              <w:left w:val="nil"/>
              <w:bottom w:val="single" w:sz="4" w:space="0" w:color="auto"/>
              <w:right w:val="nil"/>
            </w:tcBorders>
            <w:shd w:val="clear" w:color="auto" w:fill="8DB3E2" w:themeFill="text2" w:themeFillTint="66"/>
            <w:noWrap/>
            <w:vAlign w:val="center"/>
            <w:hideMark/>
          </w:tcPr>
          <w:p w:rsidR="00B82D35" w:rsidRDefault="00B82D35" w:rsidP="003E384D">
            <w:pPr>
              <w:pStyle w:val="cuadroCabe"/>
              <w:jc w:val="right"/>
            </w:pPr>
            <w:r w:rsidRPr="007A4471">
              <w:t>Importe</w:t>
            </w:r>
          </w:p>
          <w:p w:rsidR="00B82D35" w:rsidRPr="007A4471" w:rsidRDefault="00B82D35" w:rsidP="003E384D">
            <w:pPr>
              <w:pStyle w:val="cuadroCabe"/>
              <w:jc w:val="right"/>
            </w:pPr>
            <w:r>
              <w:t>dispuesto</w:t>
            </w:r>
          </w:p>
        </w:tc>
        <w:tc>
          <w:tcPr>
            <w:tcW w:w="1596" w:type="dxa"/>
            <w:tcBorders>
              <w:top w:val="single" w:sz="4" w:space="0" w:color="auto"/>
              <w:left w:val="nil"/>
              <w:bottom w:val="single" w:sz="4" w:space="0" w:color="auto"/>
              <w:right w:val="nil"/>
            </w:tcBorders>
            <w:shd w:val="clear" w:color="auto" w:fill="8DB3E2" w:themeFill="text2" w:themeFillTint="66"/>
            <w:noWrap/>
            <w:vAlign w:val="center"/>
            <w:hideMark/>
          </w:tcPr>
          <w:p w:rsidR="00B82D35" w:rsidRPr="007A4471" w:rsidRDefault="00B82D35" w:rsidP="003E384D">
            <w:pPr>
              <w:pStyle w:val="cuadroCabe"/>
              <w:jc w:val="right"/>
            </w:pPr>
            <w:r>
              <w:t>Fecha</w:t>
            </w:r>
          </w:p>
        </w:tc>
        <w:tc>
          <w:tcPr>
            <w:tcW w:w="1357" w:type="dxa"/>
            <w:gridSpan w:val="2"/>
            <w:tcBorders>
              <w:top w:val="single" w:sz="4" w:space="0" w:color="auto"/>
              <w:left w:val="nil"/>
              <w:bottom w:val="single" w:sz="4" w:space="0" w:color="auto"/>
              <w:right w:val="nil"/>
            </w:tcBorders>
            <w:shd w:val="clear" w:color="auto" w:fill="8DB3E2" w:themeFill="text2" w:themeFillTint="66"/>
            <w:noWrap/>
            <w:vAlign w:val="center"/>
            <w:hideMark/>
          </w:tcPr>
          <w:p w:rsidR="00B82D35" w:rsidRDefault="00B82D35" w:rsidP="003E384D">
            <w:pPr>
              <w:pStyle w:val="cuadroCabe"/>
              <w:jc w:val="right"/>
            </w:pPr>
            <w:r w:rsidRPr="007A4471">
              <w:t xml:space="preserve">Tipo </w:t>
            </w:r>
          </w:p>
          <w:p w:rsidR="00B82D35" w:rsidRPr="007A4471" w:rsidRDefault="00B82D35" w:rsidP="003E384D">
            <w:pPr>
              <w:pStyle w:val="cuadroCabe"/>
              <w:jc w:val="right"/>
            </w:pPr>
            <w:r>
              <w:t>Euribor</w:t>
            </w:r>
          </w:p>
        </w:tc>
        <w:tc>
          <w:tcPr>
            <w:tcW w:w="1456" w:type="dxa"/>
            <w:tcBorders>
              <w:top w:val="single" w:sz="4" w:space="0" w:color="auto"/>
              <w:left w:val="nil"/>
              <w:bottom w:val="single" w:sz="4" w:space="0" w:color="auto"/>
              <w:right w:val="nil"/>
            </w:tcBorders>
            <w:shd w:val="clear" w:color="auto" w:fill="8DB3E2" w:themeFill="text2" w:themeFillTint="66"/>
            <w:noWrap/>
            <w:vAlign w:val="center"/>
            <w:hideMark/>
          </w:tcPr>
          <w:p w:rsidR="00B82D35" w:rsidRPr="007A4471" w:rsidRDefault="00B82D35" w:rsidP="003E384D">
            <w:pPr>
              <w:pStyle w:val="cuadroCabe"/>
              <w:jc w:val="right"/>
            </w:pPr>
            <w:r>
              <w:t>Diferencial</w:t>
            </w:r>
          </w:p>
        </w:tc>
        <w:tc>
          <w:tcPr>
            <w:tcW w:w="1190" w:type="dxa"/>
            <w:tcBorders>
              <w:top w:val="single" w:sz="4" w:space="0" w:color="auto"/>
              <w:left w:val="nil"/>
              <w:bottom w:val="single" w:sz="4" w:space="0" w:color="auto"/>
              <w:right w:val="nil"/>
            </w:tcBorders>
            <w:shd w:val="clear" w:color="auto" w:fill="8DB3E2" w:themeFill="text2" w:themeFillTint="66"/>
            <w:noWrap/>
            <w:vAlign w:val="center"/>
            <w:hideMark/>
          </w:tcPr>
          <w:p w:rsidR="00B82D35" w:rsidRDefault="00B82D35" w:rsidP="003E384D">
            <w:pPr>
              <w:pStyle w:val="cuadroCabe"/>
              <w:jc w:val="right"/>
            </w:pPr>
            <w:r w:rsidRPr="007A4471">
              <w:t>Tipo</w:t>
            </w:r>
          </w:p>
          <w:p w:rsidR="00B82D35" w:rsidRPr="007A4471" w:rsidRDefault="00B82D35" w:rsidP="003E384D">
            <w:pPr>
              <w:pStyle w:val="cuadroCabe"/>
              <w:jc w:val="right"/>
            </w:pPr>
            <w:r>
              <w:t>interés</w:t>
            </w:r>
          </w:p>
        </w:tc>
        <w:tc>
          <w:tcPr>
            <w:tcW w:w="1414" w:type="dxa"/>
            <w:tcBorders>
              <w:top w:val="single" w:sz="4" w:space="0" w:color="auto"/>
              <w:left w:val="nil"/>
              <w:bottom w:val="single" w:sz="4" w:space="0" w:color="auto"/>
              <w:right w:val="nil"/>
            </w:tcBorders>
            <w:shd w:val="clear" w:color="auto" w:fill="8DB3E2" w:themeFill="text2" w:themeFillTint="66"/>
            <w:noWrap/>
            <w:vAlign w:val="center"/>
            <w:hideMark/>
          </w:tcPr>
          <w:p w:rsidR="00B82D35" w:rsidRDefault="00B82D35" w:rsidP="003E384D">
            <w:pPr>
              <w:pStyle w:val="cuadroCabe"/>
              <w:jc w:val="right"/>
            </w:pPr>
            <w:r w:rsidRPr="007A4471">
              <w:t>Fecha</w:t>
            </w:r>
          </w:p>
          <w:p w:rsidR="00B82D35" w:rsidRPr="007A4471" w:rsidRDefault="00B82D35" w:rsidP="003E384D">
            <w:pPr>
              <w:pStyle w:val="cuadroCabe"/>
              <w:jc w:val="right"/>
            </w:pPr>
            <w:r>
              <w:t>liquidación</w:t>
            </w:r>
          </w:p>
        </w:tc>
        <w:tc>
          <w:tcPr>
            <w:tcW w:w="1497" w:type="dxa"/>
            <w:tcBorders>
              <w:top w:val="single" w:sz="4" w:space="0" w:color="auto"/>
              <w:left w:val="nil"/>
              <w:bottom w:val="single" w:sz="4" w:space="0" w:color="auto"/>
              <w:right w:val="nil"/>
            </w:tcBorders>
            <w:shd w:val="clear" w:color="auto" w:fill="8DB3E2" w:themeFill="text2" w:themeFillTint="66"/>
            <w:noWrap/>
            <w:vAlign w:val="center"/>
            <w:hideMark/>
          </w:tcPr>
          <w:p w:rsidR="00B82D35" w:rsidRDefault="00B82D35" w:rsidP="003E384D">
            <w:pPr>
              <w:pStyle w:val="cuadroCabe"/>
              <w:jc w:val="right"/>
            </w:pPr>
            <w:r w:rsidRPr="007A4471">
              <w:t>Intereses</w:t>
            </w:r>
          </w:p>
          <w:p w:rsidR="00B82D35" w:rsidRPr="007A4471" w:rsidRDefault="00B82D35" w:rsidP="003E384D">
            <w:pPr>
              <w:pStyle w:val="cuadroCabe"/>
              <w:jc w:val="right"/>
            </w:pPr>
            <w:r>
              <w:t>devengados</w:t>
            </w:r>
          </w:p>
        </w:tc>
        <w:tc>
          <w:tcPr>
            <w:tcW w:w="1587" w:type="dxa"/>
            <w:tcBorders>
              <w:top w:val="single" w:sz="4" w:space="0" w:color="auto"/>
              <w:left w:val="nil"/>
              <w:bottom w:val="single" w:sz="4" w:space="0" w:color="auto"/>
              <w:right w:val="nil"/>
            </w:tcBorders>
            <w:shd w:val="clear" w:color="auto" w:fill="8DB3E2" w:themeFill="text2" w:themeFillTint="66"/>
            <w:noWrap/>
            <w:vAlign w:val="center"/>
            <w:hideMark/>
          </w:tcPr>
          <w:p w:rsidR="00B82D35" w:rsidRDefault="00B82D35" w:rsidP="003E384D">
            <w:pPr>
              <w:pStyle w:val="cuadroCabe"/>
              <w:jc w:val="right"/>
            </w:pPr>
            <w:r w:rsidRPr="007A4471">
              <w:t>Intereses</w:t>
            </w:r>
          </w:p>
          <w:p w:rsidR="00B82D35" w:rsidRPr="007A4471" w:rsidRDefault="00B82D35" w:rsidP="003E384D">
            <w:pPr>
              <w:pStyle w:val="cuadroCabe"/>
              <w:jc w:val="right"/>
            </w:pPr>
            <w:r>
              <w:t>liquidados</w:t>
            </w:r>
          </w:p>
        </w:tc>
      </w:tr>
      <w:tr w:rsidR="00B82D35" w:rsidRPr="0018789F" w:rsidTr="00B82D35">
        <w:trPr>
          <w:trHeight w:val="255"/>
          <w:jc w:val="center"/>
        </w:trPr>
        <w:tc>
          <w:tcPr>
            <w:tcW w:w="1568" w:type="dxa"/>
            <w:tcBorders>
              <w:top w:val="single" w:sz="4" w:space="0" w:color="auto"/>
              <w:left w:val="nil"/>
              <w:bottom w:val="nil"/>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lang w:val="es-ES" w:eastAsia="es-ES"/>
              </w:rPr>
            </w:pPr>
          </w:p>
        </w:tc>
        <w:tc>
          <w:tcPr>
            <w:tcW w:w="1582" w:type="dxa"/>
            <w:gridSpan w:val="2"/>
            <w:tcBorders>
              <w:top w:val="single" w:sz="4" w:space="0" w:color="auto"/>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90.956.308</w:t>
            </w:r>
          </w:p>
        </w:tc>
        <w:tc>
          <w:tcPr>
            <w:tcW w:w="1596" w:type="dxa"/>
            <w:tcBorders>
              <w:top w:val="single" w:sz="4" w:space="0" w:color="auto"/>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21/05/2007</w:t>
            </w:r>
          </w:p>
        </w:tc>
        <w:tc>
          <w:tcPr>
            <w:tcW w:w="1357" w:type="dxa"/>
            <w:gridSpan w:val="2"/>
            <w:tcBorders>
              <w:top w:val="single" w:sz="4" w:space="0" w:color="auto"/>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4,238%</w:t>
            </w:r>
          </w:p>
        </w:tc>
        <w:tc>
          <w:tcPr>
            <w:tcW w:w="1456" w:type="dxa"/>
            <w:tcBorders>
              <w:top w:val="single" w:sz="4" w:space="0" w:color="auto"/>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0,375%</w:t>
            </w:r>
          </w:p>
        </w:tc>
        <w:tc>
          <w:tcPr>
            <w:tcW w:w="1190" w:type="dxa"/>
            <w:tcBorders>
              <w:top w:val="single" w:sz="4" w:space="0" w:color="auto"/>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4,613%</w:t>
            </w:r>
          </w:p>
        </w:tc>
        <w:tc>
          <w:tcPr>
            <w:tcW w:w="1414" w:type="dxa"/>
            <w:tcBorders>
              <w:top w:val="single" w:sz="4" w:space="0" w:color="auto"/>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26/11/2007</w:t>
            </w:r>
          </w:p>
        </w:tc>
        <w:tc>
          <w:tcPr>
            <w:tcW w:w="1497" w:type="dxa"/>
            <w:tcBorders>
              <w:top w:val="single" w:sz="4" w:space="0" w:color="auto"/>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2.202.803</w:t>
            </w:r>
          </w:p>
        </w:tc>
        <w:tc>
          <w:tcPr>
            <w:tcW w:w="1587" w:type="dxa"/>
            <w:tcBorders>
              <w:top w:val="single" w:sz="4" w:space="0" w:color="auto"/>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2.202.803</w:t>
            </w:r>
          </w:p>
        </w:tc>
      </w:tr>
      <w:tr w:rsidR="00B82D35" w:rsidRPr="0018789F" w:rsidTr="00B82D35">
        <w:trPr>
          <w:trHeight w:val="255"/>
          <w:jc w:val="center"/>
        </w:trPr>
        <w:tc>
          <w:tcPr>
            <w:tcW w:w="1568" w:type="dxa"/>
            <w:tcBorders>
              <w:top w:val="nil"/>
              <w:left w:val="nil"/>
              <w:bottom w:val="single" w:sz="4" w:space="0" w:color="auto"/>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lang w:val="es-ES" w:eastAsia="es-ES"/>
              </w:rPr>
            </w:pPr>
          </w:p>
        </w:tc>
        <w:tc>
          <w:tcPr>
            <w:tcW w:w="1582" w:type="dxa"/>
            <w:gridSpan w:val="2"/>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90.956.308</w:t>
            </w:r>
          </w:p>
        </w:tc>
        <w:tc>
          <w:tcPr>
            <w:tcW w:w="1596"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26/11/2007</w:t>
            </w:r>
          </w:p>
        </w:tc>
        <w:tc>
          <w:tcPr>
            <w:tcW w:w="1357" w:type="dxa"/>
            <w:gridSpan w:val="2"/>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4,674%</w:t>
            </w:r>
          </w:p>
        </w:tc>
        <w:tc>
          <w:tcPr>
            <w:tcW w:w="1456"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0,375%</w:t>
            </w:r>
          </w:p>
        </w:tc>
        <w:tc>
          <w:tcPr>
            <w:tcW w:w="1190"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5,049%</w:t>
            </w:r>
          </w:p>
        </w:tc>
        <w:tc>
          <w:tcPr>
            <w:tcW w:w="1414"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31/12/2007</w:t>
            </w:r>
          </w:p>
        </w:tc>
        <w:tc>
          <w:tcPr>
            <w:tcW w:w="1497"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446.482</w:t>
            </w:r>
          </w:p>
        </w:tc>
        <w:tc>
          <w:tcPr>
            <w:tcW w:w="1587"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w:t>
            </w:r>
          </w:p>
        </w:tc>
      </w:tr>
      <w:tr w:rsidR="00B82D35" w:rsidRPr="0018789F" w:rsidTr="0018789F">
        <w:trPr>
          <w:trHeight w:val="312"/>
          <w:jc w:val="center"/>
        </w:trPr>
        <w:tc>
          <w:tcPr>
            <w:tcW w:w="1568"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center"/>
              <w:rPr>
                <w:rFonts w:ascii="Arial Narrow" w:hAnsi="Arial Narrow"/>
                <w:color w:val="000000"/>
                <w:lang w:val="es-ES" w:eastAsia="es-ES"/>
              </w:rPr>
            </w:pPr>
            <w:r w:rsidRPr="0018789F">
              <w:rPr>
                <w:rFonts w:ascii="Arial Narrow" w:hAnsi="Arial Narrow"/>
                <w:color w:val="000000"/>
                <w:lang w:val="es-ES" w:eastAsia="es-ES"/>
              </w:rPr>
              <w:t>2007</w:t>
            </w:r>
          </w:p>
        </w:tc>
        <w:tc>
          <w:tcPr>
            <w:tcW w:w="1582" w:type="dxa"/>
            <w:gridSpan w:val="2"/>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90.956.308</w:t>
            </w:r>
          </w:p>
        </w:tc>
        <w:tc>
          <w:tcPr>
            <w:tcW w:w="159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357" w:type="dxa"/>
            <w:gridSpan w:val="2"/>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45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190"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414" w:type="dxa"/>
            <w:tcBorders>
              <w:top w:val="single" w:sz="4" w:space="0" w:color="auto"/>
              <w:left w:val="nil"/>
              <w:bottom w:val="single" w:sz="4" w:space="0" w:color="auto"/>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497" w:type="dxa"/>
            <w:tcBorders>
              <w:top w:val="single" w:sz="4" w:space="0" w:color="auto"/>
              <w:bottom w:val="single" w:sz="4" w:space="0" w:color="auto"/>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2.649.284</w:t>
            </w:r>
          </w:p>
        </w:tc>
        <w:tc>
          <w:tcPr>
            <w:tcW w:w="1587" w:type="dxa"/>
            <w:tcBorders>
              <w:top w:val="single" w:sz="4" w:space="0" w:color="auto"/>
              <w:bottom w:val="single" w:sz="4" w:space="0" w:color="auto"/>
            </w:tcBorders>
            <w:shd w:val="clear" w:color="auto" w:fill="auto"/>
            <w:noWrap/>
            <w:vAlign w:val="center"/>
            <w:hideMark/>
          </w:tcPr>
          <w:p w:rsidR="00B82D35" w:rsidRPr="0018789F" w:rsidRDefault="00B82D35" w:rsidP="003E384D">
            <w:pPr>
              <w:spacing w:after="0"/>
              <w:ind w:firstLine="0"/>
              <w:jc w:val="right"/>
              <w:rPr>
                <w:rFonts w:ascii="Arial Narrow" w:hAnsi="Arial Narrow"/>
                <w:b/>
                <w:bCs/>
                <w:color w:val="000000"/>
                <w:lang w:val="es-ES" w:eastAsia="es-ES"/>
              </w:rPr>
            </w:pPr>
            <w:r w:rsidRPr="0018789F">
              <w:rPr>
                <w:rFonts w:ascii="Arial Narrow" w:hAnsi="Arial Narrow"/>
                <w:b/>
                <w:bCs/>
                <w:color w:val="000000"/>
                <w:lang w:val="es-ES" w:eastAsia="es-ES"/>
              </w:rPr>
              <w:t>2.202.803</w:t>
            </w:r>
          </w:p>
        </w:tc>
      </w:tr>
      <w:tr w:rsidR="00B82D35" w:rsidRPr="0018789F" w:rsidTr="00B82D35">
        <w:trPr>
          <w:trHeight w:val="255"/>
          <w:jc w:val="center"/>
        </w:trPr>
        <w:tc>
          <w:tcPr>
            <w:tcW w:w="1568" w:type="dxa"/>
            <w:tcBorders>
              <w:top w:val="nil"/>
              <w:left w:val="nil"/>
              <w:bottom w:val="nil"/>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lang w:val="es-ES" w:eastAsia="es-ES"/>
              </w:rPr>
            </w:pPr>
          </w:p>
        </w:tc>
        <w:tc>
          <w:tcPr>
            <w:tcW w:w="1582"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93.159.111</w:t>
            </w: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01/01/2008</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4,674%</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0,375%</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5,049%</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28/03/2008</w:t>
            </w:r>
          </w:p>
        </w:tc>
        <w:tc>
          <w:tcPr>
            <w:tcW w:w="1497"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1.136.704</w:t>
            </w:r>
          </w:p>
        </w:tc>
        <w:tc>
          <w:tcPr>
            <w:tcW w:w="1587"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r>
      <w:tr w:rsidR="00B82D35" w:rsidRPr="0018789F" w:rsidTr="00B82D35">
        <w:trPr>
          <w:trHeight w:val="255"/>
          <w:jc w:val="center"/>
        </w:trPr>
        <w:tc>
          <w:tcPr>
            <w:tcW w:w="1568" w:type="dxa"/>
            <w:tcBorders>
              <w:top w:val="nil"/>
              <w:left w:val="nil"/>
              <w:bottom w:val="single" w:sz="4" w:space="0" w:color="auto"/>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lang w:val="es-ES" w:eastAsia="es-ES"/>
              </w:rPr>
            </w:pPr>
          </w:p>
        </w:tc>
        <w:tc>
          <w:tcPr>
            <w:tcW w:w="1582" w:type="dxa"/>
            <w:gridSpan w:val="2"/>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-20.636.460</w:t>
            </w:r>
          </w:p>
        </w:tc>
        <w:tc>
          <w:tcPr>
            <w:tcW w:w="1596"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28/03/2008</w:t>
            </w:r>
          </w:p>
        </w:tc>
        <w:tc>
          <w:tcPr>
            <w:tcW w:w="1357" w:type="dxa"/>
            <w:gridSpan w:val="2"/>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4,674%</w:t>
            </w:r>
          </w:p>
        </w:tc>
        <w:tc>
          <w:tcPr>
            <w:tcW w:w="1456"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0,375%</w:t>
            </w:r>
          </w:p>
        </w:tc>
        <w:tc>
          <w:tcPr>
            <w:tcW w:w="1190"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5,049%</w:t>
            </w:r>
          </w:p>
        </w:tc>
        <w:tc>
          <w:tcPr>
            <w:tcW w:w="1414"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22/05/2008</w:t>
            </w:r>
          </w:p>
        </w:tc>
        <w:tc>
          <w:tcPr>
            <w:tcW w:w="1497"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559.422</w:t>
            </w:r>
          </w:p>
        </w:tc>
        <w:tc>
          <w:tcPr>
            <w:tcW w:w="1587"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2.142.608</w:t>
            </w:r>
          </w:p>
        </w:tc>
      </w:tr>
      <w:tr w:rsidR="00B82D35" w:rsidRPr="0018789F" w:rsidTr="0018789F">
        <w:trPr>
          <w:trHeight w:val="312"/>
          <w:jc w:val="center"/>
        </w:trPr>
        <w:tc>
          <w:tcPr>
            <w:tcW w:w="1568" w:type="dxa"/>
            <w:tcBorders>
              <w:top w:val="single" w:sz="4" w:space="0" w:color="auto"/>
              <w:left w:val="nil"/>
              <w:bottom w:val="single" w:sz="4" w:space="0" w:color="auto"/>
              <w:right w:val="nil"/>
            </w:tcBorders>
            <w:shd w:val="clear" w:color="auto" w:fill="auto"/>
            <w:noWrap/>
            <w:vAlign w:val="center"/>
            <w:hideMark/>
          </w:tcPr>
          <w:p w:rsidR="00B82D35" w:rsidRPr="0018789F" w:rsidRDefault="00B47925" w:rsidP="003E384D">
            <w:pPr>
              <w:spacing w:after="0"/>
              <w:ind w:firstLine="0"/>
              <w:jc w:val="center"/>
              <w:rPr>
                <w:rFonts w:ascii="Arial Narrow" w:hAnsi="Arial Narrow"/>
                <w:color w:val="000000"/>
                <w:lang w:val="es-ES" w:eastAsia="es-ES"/>
              </w:rPr>
            </w:pPr>
            <w:r>
              <w:rPr>
                <w:rFonts w:ascii="Arial Narrow" w:hAnsi="Arial Narrow"/>
                <w:color w:val="000000"/>
                <w:lang w:val="es-ES" w:eastAsia="es-ES"/>
              </w:rPr>
              <w:t>31/03/2008</w:t>
            </w:r>
          </w:p>
        </w:tc>
        <w:tc>
          <w:tcPr>
            <w:tcW w:w="1582" w:type="dxa"/>
            <w:gridSpan w:val="2"/>
            <w:tcBorders>
              <w:top w:val="single" w:sz="4" w:space="0" w:color="auto"/>
              <w:left w:val="nil"/>
              <w:bottom w:val="single" w:sz="4" w:space="0" w:color="auto"/>
              <w:right w:val="nil"/>
            </w:tcBorders>
            <w:shd w:val="clear" w:color="auto" w:fill="auto"/>
            <w:noWrap/>
            <w:vAlign w:val="center"/>
            <w:hideMark/>
          </w:tcPr>
          <w:p w:rsidR="00B82D35" w:rsidRPr="00AA170D" w:rsidRDefault="00B82D35" w:rsidP="003E384D">
            <w:pPr>
              <w:spacing w:after="0"/>
              <w:ind w:firstLine="0"/>
              <w:jc w:val="right"/>
              <w:rPr>
                <w:rFonts w:ascii="Arial Narrow" w:hAnsi="Arial Narrow"/>
                <w:lang w:val="es-ES" w:eastAsia="es-ES"/>
              </w:rPr>
            </w:pPr>
            <w:r w:rsidRPr="00AA170D">
              <w:rPr>
                <w:rFonts w:ascii="Arial Narrow" w:hAnsi="Arial Narrow"/>
                <w:lang w:val="es-ES" w:eastAsia="es-ES"/>
              </w:rPr>
              <w:t>72.522.651</w:t>
            </w:r>
          </w:p>
        </w:tc>
        <w:tc>
          <w:tcPr>
            <w:tcW w:w="159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357" w:type="dxa"/>
            <w:gridSpan w:val="2"/>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45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190"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414"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497"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1.696.126</w:t>
            </w:r>
          </w:p>
        </w:tc>
        <w:tc>
          <w:tcPr>
            <w:tcW w:w="1587"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b/>
                <w:bCs/>
                <w:color w:val="000000"/>
                <w:lang w:val="es-ES" w:eastAsia="es-ES"/>
              </w:rPr>
            </w:pPr>
            <w:r w:rsidRPr="0018789F">
              <w:rPr>
                <w:rFonts w:ascii="Arial Narrow" w:hAnsi="Arial Narrow"/>
                <w:b/>
                <w:bCs/>
                <w:color w:val="000000"/>
                <w:lang w:val="es-ES" w:eastAsia="es-ES"/>
              </w:rPr>
              <w:t>2.142.608</w:t>
            </w:r>
          </w:p>
        </w:tc>
      </w:tr>
      <w:tr w:rsidR="00B82D35" w:rsidRPr="0018789F" w:rsidTr="00B82D35">
        <w:trPr>
          <w:trHeight w:val="255"/>
          <w:jc w:val="center"/>
        </w:trPr>
        <w:tc>
          <w:tcPr>
            <w:tcW w:w="1568" w:type="dxa"/>
            <w:tcBorders>
              <w:top w:val="nil"/>
              <w:left w:val="nil"/>
              <w:bottom w:val="nil"/>
              <w:right w:val="nil"/>
            </w:tcBorders>
            <w:shd w:val="clear" w:color="auto" w:fill="auto"/>
            <w:noWrap/>
            <w:vAlign w:val="center"/>
          </w:tcPr>
          <w:p w:rsidR="00B82D35" w:rsidRPr="0018789F" w:rsidRDefault="00FE711B" w:rsidP="003E384D">
            <w:pPr>
              <w:spacing w:after="0"/>
              <w:ind w:firstLine="0"/>
              <w:jc w:val="center"/>
              <w:rPr>
                <w:rFonts w:ascii="Arial Narrow" w:hAnsi="Arial Narrow"/>
                <w:color w:val="000000"/>
                <w:lang w:val="es-ES" w:eastAsia="es-ES"/>
              </w:rPr>
            </w:pPr>
            <w:r>
              <w:rPr>
                <w:rFonts w:ascii="Arial Narrow" w:hAnsi="Arial Narrow"/>
                <w:color w:val="000000"/>
                <w:lang w:val="es-ES" w:eastAsia="es-ES"/>
              </w:rPr>
              <w:t>01/04/2008</w:t>
            </w:r>
          </w:p>
        </w:tc>
        <w:tc>
          <w:tcPr>
            <w:tcW w:w="1582" w:type="dxa"/>
            <w:gridSpan w:val="2"/>
            <w:tcBorders>
              <w:top w:val="nil"/>
              <w:left w:val="nil"/>
              <w:bottom w:val="nil"/>
              <w:right w:val="nil"/>
            </w:tcBorders>
            <w:shd w:val="clear" w:color="auto" w:fill="auto"/>
            <w:noWrap/>
            <w:vAlign w:val="center"/>
          </w:tcPr>
          <w:p w:rsidR="00B82D35" w:rsidRPr="00AA170D" w:rsidRDefault="00B47925" w:rsidP="003E384D">
            <w:pPr>
              <w:spacing w:after="0"/>
              <w:ind w:firstLine="0"/>
              <w:jc w:val="right"/>
              <w:rPr>
                <w:rFonts w:ascii="Arial Narrow" w:hAnsi="Arial Narrow"/>
                <w:lang w:val="es-ES" w:eastAsia="es-ES"/>
              </w:rPr>
            </w:pPr>
            <w:r w:rsidRPr="00AA170D">
              <w:rPr>
                <w:rFonts w:ascii="Arial Narrow" w:hAnsi="Arial Narrow"/>
                <w:lang w:val="es-ES" w:eastAsia="es-ES"/>
              </w:rPr>
              <w:t>74.665.259</w:t>
            </w: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23/05/2008</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4,856%</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0,411%</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5,267%</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23/08/2008</w:t>
            </w:r>
          </w:p>
        </w:tc>
        <w:tc>
          <w:tcPr>
            <w:tcW w:w="1497" w:type="dxa"/>
            <w:tcBorders>
              <w:top w:val="nil"/>
              <w:left w:val="nil"/>
              <w:bottom w:val="nil"/>
              <w:right w:val="nil"/>
            </w:tcBorders>
            <w:shd w:val="clear" w:color="auto" w:fill="auto"/>
            <w:noWrap/>
            <w:vAlign w:val="center"/>
            <w:hideMark/>
          </w:tcPr>
          <w:p w:rsidR="00B82D35" w:rsidRPr="0018789F" w:rsidRDefault="00FE711B"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1.004.947</w:t>
            </w:r>
          </w:p>
        </w:tc>
        <w:tc>
          <w:tcPr>
            <w:tcW w:w="1587" w:type="dxa"/>
            <w:tcBorders>
              <w:top w:val="nil"/>
              <w:left w:val="nil"/>
              <w:bottom w:val="nil"/>
              <w:right w:val="nil"/>
            </w:tcBorders>
            <w:shd w:val="clear" w:color="auto" w:fill="auto"/>
            <w:noWrap/>
            <w:vAlign w:val="center"/>
            <w:hideMark/>
          </w:tcPr>
          <w:p w:rsidR="00B82D35" w:rsidRPr="0018789F" w:rsidRDefault="00B82D35" w:rsidP="00FE711B">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1.00</w:t>
            </w:r>
            <w:r w:rsidR="00FE711B">
              <w:rPr>
                <w:rFonts w:ascii="Arial Narrow" w:hAnsi="Arial Narrow"/>
                <w:color w:val="000000"/>
                <w:lang w:val="es-ES" w:eastAsia="es-ES"/>
              </w:rPr>
              <w:t>4.947</w:t>
            </w:r>
          </w:p>
        </w:tc>
      </w:tr>
      <w:tr w:rsidR="00B82D35" w:rsidRPr="0018789F" w:rsidTr="00B82D35">
        <w:trPr>
          <w:trHeight w:val="255"/>
          <w:jc w:val="center"/>
        </w:trPr>
        <w:tc>
          <w:tcPr>
            <w:tcW w:w="1568" w:type="dxa"/>
            <w:tcBorders>
              <w:top w:val="nil"/>
              <w:left w:val="nil"/>
              <w:bottom w:val="nil"/>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lang w:val="es-ES" w:eastAsia="es-ES"/>
              </w:rPr>
            </w:pPr>
          </w:p>
        </w:tc>
        <w:tc>
          <w:tcPr>
            <w:tcW w:w="1582" w:type="dxa"/>
            <w:gridSpan w:val="2"/>
            <w:tcBorders>
              <w:top w:val="nil"/>
              <w:left w:val="nil"/>
              <w:bottom w:val="nil"/>
              <w:right w:val="nil"/>
            </w:tcBorders>
            <w:shd w:val="clear" w:color="auto" w:fill="auto"/>
            <w:noWrap/>
            <w:vAlign w:val="center"/>
          </w:tcPr>
          <w:p w:rsidR="00B82D35" w:rsidRPr="00AA170D" w:rsidRDefault="00B82D35" w:rsidP="003E384D">
            <w:pPr>
              <w:spacing w:after="0"/>
              <w:ind w:firstLine="0"/>
              <w:jc w:val="right"/>
              <w:rPr>
                <w:rFonts w:ascii="Arial Narrow" w:hAnsi="Arial Narrow"/>
                <w:lang w:val="es-ES" w:eastAsia="es-ES"/>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23/08/2008</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4,964%</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0,411%</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5,375%</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23/11/2008</w:t>
            </w:r>
          </w:p>
        </w:tc>
        <w:tc>
          <w:tcPr>
            <w:tcW w:w="1497"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1.02</w:t>
            </w:r>
            <w:r w:rsidR="00FE711B">
              <w:rPr>
                <w:rFonts w:ascii="Arial Narrow" w:hAnsi="Arial Narrow"/>
                <w:color w:val="000000"/>
                <w:lang w:val="es-ES" w:eastAsia="es-ES"/>
              </w:rPr>
              <w:t>5.555</w:t>
            </w:r>
          </w:p>
        </w:tc>
        <w:tc>
          <w:tcPr>
            <w:tcW w:w="1587" w:type="dxa"/>
            <w:tcBorders>
              <w:top w:val="nil"/>
              <w:left w:val="nil"/>
              <w:bottom w:val="nil"/>
              <w:right w:val="nil"/>
            </w:tcBorders>
            <w:shd w:val="clear" w:color="auto" w:fill="auto"/>
            <w:noWrap/>
            <w:vAlign w:val="center"/>
            <w:hideMark/>
          </w:tcPr>
          <w:p w:rsidR="00B82D35" w:rsidRPr="0018789F" w:rsidRDefault="00FE711B"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1.025.555</w:t>
            </w:r>
          </w:p>
        </w:tc>
      </w:tr>
      <w:tr w:rsidR="00B82D35" w:rsidRPr="0018789F" w:rsidTr="00B82D35">
        <w:trPr>
          <w:trHeight w:val="255"/>
          <w:jc w:val="center"/>
        </w:trPr>
        <w:tc>
          <w:tcPr>
            <w:tcW w:w="1568" w:type="dxa"/>
            <w:tcBorders>
              <w:top w:val="nil"/>
              <w:left w:val="nil"/>
              <w:bottom w:val="single" w:sz="4" w:space="0" w:color="auto"/>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lang w:val="es-ES" w:eastAsia="es-ES"/>
              </w:rPr>
            </w:pPr>
          </w:p>
        </w:tc>
        <w:tc>
          <w:tcPr>
            <w:tcW w:w="1582" w:type="dxa"/>
            <w:gridSpan w:val="2"/>
            <w:tcBorders>
              <w:top w:val="nil"/>
              <w:left w:val="nil"/>
              <w:bottom w:val="single" w:sz="4" w:space="0" w:color="auto"/>
              <w:right w:val="nil"/>
            </w:tcBorders>
            <w:shd w:val="clear" w:color="auto" w:fill="auto"/>
            <w:noWrap/>
            <w:vAlign w:val="center"/>
          </w:tcPr>
          <w:p w:rsidR="00B82D35" w:rsidRPr="00AA170D" w:rsidRDefault="00B82D35" w:rsidP="003E384D">
            <w:pPr>
              <w:spacing w:after="0"/>
              <w:ind w:firstLine="0"/>
              <w:jc w:val="right"/>
              <w:rPr>
                <w:rFonts w:ascii="Arial Narrow" w:hAnsi="Arial Narrow"/>
                <w:lang w:val="es-ES" w:eastAsia="es-ES"/>
              </w:rPr>
            </w:pPr>
          </w:p>
        </w:tc>
        <w:tc>
          <w:tcPr>
            <w:tcW w:w="1596"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23/11/2008</w:t>
            </w:r>
          </w:p>
        </w:tc>
        <w:tc>
          <w:tcPr>
            <w:tcW w:w="1357" w:type="dxa"/>
            <w:gridSpan w:val="2"/>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4,021%</w:t>
            </w:r>
          </w:p>
        </w:tc>
        <w:tc>
          <w:tcPr>
            <w:tcW w:w="1456"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0,411%</w:t>
            </w:r>
          </w:p>
        </w:tc>
        <w:tc>
          <w:tcPr>
            <w:tcW w:w="1190"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4,432%</w:t>
            </w:r>
          </w:p>
        </w:tc>
        <w:tc>
          <w:tcPr>
            <w:tcW w:w="1414"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31/12/2008</w:t>
            </w:r>
          </w:p>
        </w:tc>
        <w:tc>
          <w:tcPr>
            <w:tcW w:w="1497"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349.</w:t>
            </w:r>
            <w:r w:rsidR="00FE711B">
              <w:rPr>
                <w:rFonts w:ascii="Arial Narrow" w:hAnsi="Arial Narrow"/>
                <w:color w:val="000000"/>
                <w:lang w:val="es-ES" w:eastAsia="es-ES"/>
              </w:rPr>
              <w:t>278</w:t>
            </w:r>
          </w:p>
        </w:tc>
        <w:tc>
          <w:tcPr>
            <w:tcW w:w="1587"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w:t>
            </w:r>
          </w:p>
        </w:tc>
      </w:tr>
      <w:tr w:rsidR="00B82D35" w:rsidRPr="0018789F" w:rsidTr="0018789F">
        <w:trPr>
          <w:trHeight w:val="312"/>
          <w:jc w:val="center"/>
        </w:trPr>
        <w:tc>
          <w:tcPr>
            <w:tcW w:w="1568" w:type="dxa"/>
            <w:tcBorders>
              <w:top w:val="single" w:sz="4" w:space="0" w:color="auto"/>
              <w:left w:val="nil"/>
              <w:bottom w:val="single" w:sz="4" w:space="0" w:color="auto"/>
              <w:right w:val="nil"/>
            </w:tcBorders>
            <w:shd w:val="clear" w:color="auto" w:fill="auto"/>
            <w:noWrap/>
            <w:vAlign w:val="center"/>
          </w:tcPr>
          <w:p w:rsidR="00B82D35" w:rsidRPr="0018789F" w:rsidRDefault="00FE711B" w:rsidP="003E384D">
            <w:pPr>
              <w:spacing w:after="0"/>
              <w:ind w:firstLine="0"/>
              <w:jc w:val="center"/>
              <w:rPr>
                <w:rFonts w:ascii="Arial Narrow" w:hAnsi="Arial Narrow"/>
                <w:color w:val="000000"/>
                <w:lang w:val="es-ES" w:eastAsia="es-ES"/>
              </w:rPr>
            </w:pPr>
            <w:r>
              <w:rPr>
                <w:rFonts w:ascii="Arial Narrow" w:hAnsi="Arial Narrow"/>
                <w:color w:val="000000"/>
                <w:lang w:val="es-ES" w:eastAsia="es-ES"/>
              </w:rPr>
              <w:t>31/12/2008</w:t>
            </w:r>
            <w:r w:rsidR="00B82D35" w:rsidRPr="0018789F">
              <w:rPr>
                <w:rFonts w:ascii="Arial Narrow" w:hAnsi="Arial Narrow"/>
                <w:color w:val="000000"/>
                <w:lang w:val="es-ES" w:eastAsia="es-ES"/>
              </w:rPr>
              <w:t xml:space="preserve"> (*)</w:t>
            </w:r>
          </w:p>
        </w:tc>
        <w:tc>
          <w:tcPr>
            <w:tcW w:w="1582" w:type="dxa"/>
            <w:gridSpan w:val="2"/>
            <w:tcBorders>
              <w:top w:val="single" w:sz="4" w:space="0" w:color="auto"/>
              <w:left w:val="nil"/>
              <w:bottom w:val="single" w:sz="4" w:space="0" w:color="auto"/>
              <w:right w:val="nil"/>
            </w:tcBorders>
            <w:shd w:val="clear" w:color="auto" w:fill="auto"/>
            <w:noWrap/>
            <w:vAlign w:val="center"/>
          </w:tcPr>
          <w:p w:rsidR="00B82D35" w:rsidRPr="00AA170D" w:rsidRDefault="00FE711B" w:rsidP="003E384D">
            <w:pPr>
              <w:spacing w:after="0"/>
              <w:ind w:firstLine="0"/>
              <w:jc w:val="right"/>
              <w:rPr>
                <w:rFonts w:ascii="Arial Narrow" w:hAnsi="Arial Narrow"/>
                <w:lang w:val="es-ES" w:eastAsia="es-ES"/>
              </w:rPr>
            </w:pPr>
            <w:r w:rsidRPr="00AA170D">
              <w:rPr>
                <w:rFonts w:ascii="Arial Narrow" w:hAnsi="Arial Narrow"/>
                <w:lang w:val="es-ES" w:eastAsia="es-ES"/>
              </w:rPr>
              <w:t>74.665.259</w:t>
            </w:r>
          </w:p>
        </w:tc>
        <w:tc>
          <w:tcPr>
            <w:tcW w:w="159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357" w:type="dxa"/>
            <w:gridSpan w:val="2"/>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45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190"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414"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497" w:type="dxa"/>
            <w:tcBorders>
              <w:top w:val="single" w:sz="4" w:space="0" w:color="auto"/>
              <w:left w:val="nil"/>
              <w:bottom w:val="single" w:sz="4" w:space="0" w:color="auto"/>
              <w:right w:val="nil"/>
            </w:tcBorders>
            <w:shd w:val="clear" w:color="auto" w:fill="auto"/>
            <w:noWrap/>
            <w:vAlign w:val="center"/>
            <w:hideMark/>
          </w:tcPr>
          <w:p w:rsidR="00B82D35" w:rsidRPr="0018789F" w:rsidRDefault="00FE711B"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2.379.780</w:t>
            </w:r>
          </w:p>
        </w:tc>
        <w:tc>
          <w:tcPr>
            <w:tcW w:w="1587"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b/>
                <w:bCs/>
                <w:color w:val="000000"/>
                <w:lang w:val="es-ES" w:eastAsia="es-ES"/>
              </w:rPr>
            </w:pPr>
            <w:r w:rsidRPr="0018789F">
              <w:rPr>
                <w:rFonts w:ascii="Arial Narrow" w:hAnsi="Arial Narrow"/>
                <w:b/>
                <w:bCs/>
                <w:color w:val="000000"/>
                <w:lang w:val="es-ES" w:eastAsia="es-ES"/>
              </w:rPr>
              <w:t>2.03</w:t>
            </w:r>
            <w:r w:rsidR="00FE711B">
              <w:rPr>
                <w:rFonts w:ascii="Arial Narrow" w:hAnsi="Arial Narrow"/>
                <w:b/>
                <w:bCs/>
                <w:color w:val="000000"/>
                <w:lang w:val="es-ES" w:eastAsia="es-ES"/>
              </w:rPr>
              <w:t>0.502</w:t>
            </w:r>
          </w:p>
        </w:tc>
      </w:tr>
      <w:tr w:rsidR="00B82D35" w:rsidRPr="0018789F" w:rsidTr="00B82D35">
        <w:trPr>
          <w:trHeight w:val="255"/>
          <w:jc w:val="center"/>
        </w:trPr>
        <w:tc>
          <w:tcPr>
            <w:tcW w:w="1568" w:type="dxa"/>
            <w:tcBorders>
              <w:top w:val="nil"/>
              <w:left w:val="nil"/>
              <w:bottom w:val="nil"/>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lang w:val="es-ES" w:eastAsia="es-ES"/>
              </w:rPr>
            </w:pPr>
          </w:p>
        </w:tc>
        <w:tc>
          <w:tcPr>
            <w:tcW w:w="1582" w:type="dxa"/>
            <w:gridSpan w:val="2"/>
            <w:tcBorders>
              <w:top w:val="nil"/>
              <w:left w:val="nil"/>
              <w:bottom w:val="nil"/>
              <w:right w:val="nil"/>
            </w:tcBorders>
            <w:shd w:val="clear" w:color="auto" w:fill="auto"/>
            <w:noWrap/>
            <w:vAlign w:val="center"/>
          </w:tcPr>
          <w:p w:rsidR="00B82D35" w:rsidRPr="00AA170D" w:rsidRDefault="00FE711B" w:rsidP="003E384D">
            <w:pPr>
              <w:spacing w:after="0"/>
              <w:ind w:firstLine="0"/>
              <w:jc w:val="right"/>
              <w:rPr>
                <w:rFonts w:ascii="Arial Narrow" w:hAnsi="Arial Narrow"/>
                <w:lang w:val="es-ES" w:eastAsia="es-ES"/>
              </w:rPr>
            </w:pPr>
            <w:r w:rsidRPr="00AA170D">
              <w:rPr>
                <w:rFonts w:ascii="Arial Narrow" w:hAnsi="Arial Narrow"/>
                <w:lang w:val="es-ES" w:eastAsia="es-ES"/>
              </w:rPr>
              <w:t>76.695.761</w:t>
            </w: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01/01/2009</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4,021%</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0,411%</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4,432%</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23/02/2009</w:t>
            </w:r>
          </w:p>
        </w:tc>
        <w:tc>
          <w:tcPr>
            <w:tcW w:w="1497" w:type="dxa"/>
            <w:tcBorders>
              <w:top w:val="nil"/>
              <w:left w:val="nil"/>
              <w:bottom w:val="nil"/>
              <w:right w:val="nil"/>
            </w:tcBorders>
            <w:shd w:val="clear" w:color="auto" w:fill="auto"/>
            <w:noWrap/>
            <w:vAlign w:val="center"/>
            <w:hideMark/>
          </w:tcPr>
          <w:p w:rsidR="00B82D35" w:rsidRPr="0018789F" w:rsidRDefault="00FE711B"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500.399</w:t>
            </w:r>
          </w:p>
        </w:tc>
        <w:tc>
          <w:tcPr>
            <w:tcW w:w="1587" w:type="dxa"/>
            <w:tcBorders>
              <w:top w:val="nil"/>
              <w:left w:val="nil"/>
              <w:bottom w:val="nil"/>
              <w:right w:val="nil"/>
            </w:tcBorders>
            <w:shd w:val="clear" w:color="auto" w:fill="auto"/>
            <w:noWrap/>
            <w:vAlign w:val="center"/>
            <w:hideMark/>
          </w:tcPr>
          <w:p w:rsidR="00B82D35" w:rsidRPr="0018789F" w:rsidRDefault="00FE711B"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849.676</w:t>
            </w:r>
          </w:p>
        </w:tc>
      </w:tr>
      <w:tr w:rsidR="00B82D35" w:rsidRPr="0018789F" w:rsidTr="00B82D35">
        <w:trPr>
          <w:trHeight w:val="255"/>
          <w:jc w:val="center"/>
        </w:trPr>
        <w:tc>
          <w:tcPr>
            <w:tcW w:w="1568"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center"/>
              <w:rPr>
                <w:rFonts w:ascii="Arial Narrow" w:hAnsi="Arial Narrow"/>
                <w:color w:val="000000"/>
                <w:lang w:val="es-ES" w:eastAsia="es-ES"/>
              </w:rPr>
            </w:pPr>
          </w:p>
        </w:tc>
        <w:tc>
          <w:tcPr>
            <w:tcW w:w="1582" w:type="dxa"/>
            <w:gridSpan w:val="2"/>
            <w:tcBorders>
              <w:top w:val="nil"/>
              <w:left w:val="nil"/>
              <w:bottom w:val="nil"/>
              <w:right w:val="nil"/>
            </w:tcBorders>
            <w:shd w:val="clear" w:color="auto" w:fill="auto"/>
            <w:noWrap/>
            <w:vAlign w:val="center"/>
          </w:tcPr>
          <w:p w:rsidR="00B82D35" w:rsidRPr="00AA170D" w:rsidRDefault="00B82D35" w:rsidP="003E384D">
            <w:pPr>
              <w:spacing w:after="0"/>
              <w:ind w:firstLine="0"/>
              <w:jc w:val="right"/>
              <w:rPr>
                <w:rFonts w:ascii="Arial Narrow" w:hAnsi="Arial Narrow"/>
                <w:lang w:val="es-ES" w:eastAsia="es-ES"/>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23/02/2009</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1,867%</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0,411%</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2,278%</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23/05/2009</w:t>
            </w:r>
          </w:p>
        </w:tc>
        <w:tc>
          <w:tcPr>
            <w:tcW w:w="1497" w:type="dxa"/>
            <w:tcBorders>
              <w:top w:val="nil"/>
              <w:left w:val="nil"/>
              <w:bottom w:val="nil"/>
              <w:right w:val="nil"/>
            </w:tcBorders>
            <w:shd w:val="clear" w:color="auto" w:fill="auto"/>
            <w:noWrap/>
            <w:vAlign w:val="center"/>
          </w:tcPr>
          <w:p w:rsidR="00B82D35" w:rsidRPr="0018789F" w:rsidRDefault="00FE711B"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431.874</w:t>
            </w:r>
          </w:p>
        </w:tc>
        <w:tc>
          <w:tcPr>
            <w:tcW w:w="1587" w:type="dxa"/>
            <w:tcBorders>
              <w:top w:val="nil"/>
              <w:left w:val="nil"/>
              <w:bottom w:val="nil"/>
              <w:right w:val="nil"/>
            </w:tcBorders>
            <w:shd w:val="clear" w:color="auto" w:fill="auto"/>
            <w:noWrap/>
            <w:vAlign w:val="center"/>
          </w:tcPr>
          <w:p w:rsidR="00B82D35" w:rsidRPr="0018789F" w:rsidRDefault="00B82D35" w:rsidP="003E384D">
            <w:pPr>
              <w:spacing w:after="0"/>
              <w:ind w:firstLine="0"/>
              <w:jc w:val="right"/>
              <w:rPr>
                <w:rFonts w:ascii="Arial Narrow" w:hAnsi="Arial Narrow"/>
                <w:b/>
                <w:bCs/>
                <w:color w:val="000000"/>
                <w:lang w:val="es-ES" w:eastAsia="es-ES"/>
              </w:rPr>
            </w:pPr>
            <w:r w:rsidRPr="0018789F">
              <w:rPr>
                <w:rFonts w:ascii="Arial Narrow" w:hAnsi="Arial Narrow"/>
                <w:color w:val="000000"/>
                <w:lang w:val="es-ES" w:eastAsia="es-ES"/>
              </w:rPr>
              <w:t>4</w:t>
            </w:r>
            <w:r w:rsidR="00FE711B">
              <w:rPr>
                <w:rFonts w:ascii="Arial Narrow" w:hAnsi="Arial Narrow"/>
                <w:color w:val="000000"/>
                <w:lang w:val="es-ES" w:eastAsia="es-ES"/>
              </w:rPr>
              <w:t>31.874</w:t>
            </w:r>
          </w:p>
        </w:tc>
      </w:tr>
      <w:tr w:rsidR="00B82D35" w:rsidRPr="0018789F" w:rsidTr="00B82D35">
        <w:trPr>
          <w:trHeight w:val="255"/>
          <w:jc w:val="center"/>
        </w:trPr>
        <w:tc>
          <w:tcPr>
            <w:tcW w:w="1568"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center"/>
              <w:rPr>
                <w:rFonts w:ascii="Arial Narrow" w:hAnsi="Arial Narrow"/>
                <w:color w:val="000000"/>
                <w:lang w:val="es-ES" w:eastAsia="es-ES"/>
              </w:rPr>
            </w:pPr>
          </w:p>
        </w:tc>
        <w:tc>
          <w:tcPr>
            <w:tcW w:w="1582" w:type="dxa"/>
            <w:gridSpan w:val="2"/>
            <w:tcBorders>
              <w:top w:val="nil"/>
              <w:left w:val="nil"/>
              <w:bottom w:val="nil"/>
              <w:right w:val="nil"/>
            </w:tcBorders>
            <w:shd w:val="clear" w:color="auto" w:fill="auto"/>
            <w:noWrap/>
            <w:vAlign w:val="center"/>
          </w:tcPr>
          <w:p w:rsidR="00B82D35" w:rsidRPr="00AA170D" w:rsidRDefault="00B82D35" w:rsidP="003E384D">
            <w:pPr>
              <w:spacing w:after="0"/>
              <w:ind w:firstLine="0"/>
              <w:jc w:val="right"/>
              <w:rPr>
                <w:rFonts w:ascii="Arial Narrow" w:hAnsi="Arial Narrow"/>
                <w:lang w:val="es-ES" w:eastAsia="es-ES"/>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23/05/2009</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1,255%</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0,961%</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2,216%</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23/08/2009</w:t>
            </w:r>
          </w:p>
        </w:tc>
        <w:tc>
          <w:tcPr>
            <w:tcW w:w="1497"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4</w:t>
            </w:r>
            <w:r w:rsidR="00FE711B">
              <w:rPr>
                <w:rFonts w:ascii="Arial Narrow" w:hAnsi="Arial Narrow"/>
                <w:color w:val="000000"/>
                <w:lang w:val="es-ES" w:eastAsia="es-ES"/>
              </w:rPr>
              <w:t>34.337</w:t>
            </w:r>
          </w:p>
        </w:tc>
        <w:tc>
          <w:tcPr>
            <w:tcW w:w="1587" w:type="dxa"/>
            <w:tcBorders>
              <w:top w:val="nil"/>
              <w:left w:val="nil"/>
              <w:bottom w:val="nil"/>
              <w:right w:val="nil"/>
            </w:tcBorders>
            <w:shd w:val="clear" w:color="auto" w:fill="auto"/>
            <w:noWrap/>
            <w:vAlign w:val="center"/>
            <w:hideMark/>
          </w:tcPr>
          <w:p w:rsidR="00B82D35" w:rsidRPr="0018789F" w:rsidRDefault="00FE711B"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434.337</w:t>
            </w:r>
          </w:p>
        </w:tc>
      </w:tr>
      <w:tr w:rsidR="00B82D35" w:rsidRPr="0018789F" w:rsidTr="00B82D35">
        <w:trPr>
          <w:trHeight w:val="255"/>
          <w:jc w:val="center"/>
        </w:trPr>
        <w:tc>
          <w:tcPr>
            <w:tcW w:w="1568" w:type="dxa"/>
            <w:tcBorders>
              <w:top w:val="nil"/>
              <w:left w:val="nil"/>
              <w:bottom w:val="nil"/>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lang w:val="es-ES" w:eastAsia="es-ES"/>
              </w:rPr>
            </w:pPr>
          </w:p>
        </w:tc>
        <w:tc>
          <w:tcPr>
            <w:tcW w:w="1582" w:type="dxa"/>
            <w:gridSpan w:val="2"/>
            <w:tcBorders>
              <w:top w:val="nil"/>
              <w:left w:val="nil"/>
              <w:bottom w:val="nil"/>
              <w:right w:val="nil"/>
            </w:tcBorders>
            <w:shd w:val="clear" w:color="auto" w:fill="auto"/>
            <w:noWrap/>
            <w:vAlign w:val="center"/>
          </w:tcPr>
          <w:p w:rsidR="00B82D35" w:rsidRPr="00AA170D" w:rsidRDefault="00B82D35" w:rsidP="003E384D">
            <w:pPr>
              <w:spacing w:after="0"/>
              <w:ind w:firstLine="0"/>
              <w:jc w:val="right"/>
              <w:rPr>
                <w:rFonts w:ascii="Arial Narrow" w:hAnsi="Arial Narrow"/>
                <w:lang w:val="es-ES" w:eastAsia="es-ES"/>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23/08/2009</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0,849%</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0,961%</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1,810%</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23/11/2009</w:t>
            </w:r>
          </w:p>
        </w:tc>
        <w:tc>
          <w:tcPr>
            <w:tcW w:w="1497"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3</w:t>
            </w:r>
            <w:r w:rsidR="00FE711B">
              <w:rPr>
                <w:rFonts w:ascii="Arial Narrow" w:hAnsi="Arial Narrow"/>
                <w:color w:val="000000"/>
                <w:lang w:val="es-ES" w:eastAsia="es-ES"/>
              </w:rPr>
              <w:t>54.761</w:t>
            </w:r>
          </w:p>
        </w:tc>
        <w:tc>
          <w:tcPr>
            <w:tcW w:w="1587" w:type="dxa"/>
            <w:tcBorders>
              <w:top w:val="nil"/>
              <w:left w:val="nil"/>
              <w:bottom w:val="nil"/>
              <w:right w:val="nil"/>
            </w:tcBorders>
            <w:shd w:val="clear" w:color="auto" w:fill="auto"/>
            <w:noWrap/>
            <w:vAlign w:val="center"/>
            <w:hideMark/>
          </w:tcPr>
          <w:p w:rsidR="00B82D35" w:rsidRPr="0018789F" w:rsidRDefault="00FE711B"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354.761</w:t>
            </w:r>
          </w:p>
        </w:tc>
      </w:tr>
      <w:tr w:rsidR="00B82D35" w:rsidRPr="0018789F" w:rsidTr="00B82D35">
        <w:trPr>
          <w:trHeight w:val="255"/>
          <w:jc w:val="center"/>
        </w:trPr>
        <w:tc>
          <w:tcPr>
            <w:tcW w:w="1568" w:type="dxa"/>
            <w:tcBorders>
              <w:top w:val="nil"/>
              <w:left w:val="nil"/>
              <w:bottom w:val="single" w:sz="4" w:space="0" w:color="auto"/>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lang w:val="es-ES" w:eastAsia="es-ES"/>
              </w:rPr>
            </w:pPr>
          </w:p>
        </w:tc>
        <w:tc>
          <w:tcPr>
            <w:tcW w:w="1582" w:type="dxa"/>
            <w:gridSpan w:val="2"/>
            <w:tcBorders>
              <w:top w:val="nil"/>
              <w:left w:val="nil"/>
              <w:bottom w:val="single" w:sz="4" w:space="0" w:color="auto"/>
              <w:right w:val="nil"/>
            </w:tcBorders>
            <w:shd w:val="clear" w:color="auto" w:fill="auto"/>
            <w:noWrap/>
            <w:vAlign w:val="center"/>
          </w:tcPr>
          <w:p w:rsidR="00B82D35" w:rsidRPr="00AA170D" w:rsidRDefault="00B82D35" w:rsidP="003E384D">
            <w:pPr>
              <w:spacing w:after="0"/>
              <w:ind w:firstLine="0"/>
              <w:jc w:val="right"/>
              <w:rPr>
                <w:rFonts w:ascii="Arial Narrow" w:hAnsi="Arial Narrow"/>
                <w:lang w:val="es-ES" w:eastAsia="es-ES"/>
              </w:rPr>
            </w:pPr>
          </w:p>
        </w:tc>
        <w:tc>
          <w:tcPr>
            <w:tcW w:w="1596"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23/11/2009</w:t>
            </w:r>
          </w:p>
        </w:tc>
        <w:tc>
          <w:tcPr>
            <w:tcW w:w="1357" w:type="dxa"/>
            <w:gridSpan w:val="2"/>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0,715%</w:t>
            </w:r>
          </w:p>
        </w:tc>
        <w:tc>
          <w:tcPr>
            <w:tcW w:w="1456"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0,961%</w:t>
            </w:r>
          </w:p>
        </w:tc>
        <w:tc>
          <w:tcPr>
            <w:tcW w:w="1190"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1,676%</w:t>
            </w:r>
          </w:p>
        </w:tc>
        <w:tc>
          <w:tcPr>
            <w:tcW w:w="1414"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31/12/2009</w:t>
            </w:r>
          </w:p>
        </w:tc>
        <w:tc>
          <w:tcPr>
            <w:tcW w:w="1497"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13</w:t>
            </w:r>
            <w:r w:rsidR="00FE711B">
              <w:rPr>
                <w:rFonts w:ascii="Arial Narrow" w:hAnsi="Arial Narrow"/>
                <w:color w:val="000000"/>
                <w:lang w:val="es-ES" w:eastAsia="es-ES"/>
              </w:rPr>
              <w:t>5.683</w:t>
            </w:r>
          </w:p>
        </w:tc>
        <w:tc>
          <w:tcPr>
            <w:tcW w:w="1587"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w:t>
            </w:r>
          </w:p>
        </w:tc>
      </w:tr>
      <w:tr w:rsidR="00B82D35" w:rsidRPr="0018789F" w:rsidTr="0018789F">
        <w:trPr>
          <w:trHeight w:val="312"/>
          <w:jc w:val="center"/>
        </w:trPr>
        <w:tc>
          <w:tcPr>
            <w:tcW w:w="1568" w:type="dxa"/>
            <w:tcBorders>
              <w:top w:val="single" w:sz="4" w:space="0" w:color="auto"/>
              <w:left w:val="nil"/>
              <w:bottom w:val="single" w:sz="4" w:space="0" w:color="auto"/>
              <w:right w:val="nil"/>
            </w:tcBorders>
            <w:shd w:val="clear" w:color="auto" w:fill="auto"/>
            <w:noWrap/>
            <w:vAlign w:val="center"/>
          </w:tcPr>
          <w:p w:rsidR="00B82D35" w:rsidRPr="0018789F" w:rsidRDefault="00FE711B" w:rsidP="00FE711B">
            <w:pPr>
              <w:spacing w:after="0"/>
              <w:ind w:firstLine="0"/>
              <w:jc w:val="center"/>
              <w:rPr>
                <w:rFonts w:ascii="Arial Narrow" w:hAnsi="Arial Narrow"/>
                <w:color w:val="000000"/>
                <w:lang w:val="es-ES" w:eastAsia="es-ES"/>
              </w:rPr>
            </w:pPr>
            <w:r>
              <w:rPr>
                <w:rFonts w:ascii="Arial Narrow" w:hAnsi="Arial Narrow"/>
                <w:color w:val="000000"/>
                <w:lang w:val="es-ES" w:eastAsia="es-ES"/>
              </w:rPr>
              <w:t>31/12/2009</w:t>
            </w:r>
            <w:r w:rsidR="00B82D35" w:rsidRPr="0018789F">
              <w:rPr>
                <w:rFonts w:ascii="Arial Narrow" w:hAnsi="Arial Narrow"/>
                <w:color w:val="000000"/>
                <w:lang w:val="es-ES" w:eastAsia="es-ES"/>
              </w:rPr>
              <w:t xml:space="preserve"> (*)</w:t>
            </w:r>
          </w:p>
        </w:tc>
        <w:tc>
          <w:tcPr>
            <w:tcW w:w="1582" w:type="dxa"/>
            <w:gridSpan w:val="2"/>
            <w:tcBorders>
              <w:top w:val="single" w:sz="4" w:space="0" w:color="auto"/>
              <w:left w:val="nil"/>
              <w:bottom w:val="single" w:sz="4" w:space="0" w:color="auto"/>
              <w:right w:val="nil"/>
            </w:tcBorders>
            <w:shd w:val="clear" w:color="auto" w:fill="auto"/>
            <w:noWrap/>
            <w:vAlign w:val="center"/>
          </w:tcPr>
          <w:p w:rsidR="00B82D35" w:rsidRPr="00AA170D" w:rsidRDefault="00FE711B" w:rsidP="003E384D">
            <w:pPr>
              <w:spacing w:after="0"/>
              <w:ind w:firstLine="0"/>
              <w:jc w:val="right"/>
              <w:rPr>
                <w:rFonts w:ascii="Arial Narrow" w:hAnsi="Arial Narrow"/>
                <w:lang w:val="es-ES" w:eastAsia="es-ES"/>
              </w:rPr>
            </w:pPr>
            <w:r w:rsidRPr="00AA170D">
              <w:rPr>
                <w:rFonts w:ascii="Arial Narrow" w:hAnsi="Arial Narrow"/>
                <w:lang w:val="es-ES" w:eastAsia="es-ES"/>
              </w:rPr>
              <w:t>76.695.761</w:t>
            </w:r>
          </w:p>
        </w:tc>
        <w:tc>
          <w:tcPr>
            <w:tcW w:w="159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357" w:type="dxa"/>
            <w:gridSpan w:val="2"/>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45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190"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414" w:type="dxa"/>
            <w:tcBorders>
              <w:top w:val="single" w:sz="4" w:space="0" w:color="auto"/>
              <w:left w:val="nil"/>
              <w:bottom w:val="single" w:sz="4" w:space="0" w:color="auto"/>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497" w:type="dxa"/>
            <w:tcBorders>
              <w:top w:val="single" w:sz="4" w:space="0" w:color="auto"/>
              <w:bottom w:val="single" w:sz="4" w:space="0" w:color="auto"/>
            </w:tcBorders>
            <w:shd w:val="clear" w:color="auto" w:fill="auto"/>
            <w:noWrap/>
            <w:vAlign w:val="center"/>
            <w:hideMark/>
          </w:tcPr>
          <w:p w:rsidR="00B82D35" w:rsidRPr="0018789F" w:rsidRDefault="00FE711B"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1.857.053</w:t>
            </w:r>
          </w:p>
        </w:tc>
        <w:tc>
          <w:tcPr>
            <w:tcW w:w="1587" w:type="dxa"/>
            <w:tcBorders>
              <w:top w:val="single" w:sz="4" w:space="0" w:color="auto"/>
              <w:bottom w:val="single" w:sz="4" w:space="0" w:color="auto"/>
            </w:tcBorders>
            <w:shd w:val="clear" w:color="auto" w:fill="auto"/>
            <w:noWrap/>
            <w:vAlign w:val="center"/>
            <w:hideMark/>
          </w:tcPr>
          <w:p w:rsidR="00B82D35" w:rsidRPr="0018789F" w:rsidRDefault="00FE711B" w:rsidP="003E384D">
            <w:pPr>
              <w:spacing w:after="0"/>
              <w:ind w:firstLine="0"/>
              <w:jc w:val="right"/>
              <w:rPr>
                <w:rFonts w:ascii="Arial Narrow" w:hAnsi="Arial Narrow"/>
                <w:color w:val="000000"/>
                <w:lang w:val="es-ES" w:eastAsia="es-ES"/>
              </w:rPr>
            </w:pPr>
            <w:r>
              <w:rPr>
                <w:rFonts w:ascii="Arial Narrow" w:hAnsi="Arial Narrow"/>
                <w:b/>
                <w:bCs/>
                <w:color w:val="000000"/>
                <w:lang w:val="es-ES" w:eastAsia="es-ES"/>
              </w:rPr>
              <w:t>2.070.648</w:t>
            </w:r>
          </w:p>
        </w:tc>
      </w:tr>
      <w:tr w:rsidR="00B82D35" w:rsidRPr="0018789F" w:rsidTr="00B82D35">
        <w:trPr>
          <w:trHeight w:val="255"/>
          <w:jc w:val="center"/>
        </w:trPr>
        <w:tc>
          <w:tcPr>
            <w:tcW w:w="1568" w:type="dxa"/>
            <w:tcBorders>
              <w:top w:val="nil"/>
              <w:left w:val="nil"/>
              <w:bottom w:val="nil"/>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lang w:val="es-ES" w:eastAsia="es-ES"/>
              </w:rPr>
            </w:pPr>
          </w:p>
        </w:tc>
        <w:tc>
          <w:tcPr>
            <w:tcW w:w="1582" w:type="dxa"/>
            <w:gridSpan w:val="2"/>
            <w:tcBorders>
              <w:left w:val="nil"/>
              <w:bottom w:val="nil"/>
              <w:right w:val="nil"/>
            </w:tcBorders>
            <w:shd w:val="clear" w:color="auto" w:fill="auto"/>
            <w:noWrap/>
            <w:vAlign w:val="center"/>
            <w:hideMark/>
          </w:tcPr>
          <w:p w:rsidR="00B82D35" w:rsidRPr="00AA170D" w:rsidRDefault="00FE711B" w:rsidP="003E384D">
            <w:pPr>
              <w:spacing w:after="0"/>
              <w:ind w:firstLine="0"/>
              <w:jc w:val="right"/>
              <w:rPr>
                <w:rFonts w:ascii="Arial Narrow" w:hAnsi="Arial Narrow"/>
                <w:lang w:val="es-ES" w:eastAsia="es-ES"/>
              </w:rPr>
            </w:pPr>
            <w:r w:rsidRPr="00AA170D">
              <w:rPr>
                <w:rFonts w:ascii="Arial Narrow" w:hAnsi="Arial Narrow"/>
                <w:lang w:val="es-ES" w:eastAsia="es-ES"/>
              </w:rPr>
              <w:t>78.766.409</w:t>
            </w: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01/01/2010</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0,715%</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0,961%</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1,676%</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23/02/2010</w:t>
            </w:r>
          </w:p>
        </w:tc>
        <w:tc>
          <w:tcPr>
            <w:tcW w:w="1497" w:type="dxa"/>
            <w:tcBorders>
              <w:top w:val="nil"/>
              <w:left w:val="nil"/>
              <w:bottom w:val="nil"/>
              <w:right w:val="nil"/>
            </w:tcBorders>
            <w:shd w:val="clear" w:color="auto" w:fill="auto"/>
            <w:noWrap/>
            <w:vAlign w:val="center"/>
            <w:hideMark/>
          </w:tcPr>
          <w:p w:rsidR="00B82D35" w:rsidRPr="0018789F" w:rsidRDefault="00FE711B"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194.352</w:t>
            </w:r>
          </w:p>
        </w:tc>
        <w:tc>
          <w:tcPr>
            <w:tcW w:w="1587" w:type="dxa"/>
            <w:tcBorders>
              <w:top w:val="nil"/>
              <w:left w:val="nil"/>
              <w:bottom w:val="nil"/>
              <w:right w:val="nil"/>
            </w:tcBorders>
            <w:shd w:val="clear" w:color="auto" w:fill="auto"/>
            <w:noWrap/>
            <w:vAlign w:val="center"/>
            <w:hideMark/>
          </w:tcPr>
          <w:p w:rsidR="00B82D35" w:rsidRPr="0018789F" w:rsidRDefault="00FE711B" w:rsidP="003E384D">
            <w:pPr>
              <w:spacing w:after="0"/>
              <w:ind w:firstLine="0"/>
              <w:jc w:val="right"/>
              <w:rPr>
                <w:rFonts w:ascii="Arial Narrow" w:hAnsi="Arial Narrow"/>
                <w:b/>
                <w:bCs/>
                <w:color w:val="000000"/>
                <w:lang w:val="es-ES" w:eastAsia="es-ES"/>
              </w:rPr>
            </w:pPr>
            <w:r>
              <w:rPr>
                <w:rFonts w:ascii="Arial Narrow" w:hAnsi="Arial Narrow"/>
                <w:color w:val="000000"/>
                <w:lang w:val="es-ES" w:eastAsia="es-ES"/>
              </w:rPr>
              <w:t>330.035</w:t>
            </w:r>
          </w:p>
        </w:tc>
      </w:tr>
      <w:tr w:rsidR="00B82D35" w:rsidRPr="0018789F" w:rsidTr="00B82D35">
        <w:trPr>
          <w:trHeight w:val="255"/>
          <w:jc w:val="center"/>
        </w:trPr>
        <w:tc>
          <w:tcPr>
            <w:tcW w:w="1568"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center"/>
              <w:rPr>
                <w:rFonts w:ascii="Arial Narrow" w:hAnsi="Arial Narrow"/>
                <w:color w:val="000000"/>
                <w:lang w:val="es-ES" w:eastAsia="es-ES"/>
              </w:rPr>
            </w:pPr>
          </w:p>
        </w:tc>
        <w:tc>
          <w:tcPr>
            <w:tcW w:w="1582" w:type="dxa"/>
            <w:gridSpan w:val="2"/>
            <w:tcBorders>
              <w:top w:val="nil"/>
              <w:left w:val="nil"/>
              <w:bottom w:val="nil"/>
              <w:right w:val="nil"/>
            </w:tcBorders>
            <w:shd w:val="clear" w:color="auto" w:fill="auto"/>
            <w:noWrap/>
            <w:vAlign w:val="center"/>
          </w:tcPr>
          <w:p w:rsidR="00B82D35" w:rsidRPr="00AA170D" w:rsidRDefault="00B82D35" w:rsidP="003E384D">
            <w:pPr>
              <w:spacing w:after="0"/>
              <w:ind w:firstLine="0"/>
              <w:jc w:val="right"/>
              <w:rPr>
                <w:rFonts w:ascii="Arial Narrow" w:hAnsi="Arial Narrow"/>
                <w:lang w:val="es-ES" w:eastAsia="es-ES"/>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23/02/2010</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0,661%</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0,961%</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1,622%</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23/05/2010</w:t>
            </w:r>
          </w:p>
        </w:tc>
        <w:tc>
          <w:tcPr>
            <w:tcW w:w="1497"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3</w:t>
            </w:r>
            <w:r w:rsidR="00FE711B">
              <w:rPr>
                <w:rFonts w:ascii="Arial Narrow" w:hAnsi="Arial Narrow"/>
                <w:color w:val="000000"/>
                <w:lang w:val="es-ES" w:eastAsia="es-ES"/>
              </w:rPr>
              <w:t>15.849</w:t>
            </w:r>
          </w:p>
        </w:tc>
        <w:tc>
          <w:tcPr>
            <w:tcW w:w="1587" w:type="dxa"/>
            <w:tcBorders>
              <w:top w:val="nil"/>
              <w:left w:val="nil"/>
              <w:bottom w:val="nil"/>
              <w:right w:val="nil"/>
            </w:tcBorders>
            <w:shd w:val="clear" w:color="auto" w:fill="auto"/>
            <w:noWrap/>
            <w:vAlign w:val="center"/>
            <w:hideMark/>
          </w:tcPr>
          <w:p w:rsidR="00B82D35" w:rsidRPr="0018789F" w:rsidRDefault="00FE711B"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315.849</w:t>
            </w:r>
          </w:p>
        </w:tc>
      </w:tr>
      <w:tr w:rsidR="00B82D35" w:rsidRPr="0018789F" w:rsidTr="00B82D35">
        <w:trPr>
          <w:trHeight w:val="255"/>
          <w:jc w:val="center"/>
        </w:trPr>
        <w:tc>
          <w:tcPr>
            <w:tcW w:w="1568"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center"/>
              <w:rPr>
                <w:rFonts w:ascii="Arial Narrow" w:hAnsi="Arial Narrow"/>
                <w:color w:val="000000"/>
                <w:lang w:val="es-ES" w:eastAsia="es-ES"/>
              </w:rPr>
            </w:pPr>
          </w:p>
        </w:tc>
        <w:tc>
          <w:tcPr>
            <w:tcW w:w="1582" w:type="dxa"/>
            <w:gridSpan w:val="2"/>
            <w:tcBorders>
              <w:top w:val="nil"/>
              <w:left w:val="nil"/>
              <w:bottom w:val="nil"/>
              <w:right w:val="nil"/>
            </w:tcBorders>
            <w:shd w:val="clear" w:color="auto" w:fill="auto"/>
            <w:noWrap/>
            <w:vAlign w:val="center"/>
          </w:tcPr>
          <w:p w:rsidR="00B82D35" w:rsidRPr="00AA170D" w:rsidRDefault="00B82D35" w:rsidP="003E384D">
            <w:pPr>
              <w:spacing w:after="0"/>
              <w:ind w:firstLine="0"/>
              <w:jc w:val="right"/>
              <w:rPr>
                <w:rFonts w:ascii="Arial Narrow" w:hAnsi="Arial Narrow"/>
                <w:lang w:val="es-ES" w:eastAsia="es-ES"/>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23/05/2010</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0,695%</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1,000%</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1,695%</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23/08/2010</w:t>
            </w:r>
          </w:p>
        </w:tc>
        <w:tc>
          <w:tcPr>
            <w:tcW w:w="1497"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3</w:t>
            </w:r>
            <w:r w:rsidR="00FE711B">
              <w:rPr>
                <w:rFonts w:ascii="Arial Narrow" w:hAnsi="Arial Narrow"/>
                <w:color w:val="000000"/>
                <w:lang w:val="es-ES" w:eastAsia="es-ES"/>
              </w:rPr>
              <w:t>41.190</w:t>
            </w:r>
          </w:p>
        </w:tc>
        <w:tc>
          <w:tcPr>
            <w:tcW w:w="1587" w:type="dxa"/>
            <w:tcBorders>
              <w:top w:val="nil"/>
              <w:left w:val="nil"/>
              <w:bottom w:val="nil"/>
              <w:right w:val="nil"/>
            </w:tcBorders>
            <w:shd w:val="clear" w:color="auto" w:fill="auto"/>
            <w:noWrap/>
            <w:vAlign w:val="center"/>
            <w:hideMark/>
          </w:tcPr>
          <w:p w:rsidR="00B82D35" w:rsidRPr="0018789F" w:rsidRDefault="00FE711B"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341.190</w:t>
            </w:r>
          </w:p>
        </w:tc>
      </w:tr>
      <w:tr w:rsidR="00B82D35" w:rsidRPr="0018789F" w:rsidTr="00B82D35">
        <w:trPr>
          <w:trHeight w:val="255"/>
          <w:jc w:val="center"/>
        </w:trPr>
        <w:tc>
          <w:tcPr>
            <w:tcW w:w="1568" w:type="dxa"/>
            <w:tcBorders>
              <w:top w:val="nil"/>
              <w:left w:val="nil"/>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lang w:val="es-ES" w:eastAsia="es-ES"/>
              </w:rPr>
            </w:pPr>
          </w:p>
        </w:tc>
        <w:tc>
          <w:tcPr>
            <w:tcW w:w="1582" w:type="dxa"/>
            <w:gridSpan w:val="2"/>
            <w:tcBorders>
              <w:top w:val="nil"/>
              <w:left w:val="nil"/>
              <w:right w:val="nil"/>
            </w:tcBorders>
            <w:shd w:val="clear" w:color="auto" w:fill="auto"/>
            <w:noWrap/>
            <w:vAlign w:val="center"/>
          </w:tcPr>
          <w:p w:rsidR="00B82D35" w:rsidRPr="00AA170D" w:rsidRDefault="00B82D35" w:rsidP="003E384D">
            <w:pPr>
              <w:spacing w:after="0"/>
              <w:ind w:firstLine="0"/>
              <w:jc w:val="right"/>
              <w:rPr>
                <w:rFonts w:ascii="Arial Narrow" w:hAnsi="Arial Narrow"/>
                <w:lang w:val="es-ES" w:eastAsia="es-ES"/>
              </w:rPr>
            </w:pPr>
          </w:p>
        </w:tc>
        <w:tc>
          <w:tcPr>
            <w:tcW w:w="1596" w:type="dxa"/>
            <w:tcBorders>
              <w:top w:val="nil"/>
              <w:left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23/08/2010</w:t>
            </w:r>
          </w:p>
        </w:tc>
        <w:tc>
          <w:tcPr>
            <w:tcW w:w="1357" w:type="dxa"/>
            <w:gridSpan w:val="2"/>
            <w:tcBorders>
              <w:top w:val="nil"/>
              <w:left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0,891%</w:t>
            </w:r>
          </w:p>
        </w:tc>
        <w:tc>
          <w:tcPr>
            <w:tcW w:w="1456" w:type="dxa"/>
            <w:tcBorders>
              <w:top w:val="nil"/>
              <w:left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1,000%</w:t>
            </w:r>
          </w:p>
        </w:tc>
        <w:tc>
          <w:tcPr>
            <w:tcW w:w="1190" w:type="dxa"/>
            <w:tcBorders>
              <w:top w:val="nil"/>
              <w:left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1,891%</w:t>
            </w:r>
          </w:p>
        </w:tc>
        <w:tc>
          <w:tcPr>
            <w:tcW w:w="1414" w:type="dxa"/>
            <w:tcBorders>
              <w:top w:val="nil"/>
              <w:left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23/11/2010</w:t>
            </w:r>
          </w:p>
        </w:tc>
        <w:tc>
          <w:tcPr>
            <w:tcW w:w="1497" w:type="dxa"/>
            <w:tcBorders>
              <w:top w:val="nil"/>
              <w:left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3</w:t>
            </w:r>
            <w:r w:rsidR="00FE711B">
              <w:rPr>
                <w:rFonts w:ascii="Arial Narrow" w:hAnsi="Arial Narrow"/>
                <w:color w:val="000000"/>
                <w:lang w:val="es-ES" w:eastAsia="es-ES"/>
              </w:rPr>
              <w:t>80.643</w:t>
            </w:r>
          </w:p>
        </w:tc>
        <w:tc>
          <w:tcPr>
            <w:tcW w:w="1587" w:type="dxa"/>
            <w:tcBorders>
              <w:top w:val="nil"/>
              <w:left w:val="nil"/>
              <w:right w:val="nil"/>
            </w:tcBorders>
            <w:shd w:val="clear" w:color="auto" w:fill="auto"/>
            <w:noWrap/>
            <w:vAlign w:val="center"/>
            <w:hideMark/>
          </w:tcPr>
          <w:p w:rsidR="00B82D35" w:rsidRPr="0018789F" w:rsidRDefault="00FE711B"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380.643</w:t>
            </w:r>
          </w:p>
        </w:tc>
      </w:tr>
      <w:tr w:rsidR="00B82D35" w:rsidRPr="0018789F" w:rsidTr="00B82D35">
        <w:trPr>
          <w:trHeight w:val="255"/>
          <w:jc w:val="center"/>
        </w:trPr>
        <w:tc>
          <w:tcPr>
            <w:tcW w:w="1568" w:type="dxa"/>
            <w:tcBorders>
              <w:top w:val="nil"/>
              <w:left w:val="nil"/>
              <w:bottom w:val="single" w:sz="4" w:space="0" w:color="auto"/>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lang w:val="es-ES" w:eastAsia="es-ES"/>
              </w:rPr>
            </w:pPr>
          </w:p>
        </w:tc>
        <w:tc>
          <w:tcPr>
            <w:tcW w:w="1582" w:type="dxa"/>
            <w:gridSpan w:val="2"/>
            <w:tcBorders>
              <w:top w:val="nil"/>
              <w:left w:val="nil"/>
              <w:bottom w:val="single" w:sz="4" w:space="0" w:color="auto"/>
              <w:right w:val="nil"/>
            </w:tcBorders>
            <w:shd w:val="clear" w:color="auto" w:fill="auto"/>
            <w:noWrap/>
            <w:vAlign w:val="center"/>
          </w:tcPr>
          <w:p w:rsidR="00B82D35" w:rsidRPr="00AA170D" w:rsidRDefault="00B82D35" w:rsidP="003E384D">
            <w:pPr>
              <w:spacing w:after="0"/>
              <w:ind w:firstLine="0"/>
              <w:jc w:val="right"/>
              <w:rPr>
                <w:rFonts w:ascii="Arial Narrow" w:hAnsi="Arial Narrow"/>
                <w:lang w:val="es-ES" w:eastAsia="es-ES"/>
              </w:rPr>
            </w:pPr>
          </w:p>
        </w:tc>
        <w:tc>
          <w:tcPr>
            <w:tcW w:w="1596"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23/11/2010</w:t>
            </w:r>
          </w:p>
        </w:tc>
        <w:tc>
          <w:tcPr>
            <w:tcW w:w="1357" w:type="dxa"/>
            <w:gridSpan w:val="2"/>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1,035%</w:t>
            </w:r>
          </w:p>
        </w:tc>
        <w:tc>
          <w:tcPr>
            <w:tcW w:w="1456"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1,000%</w:t>
            </w:r>
          </w:p>
        </w:tc>
        <w:tc>
          <w:tcPr>
            <w:tcW w:w="1190"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2,035%</w:t>
            </w:r>
          </w:p>
        </w:tc>
        <w:tc>
          <w:tcPr>
            <w:tcW w:w="1414"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31/12/2010</w:t>
            </w:r>
          </w:p>
        </w:tc>
        <w:tc>
          <w:tcPr>
            <w:tcW w:w="1497"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1</w:t>
            </w:r>
            <w:r w:rsidR="00FE711B">
              <w:rPr>
                <w:rFonts w:ascii="Arial Narrow" w:hAnsi="Arial Narrow"/>
                <w:color w:val="000000"/>
                <w:lang w:val="es-ES" w:eastAsia="es-ES"/>
              </w:rPr>
              <w:t>69.195</w:t>
            </w:r>
          </w:p>
        </w:tc>
        <w:tc>
          <w:tcPr>
            <w:tcW w:w="1587"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w:t>
            </w:r>
          </w:p>
        </w:tc>
      </w:tr>
      <w:tr w:rsidR="00B82D35" w:rsidRPr="002504B4" w:rsidTr="00B82D35">
        <w:trPr>
          <w:trHeight w:val="255"/>
          <w:jc w:val="center"/>
        </w:trPr>
        <w:tc>
          <w:tcPr>
            <w:tcW w:w="1568" w:type="dxa"/>
            <w:tcBorders>
              <w:top w:val="single" w:sz="4" w:space="0" w:color="auto"/>
              <w:left w:val="nil"/>
              <w:right w:val="nil"/>
            </w:tcBorders>
            <w:shd w:val="clear" w:color="auto" w:fill="auto"/>
            <w:noWrap/>
            <w:vAlign w:val="center"/>
          </w:tcPr>
          <w:p w:rsidR="00B82D35" w:rsidRPr="002504B4" w:rsidRDefault="00B82D35" w:rsidP="003E384D">
            <w:pPr>
              <w:spacing w:after="0"/>
              <w:ind w:firstLine="0"/>
              <w:jc w:val="center"/>
              <w:rPr>
                <w:rFonts w:ascii="Calibri" w:hAnsi="Calibri"/>
                <w:color w:val="000000"/>
                <w:sz w:val="22"/>
                <w:szCs w:val="22"/>
                <w:lang w:val="es-ES" w:eastAsia="es-ES"/>
              </w:rPr>
            </w:pPr>
          </w:p>
        </w:tc>
        <w:tc>
          <w:tcPr>
            <w:tcW w:w="1582" w:type="dxa"/>
            <w:gridSpan w:val="2"/>
            <w:tcBorders>
              <w:top w:val="single" w:sz="4" w:space="0" w:color="auto"/>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lang w:val="es-ES" w:eastAsia="es-ES"/>
              </w:rPr>
            </w:pPr>
          </w:p>
        </w:tc>
        <w:tc>
          <w:tcPr>
            <w:tcW w:w="1596" w:type="dxa"/>
            <w:tcBorders>
              <w:top w:val="single" w:sz="4" w:space="0" w:color="auto"/>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lang w:val="es-ES" w:eastAsia="es-ES"/>
              </w:rPr>
            </w:pPr>
          </w:p>
        </w:tc>
        <w:tc>
          <w:tcPr>
            <w:tcW w:w="1357" w:type="dxa"/>
            <w:gridSpan w:val="2"/>
            <w:tcBorders>
              <w:top w:val="single" w:sz="4" w:space="0" w:color="auto"/>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lang w:val="es-ES" w:eastAsia="es-ES"/>
              </w:rPr>
            </w:pPr>
          </w:p>
        </w:tc>
        <w:tc>
          <w:tcPr>
            <w:tcW w:w="1456" w:type="dxa"/>
            <w:tcBorders>
              <w:top w:val="single" w:sz="4" w:space="0" w:color="auto"/>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lang w:val="es-ES" w:eastAsia="es-ES"/>
              </w:rPr>
            </w:pPr>
          </w:p>
        </w:tc>
        <w:tc>
          <w:tcPr>
            <w:tcW w:w="1190" w:type="dxa"/>
            <w:tcBorders>
              <w:top w:val="single" w:sz="4" w:space="0" w:color="auto"/>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lang w:val="es-ES" w:eastAsia="es-ES"/>
              </w:rPr>
            </w:pPr>
          </w:p>
        </w:tc>
        <w:tc>
          <w:tcPr>
            <w:tcW w:w="1414" w:type="dxa"/>
            <w:tcBorders>
              <w:top w:val="single" w:sz="4" w:space="0" w:color="auto"/>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lang w:val="es-ES" w:eastAsia="es-ES"/>
              </w:rPr>
            </w:pPr>
          </w:p>
        </w:tc>
        <w:tc>
          <w:tcPr>
            <w:tcW w:w="1497" w:type="dxa"/>
            <w:tcBorders>
              <w:top w:val="single" w:sz="4" w:space="0" w:color="auto"/>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lang w:val="es-ES" w:eastAsia="es-ES"/>
              </w:rPr>
            </w:pPr>
          </w:p>
        </w:tc>
        <w:tc>
          <w:tcPr>
            <w:tcW w:w="1587" w:type="dxa"/>
            <w:tcBorders>
              <w:top w:val="single" w:sz="4" w:space="0" w:color="auto"/>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lang w:val="es-ES" w:eastAsia="es-ES"/>
              </w:rPr>
            </w:pPr>
          </w:p>
        </w:tc>
      </w:tr>
      <w:tr w:rsidR="00B82D35" w:rsidRPr="002504B4" w:rsidTr="00B82D35">
        <w:trPr>
          <w:trHeight w:val="255"/>
          <w:jc w:val="center"/>
        </w:trPr>
        <w:tc>
          <w:tcPr>
            <w:tcW w:w="1568" w:type="dxa"/>
            <w:tcBorders>
              <w:top w:val="nil"/>
              <w:left w:val="nil"/>
              <w:right w:val="nil"/>
            </w:tcBorders>
            <w:shd w:val="clear" w:color="auto" w:fill="auto"/>
            <w:noWrap/>
            <w:vAlign w:val="center"/>
          </w:tcPr>
          <w:p w:rsidR="00B82D35" w:rsidRPr="002504B4" w:rsidRDefault="00B82D35" w:rsidP="003E384D">
            <w:pPr>
              <w:spacing w:after="0"/>
              <w:ind w:firstLine="0"/>
              <w:jc w:val="center"/>
              <w:rPr>
                <w:rFonts w:ascii="Calibri" w:hAnsi="Calibri"/>
                <w:color w:val="000000"/>
                <w:sz w:val="22"/>
                <w:szCs w:val="22"/>
                <w:lang w:val="es-ES" w:eastAsia="es-ES"/>
              </w:rPr>
            </w:pPr>
          </w:p>
        </w:tc>
        <w:tc>
          <w:tcPr>
            <w:tcW w:w="1582" w:type="dxa"/>
            <w:gridSpan w:val="2"/>
            <w:tcBorders>
              <w:top w:val="nil"/>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lang w:val="es-ES" w:eastAsia="es-ES"/>
              </w:rPr>
            </w:pPr>
          </w:p>
        </w:tc>
        <w:tc>
          <w:tcPr>
            <w:tcW w:w="1596" w:type="dxa"/>
            <w:tcBorders>
              <w:top w:val="nil"/>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lang w:val="es-ES" w:eastAsia="es-ES"/>
              </w:rPr>
            </w:pPr>
          </w:p>
        </w:tc>
        <w:tc>
          <w:tcPr>
            <w:tcW w:w="1357" w:type="dxa"/>
            <w:gridSpan w:val="2"/>
            <w:tcBorders>
              <w:top w:val="nil"/>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lang w:val="es-ES" w:eastAsia="es-ES"/>
              </w:rPr>
            </w:pPr>
          </w:p>
        </w:tc>
        <w:tc>
          <w:tcPr>
            <w:tcW w:w="1456" w:type="dxa"/>
            <w:tcBorders>
              <w:top w:val="nil"/>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lang w:val="es-ES" w:eastAsia="es-ES"/>
              </w:rPr>
            </w:pPr>
          </w:p>
        </w:tc>
        <w:tc>
          <w:tcPr>
            <w:tcW w:w="1190" w:type="dxa"/>
            <w:tcBorders>
              <w:top w:val="nil"/>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lang w:val="es-ES" w:eastAsia="es-ES"/>
              </w:rPr>
            </w:pPr>
          </w:p>
        </w:tc>
        <w:tc>
          <w:tcPr>
            <w:tcW w:w="1414" w:type="dxa"/>
            <w:tcBorders>
              <w:top w:val="nil"/>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lang w:val="es-ES" w:eastAsia="es-ES"/>
              </w:rPr>
            </w:pPr>
          </w:p>
        </w:tc>
        <w:tc>
          <w:tcPr>
            <w:tcW w:w="1497" w:type="dxa"/>
            <w:tcBorders>
              <w:top w:val="nil"/>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lang w:val="es-ES" w:eastAsia="es-ES"/>
              </w:rPr>
            </w:pPr>
          </w:p>
        </w:tc>
        <w:tc>
          <w:tcPr>
            <w:tcW w:w="1587" w:type="dxa"/>
            <w:tcBorders>
              <w:top w:val="nil"/>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lang w:val="es-ES" w:eastAsia="es-ES"/>
              </w:rPr>
            </w:pPr>
          </w:p>
        </w:tc>
      </w:tr>
      <w:tr w:rsidR="00B82D35" w:rsidRPr="002504B4" w:rsidTr="00B82D35">
        <w:trPr>
          <w:trHeight w:val="255"/>
          <w:jc w:val="center"/>
        </w:trPr>
        <w:tc>
          <w:tcPr>
            <w:tcW w:w="1568" w:type="dxa"/>
            <w:tcBorders>
              <w:top w:val="nil"/>
              <w:left w:val="nil"/>
              <w:right w:val="nil"/>
            </w:tcBorders>
            <w:shd w:val="clear" w:color="auto" w:fill="auto"/>
            <w:noWrap/>
            <w:vAlign w:val="center"/>
          </w:tcPr>
          <w:p w:rsidR="00B82D35" w:rsidRPr="002504B4" w:rsidRDefault="00B82D35" w:rsidP="003E384D">
            <w:pPr>
              <w:spacing w:after="0"/>
              <w:ind w:firstLine="0"/>
              <w:jc w:val="center"/>
              <w:rPr>
                <w:rFonts w:ascii="Calibri" w:hAnsi="Calibri"/>
                <w:color w:val="000000"/>
                <w:sz w:val="22"/>
                <w:szCs w:val="22"/>
                <w:lang w:val="es-ES" w:eastAsia="es-ES"/>
              </w:rPr>
            </w:pPr>
          </w:p>
        </w:tc>
        <w:tc>
          <w:tcPr>
            <w:tcW w:w="1582" w:type="dxa"/>
            <w:gridSpan w:val="2"/>
            <w:tcBorders>
              <w:top w:val="nil"/>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lang w:val="es-ES" w:eastAsia="es-ES"/>
              </w:rPr>
            </w:pPr>
          </w:p>
        </w:tc>
        <w:tc>
          <w:tcPr>
            <w:tcW w:w="1596" w:type="dxa"/>
            <w:tcBorders>
              <w:top w:val="nil"/>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lang w:val="es-ES" w:eastAsia="es-ES"/>
              </w:rPr>
            </w:pPr>
          </w:p>
        </w:tc>
        <w:tc>
          <w:tcPr>
            <w:tcW w:w="1357" w:type="dxa"/>
            <w:gridSpan w:val="2"/>
            <w:tcBorders>
              <w:top w:val="nil"/>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lang w:val="es-ES" w:eastAsia="es-ES"/>
              </w:rPr>
            </w:pPr>
          </w:p>
        </w:tc>
        <w:tc>
          <w:tcPr>
            <w:tcW w:w="1456" w:type="dxa"/>
            <w:tcBorders>
              <w:top w:val="nil"/>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lang w:val="es-ES" w:eastAsia="es-ES"/>
              </w:rPr>
            </w:pPr>
          </w:p>
        </w:tc>
        <w:tc>
          <w:tcPr>
            <w:tcW w:w="1190" w:type="dxa"/>
            <w:tcBorders>
              <w:top w:val="nil"/>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lang w:val="es-ES" w:eastAsia="es-ES"/>
              </w:rPr>
            </w:pPr>
          </w:p>
        </w:tc>
        <w:tc>
          <w:tcPr>
            <w:tcW w:w="1414" w:type="dxa"/>
            <w:tcBorders>
              <w:top w:val="nil"/>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lang w:val="es-ES" w:eastAsia="es-ES"/>
              </w:rPr>
            </w:pPr>
          </w:p>
        </w:tc>
        <w:tc>
          <w:tcPr>
            <w:tcW w:w="1497" w:type="dxa"/>
            <w:tcBorders>
              <w:top w:val="nil"/>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lang w:val="es-ES" w:eastAsia="es-ES"/>
              </w:rPr>
            </w:pPr>
          </w:p>
        </w:tc>
        <w:tc>
          <w:tcPr>
            <w:tcW w:w="1587" w:type="dxa"/>
            <w:tcBorders>
              <w:top w:val="nil"/>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lang w:val="es-ES" w:eastAsia="es-ES"/>
              </w:rPr>
            </w:pPr>
          </w:p>
        </w:tc>
      </w:tr>
      <w:tr w:rsidR="00B82D35" w:rsidRPr="002504B4" w:rsidTr="00B82D35">
        <w:trPr>
          <w:trHeight w:val="454"/>
          <w:jc w:val="center"/>
        </w:trPr>
        <w:tc>
          <w:tcPr>
            <w:tcW w:w="1568" w:type="dxa"/>
            <w:tcBorders>
              <w:left w:val="nil"/>
              <w:bottom w:val="single" w:sz="4" w:space="0" w:color="auto"/>
              <w:right w:val="nil"/>
            </w:tcBorders>
            <w:shd w:val="clear" w:color="auto" w:fill="auto"/>
            <w:noWrap/>
            <w:vAlign w:val="center"/>
          </w:tcPr>
          <w:p w:rsidR="00B82D35" w:rsidRPr="002504B4" w:rsidRDefault="00B82D35" w:rsidP="003E384D">
            <w:pPr>
              <w:spacing w:after="0"/>
              <w:ind w:firstLine="0"/>
              <w:jc w:val="center"/>
              <w:rPr>
                <w:rFonts w:ascii="Calibri" w:hAnsi="Calibri"/>
                <w:color w:val="000000"/>
                <w:sz w:val="22"/>
                <w:szCs w:val="22"/>
                <w:lang w:val="es-ES" w:eastAsia="es-ES"/>
              </w:rPr>
            </w:pPr>
          </w:p>
        </w:tc>
        <w:tc>
          <w:tcPr>
            <w:tcW w:w="1582" w:type="dxa"/>
            <w:gridSpan w:val="2"/>
            <w:tcBorders>
              <w:left w:val="nil"/>
              <w:bottom w:val="single" w:sz="4" w:space="0" w:color="auto"/>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lang w:val="es-ES" w:eastAsia="es-ES"/>
              </w:rPr>
            </w:pPr>
          </w:p>
        </w:tc>
        <w:tc>
          <w:tcPr>
            <w:tcW w:w="1596" w:type="dxa"/>
            <w:tcBorders>
              <w:left w:val="nil"/>
              <w:bottom w:val="single" w:sz="4" w:space="0" w:color="auto"/>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lang w:val="es-ES" w:eastAsia="es-ES"/>
              </w:rPr>
            </w:pPr>
          </w:p>
        </w:tc>
        <w:tc>
          <w:tcPr>
            <w:tcW w:w="1357" w:type="dxa"/>
            <w:gridSpan w:val="2"/>
            <w:tcBorders>
              <w:left w:val="nil"/>
              <w:bottom w:val="single" w:sz="4" w:space="0" w:color="auto"/>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lang w:val="es-ES" w:eastAsia="es-ES"/>
              </w:rPr>
            </w:pPr>
          </w:p>
        </w:tc>
        <w:tc>
          <w:tcPr>
            <w:tcW w:w="1456" w:type="dxa"/>
            <w:tcBorders>
              <w:left w:val="nil"/>
              <w:bottom w:val="single" w:sz="4" w:space="0" w:color="auto"/>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lang w:val="es-ES" w:eastAsia="es-ES"/>
              </w:rPr>
            </w:pPr>
          </w:p>
        </w:tc>
        <w:tc>
          <w:tcPr>
            <w:tcW w:w="1190" w:type="dxa"/>
            <w:tcBorders>
              <w:left w:val="nil"/>
              <w:bottom w:val="single" w:sz="4" w:space="0" w:color="auto"/>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lang w:val="es-ES" w:eastAsia="es-ES"/>
              </w:rPr>
            </w:pPr>
          </w:p>
        </w:tc>
        <w:tc>
          <w:tcPr>
            <w:tcW w:w="1414" w:type="dxa"/>
            <w:tcBorders>
              <w:left w:val="nil"/>
              <w:bottom w:val="single" w:sz="4" w:space="0" w:color="auto"/>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lang w:val="es-ES" w:eastAsia="es-ES"/>
              </w:rPr>
            </w:pPr>
          </w:p>
        </w:tc>
        <w:tc>
          <w:tcPr>
            <w:tcW w:w="1497" w:type="dxa"/>
            <w:tcBorders>
              <w:left w:val="nil"/>
              <w:bottom w:val="single" w:sz="4" w:space="0" w:color="auto"/>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lang w:val="es-ES" w:eastAsia="es-ES"/>
              </w:rPr>
            </w:pPr>
          </w:p>
        </w:tc>
        <w:tc>
          <w:tcPr>
            <w:tcW w:w="1587" w:type="dxa"/>
            <w:tcBorders>
              <w:left w:val="nil"/>
              <w:bottom w:val="single" w:sz="4" w:space="0" w:color="auto"/>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lang w:val="es-ES" w:eastAsia="es-ES"/>
              </w:rPr>
            </w:pPr>
          </w:p>
        </w:tc>
      </w:tr>
      <w:tr w:rsidR="00B82D35" w:rsidRPr="002504B4" w:rsidTr="00B82D35">
        <w:trPr>
          <w:trHeight w:val="300"/>
          <w:jc w:val="center"/>
        </w:trPr>
        <w:tc>
          <w:tcPr>
            <w:tcW w:w="1568" w:type="dxa"/>
            <w:tcBorders>
              <w:top w:val="single" w:sz="4" w:space="0" w:color="auto"/>
              <w:left w:val="nil"/>
              <w:bottom w:val="single" w:sz="4" w:space="0" w:color="auto"/>
              <w:right w:val="nil"/>
            </w:tcBorders>
            <w:shd w:val="clear" w:color="auto" w:fill="8DB3E2" w:themeFill="text2" w:themeFillTint="66"/>
            <w:noWrap/>
            <w:vAlign w:val="center"/>
            <w:hideMark/>
          </w:tcPr>
          <w:p w:rsidR="00B82D35" w:rsidRPr="007A4471" w:rsidRDefault="00B82D35" w:rsidP="00B82D35">
            <w:pPr>
              <w:pStyle w:val="cuadroCabe"/>
              <w:jc w:val="center"/>
            </w:pPr>
            <w:r>
              <w:t>Año</w:t>
            </w:r>
          </w:p>
        </w:tc>
        <w:tc>
          <w:tcPr>
            <w:tcW w:w="1582" w:type="dxa"/>
            <w:gridSpan w:val="2"/>
            <w:tcBorders>
              <w:top w:val="single" w:sz="4" w:space="0" w:color="auto"/>
              <w:left w:val="nil"/>
              <w:bottom w:val="single" w:sz="4" w:space="0" w:color="auto"/>
              <w:right w:val="nil"/>
            </w:tcBorders>
            <w:shd w:val="clear" w:color="auto" w:fill="8DB3E2" w:themeFill="text2" w:themeFillTint="66"/>
            <w:noWrap/>
            <w:vAlign w:val="center"/>
            <w:hideMark/>
          </w:tcPr>
          <w:p w:rsidR="00B82D35" w:rsidRDefault="00B82D35" w:rsidP="00B82D35">
            <w:pPr>
              <w:pStyle w:val="cuadroCabe"/>
              <w:jc w:val="right"/>
            </w:pPr>
            <w:r w:rsidRPr="007A4471">
              <w:t>Importe</w:t>
            </w:r>
          </w:p>
          <w:p w:rsidR="00B82D35" w:rsidRPr="007A4471" w:rsidRDefault="00B82D35" w:rsidP="00B82D35">
            <w:pPr>
              <w:pStyle w:val="cuadroCabe"/>
              <w:jc w:val="right"/>
            </w:pPr>
            <w:r>
              <w:t>dispuesto</w:t>
            </w:r>
          </w:p>
        </w:tc>
        <w:tc>
          <w:tcPr>
            <w:tcW w:w="1596" w:type="dxa"/>
            <w:tcBorders>
              <w:top w:val="single" w:sz="4" w:space="0" w:color="auto"/>
              <w:left w:val="nil"/>
              <w:bottom w:val="single" w:sz="4" w:space="0" w:color="auto"/>
              <w:right w:val="nil"/>
            </w:tcBorders>
            <w:shd w:val="clear" w:color="auto" w:fill="8DB3E2" w:themeFill="text2" w:themeFillTint="66"/>
            <w:noWrap/>
            <w:vAlign w:val="center"/>
            <w:hideMark/>
          </w:tcPr>
          <w:p w:rsidR="00B82D35" w:rsidRPr="007A4471" w:rsidRDefault="00B82D35" w:rsidP="00B82D35">
            <w:pPr>
              <w:pStyle w:val="cuadroCabe"/>
              <w:jc w:val="right"/>
            </w:pPr>
            <w:r>
              <w:t>Fecha</w:t>
            </w:r>
          </w:p>
        </w:tc>
        <w:tc>
          <w:tcPr>
            <w:tcW w:w="1357" w:type="dxa"/>
            <w:gridSpan w:val="2"/>
            <w:tcBorders>
              <w:top w:val="single" w:sz="4" w:space="0" w:color="auto"/>
              <w:left w:val="nil"/>
              <w:bottom w:val="single" w:sz="4" w:space="0" w:color="auto"/>
              <w:right w:val="nil"/>
            </w:tcBorders>
            <w:shd w:val="clear" w:color="auto" w:fill="8DB3E2" w:themeFill="text2" w:themeFillTint="66"/>
            <w:noWrap/>
            <w:vAlign w:val="center"/>
            <w:hideMark/>
          </w:tcPr>
          <w:p w:rsidR="00B82D35" w:rsidRDefault="00B82D35" w:rsidP="00B82D35">
            <w:pPr>
              <w:pStyle w:val="cuadroCabe"/>
              <w:jc w:val="right"/>
            </w:pPr>
            <w:r w:rsidRPr="007A4471">
              <w:t xml:space="preserve">Tipo </w:t>
            </w:r>
          </w:p>
          <w:p w:rsidR="00B82D35" w:rsidRPr="007A4471" w:rsidRDefault="00B82D35" w:rsidP="00B82D35">
            <w:pPr>
              <w:pStyle w:val="cuadroCabe"/>
              <w:jc w:val="right"/>
            </w:pPr>
            <w:r>
              <w:t>Euribor</w:t>
            </w:r>
          </w:p>
        </w:tc>
        <w:tc>
          <w:tcPr>
            <w:tcW w:w="1456" w:type="dxa"/>
            <w:tcBorders>
              <w:top w:val="single" w:sz="4" w:space="0" w:color="auto"/>
              <w:left w:val="nil"/>
              <w:bottom w:val="single" w:sz="4" w:space="0" w:color="auto"/>
              <w:right w:val="nil"/>
            </w:tcBorders>
            <w:shd w:val="clear" w:color="auto" w:fill="8DB3E2" w:themeFill="text2" w:themeFillTint="66"/>
            <w:noWrap/>
            <w:vAlign w:val="center"/>
            <w:hideMark/>
          </w:tcPr>
          <w:p w:rsidR="00B82D35" w:rsidRPr="007A4471" w:rsidRDefault="00B82D35" w:rsidP="00B82D35">
            <w:pPr>
              <w:pStyle w:val="cuadroCabe"/>
              <w:jc w:val="right"/>
            </w:pPr>
            <w:r>
              <w:t>Diferencial</w:t>
            </w:r>
          </w:p>
        </w:tc>
        <w:tc>
          <w:tcPr>
            <w:tcW w:w="1190" w:type="dxa"/>
            <w:tcBorders>
              <w:top w:val="single" w:sz="4" w:space="0" w:color="auto"/>
              <w:left w:val="nil"/>
              <w:bottom w:val="single" w:sz="4" w:space="0" w:color="auto"/>
              <w:right w:val="nil"/>
            </w:tcBorders>
            <w:shd w:val="clear" w:color="auto" w:fill="8DB3E2" w:themeFill="text2" w:themeFillTint="66"/>
            <w:noWrap/>
            <w:vAlign w:val="center"/>
            <w:hideMark/>
          </w:tcPr>
          <w:p w:rsidR="00B82D35" w:rsidRDefault="00B82D35" w:rsidP="00B82D35">
            <w:pPr>
              <w:pStyle w:val="cuadroCabe"/>
              <w:jc w:val="right"/>
            </w:pPr>
            <w:r w:rsidRPr="007A4471">
              <w:t>Tipo</w:t>
            </w:r>
          </w:p>
          <w:p w:rsidR="00B82D35" w:rsidRPr="007A4471" w:rsidRDefault="00B82D35" w:rsidP="00B82D35">
            <w:pPr>
              <w:pStyle w:val="cuadroCabe"/>
              <w:jc w:val="right"/>
            </w:pPr>
            <w:r>
              <w:t>interés</w:t>
            </w:r>
          </w:p>
        </w:tc>
        <w:tc>
          <w:tcPr>
            <w:tcW w:w="1414" w:type="dxa"/>
            <w:tcBorders>
              <w:top w:val="single" w:sz="4" w:space="0" w:color="auto"/>
              <w:left w:val="nil"/>
              <w:bottom w:val="single" w:sz="4" w:space="0" w:color="auto"/>
              <w:right w:val="nil"/>
            </w:tcBorders>
            <w:shd w:val="clear" w:color="auto" w:fill="8DB3E2" w:themeFill="text2" w:themeFillTint="66"/>
            <w:noWrap/>
            <w:vAlign w:val="center"/>
            <w:hideMark/>
          </w:tcPr>
          <w:p w:rsidR="00B82D35" w:rsidRDefault="00B82D35" w:rsidP="00B82D35">
            <w:pPr>
              <w:pStyle w:val="cuadroCabe"/>
              <w:jc w:val="right"/>
            </w:pPr>
            <w:r w:rsidRPr="007A4471">
              <w:t>Fecha</w:t>
            </w:r>
          </w:p>
          <w:p w:rsidR="00B82D35" w:rsidRPr="007A4471" w:rsidRDefault="00B82D35" w:rsidP="00B82D35">
            <w:pPr>
              <w:pStyle w:val="cuadroCabe"/>
              <w:jc w:val="right"/>
            </w:pPr>
            <w:r>
              <w:t>liquidación</w:t>
            </w:r>
          </w:p>
        </w:tc>
        <w:tc>
          <w:tcPr>
            <w:tcW w:w="1497" w:type="dxa"/>
            <w:tcBorders>
              <w:top w:val="single" w:sz="4" w:space="0" w:color="auto"/>
              <w:left w:val="nil"/>
              <w:bottom w:val="single" w:sz="4" w:space="0" w:color="auto"/>
              <w:right w:val="nil"/>
            </w:tcBorders>
            <w:shd w:val="clear" w:color="auto" w:fill="8DB3E2" w:themeFill="text2" w:themeFillTint="66"/>
            <w:noWrap/>
            <w:vAlign w:val="center"/>
            <w:hideMark/>
          </w:tcPr>
          <w:p w:rsidR="00B82D35" w:rsidRDefault="00B82D35" w:rsidP="00B82D35">
            <w:pPr>
              <w:pStyle w:val="cuadroCabe"/>
              <w:jc w:val="right"/>
            </w:pPr>
            <w:r w:rsidRPr="007A4471">
              <w:t>Intereses</w:t>
            </w:r>
          </w:p>
          <w:p w:rsidR="00B82D35" w:rsidRPr="007A4471" w:rsidRDefault="00B82D35" w:rsidP="00B82D35">
            <w:pPr>
              <w:pStyle w:val="cuadroCabe"/>
              <w:jc w:val="right"/>
            </w:pPr>
            <w:r>
              <w:t>devengados</w:t>
            </w:r>
          </w:p>
        </w:tc>
        <w:tc>
          <w:tcPr>
            <w:tcW w:w="1587" w:type="dxa"/>
            <w:tcBorders>
              <w:top w:val="single" w:sz="4" w:space="0" w:color="auto"/>
              <w:left w:val="nil"/>
              <w:bottom w:val="single" w:sz="4" w:space="0" w:color="auto"/>
              <w:right w:val="nil"/>
            </w:tcBorders>
            <w:shd w:val="clear" w:color="auto" w:fill="8DB3E2" w:themeFill="text2" w:themeFillTint="66"/>
            <w:noWrap/>
            <w:vAlign w:val="center"/>
            <w:hideMark/>
          </w:tcPr>
          <w:p w:rsidR="00B82D35" w:rsidRDefault="00B82D35" w:rsidP="00B82D35">
            <w:pPr>
              <w:pStyle w:val="cuadroCabe"/>
              <w:jc w:val="right"/>
            </w:pPr>
            <w:r w:rsidRPr="007A4471">
              <w:t>Intereses</w:t>
            </w:r>
          </w:p>
          <w:p w:rsidR="00B82D35" w:rsidRPr="007A4471" w:rsidRDefault="00B82D35" w:rsidP="00B82D35">
            <w:pPr>
              <w:pStyle w:val="cuadroCabe"/>
              <w:jc w:val="right"/>
            </w:pPr>
            <w:r>
              <w:t>liquidados</w:t>
            </w:r>
          </w:p>
        </w:tc>
      </w:tr>
      <w:tr w:rsidR="00B82D35" w:rsidRPr="0018789F" w:rsidTr="0018789F">
        <w:trPr>
          <w:trHeight w:val="312"/>
          <w:jc w:val="center"/>
        </w:trPr>
        <w:tc>
          <w:tcPr>
            <w:tcW w:w="1568" w:type="dxa"/>
            <w:tcBorders>
              <w:top w:val="single" w:sz="4" w:space="0" w:color="auto"/>
              <w:left w:val="nil"/>
              <w:bottom w:val="single" w:sz="4" w:space="0" w:color="auto"/>
              <w:right w:val="nil"/>
            </w:tcBorders>
            <w:shd w:val="clear" w:color="auto" w:fill="auto"/>
            <w:noWrap/>
            <w:vAlign w:val="center"/>
          </w:tcPr>
          <w:p w:rsidR="00B82D35" w:rsidRPr="0018789F" w:rsidRDefault="00FE711B" w:rsidP="003E384D">
            <w:pPr>
              <w:spacing w:after="0"/>
              <w:ind w:firstLine="0"/>
              <w:jc w:val="center"/>
              <w:rPr>
                <w:rFonts w:ascii="Arial Narrow" w:hAnsi="Arial Narrow"/>
                <w:color w:val="000000"/>
                <w:lang w:val="es-ES" w:eastAsia="es-ES"/>
              </w:rPr>
            </w:pPr>
            <w:r>
              <w:rPr>
                <w:rFonts w:ascii="Arial Narrow" w:hAnsi="Arial Narrow"/>
                <w:color w:val="000000"/>
                <w:lang w:val="es-ES" w:eastAsia="es-ES"/>
              </w:rPr>
              <w:t>31/12/2010</w:t>
            </w:r>
            <w:r w:rsidR="00B82D35" w:rsidRPr="0018789F">
              <w:rPr>
                <w:rFonts w:ascii="Arial Narrow" w:hAnsi="Arial Narrow"/>
                <w:color w:val="000000"/>
                <w:lang w:val="es-ES" w:eastAsia="es-ES"/>
              </w:rPr>
              <w:t xml:space="preserve"> (*)</w:t>
            </w:r>
          </w:p>
        </w:tc>
        <w:tc>
          <w:tcPr>
            <w:tcW w:w="1582" w:type="dxa"/>
            <w:gridSpan w:val="2"/>
            <w:tcBorders>
              <w:top w:val="single" w:sz="4" w:space="0" w:color="auto"/>
              <w:left w:val="nil"/>
              <w:bottom w:val="single" w:sz="4" w:space="0" w:color="auto"/>
              <w:right w:val="nil"/>
            </w:tcBorders>
            <w:shd w:val="clear" w:color="auto" w:fill="auto"/>
            <w:noWrap/>
            <w:vAlign w:val="center"/>
          </w:tcPr>
          <w:p w:rsidR="00B82D35" w:rsidRPr="00AA170D" w:rsidRDefault="00FE711B" w:rsidP="003E384D">
            <w:pPr>
              <w:spacing w:after="0"/>
              <w:ind w:firstLine="0"/>
              <w:jc w:val="right"/>
              <w:rPr>
                <w:rFonts w:ascii="Arial Narrow" w:hAnsi="Arial Narrow"/>
                <w:lang w:val="es-ES" w:eastAsia="es-ES"/>
              </w:rPr>
            </w:pPr>
            <w:r w:rsidRPr="00AA170D">
              <w:rPr>
                <w:rFonts w:ascii="Arial Narrow" w:hAnsi="Arial Narrow"/>
                <w:lang w:val="es-ES" w:eastAsia="es-ES"/>
              </w:rPr>
              <w:t>78.766.409</w:t>
            </w:r>
          </w:p>
        </w:tc>
        <w:tc>
          <w:tcPr>
            <w:tcW w:w="159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357" w:type="dxa"/>
            <w:gridSpan w:val="2"/>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45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190"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414" w:type="dxa"/>
            <w:tcBorders>
              <w:top w:val="single" w:sz="4" w:space="0" w:color="auto"/>
              <w:left w:val="nil"/>
              <w:bottom w:val="single" w:sz="4" w:space="0" w:color="auto"/>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497" w:type="dxa"/>
            <w:tcBorders>
              <w:top w:val="single" w:sz="4" w:space="0" w:color="auto"/>
              <w:bottom w:val="single" w:sz="4" w:space="0" w:color="auto"/>
            </w:tcBorders>
            <w:shd w:val="clear" w:color="auto" w:fill="auto"/>
            <w:noWrap/>
            <w:vAlign w:val="center"/>
            <w:hideMark/>
          </w:tcPr>
          <w:p w:rsidR="00B82D35" w:rsidRPr="0018789F" w:rsidRDefault="00FE711B"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1.401.228</w:t>
            </w:r>
          </w:p>
        </w:tc>
        <w:tc>
          <w:tcPr>
            <w:tcW w:w="1587" w:type="dxa"/>
            <w:tcBorders>
              <w:top w:val="single" w:sz="4" w:space="0" w:color="auto"/>
              <w:bottom w:val="single" w:sz="4" w:space="0" w:color="auto"/>
            </w:tcBorders>
            <w:shd w:val="clear" w:color="auto" w:fill="auto"/>
            <w:noWrap/>
            <w:vAlign w:val="center"/>
            <w:hideMark/>
          </w:tcPr>
          <w:p w:rsidR="00B82D35" w:rsidRPr="0018789F" w:rsidRDefault="00FE711B" w:rsidP="00FE711B">
            <w:pPr>
              <w:spacing w:after="0"/>
              <w:ind w:firstLine="0"/>
              <w:jc w:val="right"/>
              <w:rPr>
                <w:rFonts w:ascii="Arial Narrow" w:hAnsi="Arial Narrow"/>
                <w:color w:val="000000"/>
                <w:lang w:val="es-ES" w:eastAsia="es-ES"/>
              </w:rPr>
            </w:pPr>
            <w:r>
              <w:rPr>
                <w:rFonts w:ascii="Arial Narrow" w:hAnsi="Arial Narrow"/>
                <w:b/>
                <w:bCs/>
                <w:color w:val="000000"/>
                <w:lang w:val="es-ES" w:eastAsia="es-ES"/>
              </w:rPr>
              <w:t>1.367.717</w:t>
            </w:r>
          </w:p>
        </w:tc>
      </w:tr>
      <w:tr w:rsidR="00B82D35" w:rsidRPr="0018789F" w:rsidTr="00AA170D">
        <w:trPr>
          <w:trHeight w:val="255"/>
          <w:jc w:val="center"/>
        </w:trPr>
        <w:tc>
          <w:tcPr>
            <w:tcW w:w="1568" w:type="dxa"/>
            <w:tcBorders>
              <w:top w:val="nil"/>
              <w:left w:val="nil"/>
              <w:bottom w:val="nil"/>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lang w:val="es-ES" w:eastAsia="es-ES"/>
              </w:rPr>
            </w:pPr>
          </w:p>
        </w:tc>
        <w:tc>
          <w:tcPr>
            <w:tcW w:w="1582" w:type="dxa"/>
            <w:gridSpan w:val="2"/>
            <w:tcBorders>
              <w:top w:val="nil"/>
              <w:left w:val="nil"/>
              <w:bottom w:val="nil"/>
              <w:right w:val="nil"/>
            </w:tcBorders>
            <w:shd w:val="clear" w:color="auto" w:fill="auto"/>
            <w:noWrap/>
            <w:vAlign w:val="center"/>
            <w:hideMark/>
          </w:tcPr>
          <w:p w:rsidR="00B82D35" w:rsidRPr="00AA170D" w:rsidRDefault="00FE711B" w:rsidP="00AA170D">
            <w:pPr>
              <w:spacing w:after="0"/>
              <w:ind w:firstLine="0"/>
              <w:jc w:val="right"/>
              <w:rPr>
                <w:rFonts w:ascii="Arial Narrow" w:hAnsi="Arial Narrow"/>
                <w:lang w:val="es-ES" w:eastAsia="es-ES"/>
              </w:rPr>
            </w:pPr>
            <w:r w:rsidRPr="00AA170D">
              <w:rPr>
                <w:rFonts w:ascii="Arial Narrow" w:hAnsi="Arial Narrow"/>
                <w:lang w:val="es-ES" w:eastAsia="es-ES"/>
              </w:rPr>
              <w:t>80.134.12</w:t>
            </w:r>
            <w:r w:rsidR="00AA170D" w:rsidRPr="00AA170D">
              <w:rPr>
                <w:rFonts w:ascii="Arial Narrow" w:hAnsi="Arial Narrow"/>
                <w:lang w:val="es-ES" w:eastAsia="es-ES"/>
              </w:rPr>
              <w:t>5</w:t>
            </w: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01/01/2011</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1,035%</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1,000%</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2,035%</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23/02/2011</w:t>
            </w:r>
          </w:p>
        </w:tc>
        <w:tc>
          <w:tcPr>
            <w:tcW w:w="149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240.080</w:t>
            </w:r>
          </w:p>
        </w:tc>
        <w:tc>
          <w:tcPr>
            <w:tcW w:w="158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409.274</w:t>
            </w:r>
          </w:p>
        </w:tc>
      </w:tr>
      <w:tr w:rsidR="00B82D35" w:rsidRPr="0018789F" w:rsidTr="00AA170D">
        <w:trPr>
          <w:trHeight w:val="255"/>
          <w:jc w:val="center"/>
        </w:trPr>
        <w:tc>
          <w:tcPr>
            <w:tcW w:w="1568"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center"/>
              <w:rPr>
                <w:rFonts w:ascii="Arial Narrow" w:hAnsi="Arial Narrow"/>
                <w:color w:val="000000"/>
                <w:lang w:val="es-ES" w:eastAsia="es-ES"/>
              </w:rPr>
            </w:pPr>
          </w:p>
        </w:tc>
        <w:tc>
          <w:tcPr>
            <w:tcW w:w="1582" w:type="dxa"/>
            <w:gridSpan w:val="2"/>
            <w:tcBorders>
              <w:top w:val="nil"/>
              <w:left w:val="nil"/>
              <w:bottom w:val="nil"/>
              <w:right w:val="nil"/>
            </w:tcBorders>
            <w:shd w:val="clear" w:color="auto" w:fill="auto"/>
            <w:noWrap/>
            <w:vAlign w:val="center"/>
            <w:hideMark/>
          </w:tcPr>
          <w:p w:rsidR="00B82D35" w:rsidRPr="00AA170D" w:rsidRDefault="00B82D35" w:rsidP="003E384D">
            <w:pPr>
              <w:spacing w:after="0"/>
              <w:ind w:firstLine="0"/>
              <w:jc w:val="right"/>
              <w:rPr>
                <w:rFonts w:ascii="Arial Narrow" w:hAnsi="Arial Narrow"/>
                <w:lang w:val="es-ES" w:eastAsia="es-ES"/>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23/02/2011</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1,087%</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1,000%</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2,087%</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23/05/2011</w:t>
            </w:r>
          </w:p>
        </w:tc>
        <w:tc>
          <w:tcPr>
            <w:tcW w:w="149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413.454</w:t>
            </w:r>
          </w:p>
        </w:tc>
        <w:tc>
          <w:tcPr>
            <w:tcW w:w="1587" w:type="dxa"/>
            <w:tcBorders>
              <w:top w:val="nil"/>
              <w:left w:val="nil"/>
              <w:bottom w:val="nil"/>
              <w:right w:val="nil"/>
            </w:tcBorders>
            <w:shd w:val="clear" w:color="auto" w:fill="auto"/>
            <w:noWrap/>
            <w:vAlign w:val="center"/>
          </w:tcPr>
          <w:p w:rsidR="00B82D35" w:rsidRPr="00AA170D" w:rsidRDefault="00AA170D" w:rsidP="003E384D">
            <w:pPr>
              <w:spacing w:after="0"/>
              <w:ind w:firstLine="0"/>
              <w:jc w:val="right"/>
              <w:rPr>
                <w:rFonts w:ascii="Arial Narrow" w:hAnsi="Arial Narrow"/>
                <w:bCs/>
                <w:color w:val="000000"/>
                <w:lang w:val="es-ES" w:eastAsia="es-ES"/>
              </w:rPr>
            </w:pPr>
            <w:r w:rsidRPr="00AA170D">
              <w:rPr>
                <w:rFonts w:ascii="Arial Narrow" w:hAnsi="Arial Narrow"/>
                <w:bCs/>
                <w:color w:val="000000"/>
                <w:lang w:val="es-ES" w:eastAsia="es-ES"/>
              </w:rPr>
              <w:t>413.454</w:t>
            </w:r>
          </w:p>
        </w:tc>
      </w:tr>
      <w:tr w:rsidR="00B82D35" w:rsidRPr="0018789F" w:rsidTr="00AA170D">
        <w:trPr>
          <w:trHeight w:val="255"/>
          <w:jc w:val="center"/>
        </w:trPr>
        <w:tc>
          <w:tcPr>
            <w:tcW w:w="1568"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center"/>
              <w:rPr>
                <w:rFonts w:ascii="Arial Narrow" w:hAnsi="Arial Narrow"/>
                <w:color w:val="000000"/>
                <w:lang w:val="es-ES" w:eastAsia="es-ES"/>
              </w:rPr>
            </w:pPr>
          </w:p>
        </w:tc>
        <w:tc>
          <w:tcPr>
            <w:tcW w:w="1582" w:type="dxa"/>
            <w:gridSpan w:val="2"/>
            <w:tcBorders>
              <w:top w:val="nil"/>
              <w:left w:val="nil"/>
              <w:bottom w:val="nil"/>
              <w:right w:val="nil"/>
            </w:tcBorders>
            <w:shd w:val="clear" w:color="auto" w:fill="auto"/>
            <w:noWrap/>
            <w:vAlign w:val="center"/>
          </w:tcPr>
          <w:p w:rsidR="00B82D35" w:rsidRPr="00AA170D" w:rsidRDefault="00B82D35" w:rsidP="003E384D">
            <w:pPr>
              <w:spacing w:after="0"/>
              <w:ind w:firstLine="0"/>
              <w:jc w:val="right"/>
              <w:rPr>
                <w:rFonts w:ascii="Arial Narrow" w:hAnsi="Arial Narrow"/>
                <w:lang w:val="es-ES" w:eastAsia="es-ES"/>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23/05/2011</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1,437%</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2,364%</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3,801%</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23/08/2011</w:t>
            </w:r>
          </w:p>
        </w:tc>
        <w:tc>
          <w:tcPr>
            <w:tcW w:w="149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778.396</w:t>
            </w:r>
          </w:p>
        </w:tc>
        <w:tc>
          <w:tcPr>
            <w:tcW w:w="158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778.396</w:t>
            </w:r>
          </w:p>
        </w:tc>
      </w:tr>
      <w:tr w:rsidR="00B82D35" w:rsidRPr="0018789F" w:rsidTr="00AA170D">
        <w:trPr>
          <w:trHeight w:val="255"/>
          <w:jc w:val="center"/>
        </w:trPr>
        <w:tc>
          <w:tcPr>
            <w:tcW w:w="1568" w:type="dxa"/>
            <w:tcBorders>
              <w:top w:val="nil"/>
              <w:left w:val="nil"/>
              <w:bottom w:val="nil"/>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lang w:val="es-ES" w:eastAsia="es-ES"/>
              </w:rPr>
            </w:pPr>
          </w:p>
        </w:tc>
        <w:tc>
          <w:tcPr>
            <w:tcW w:w="1582" w:type="dxa"/>
            <w:gridSpan w:val="2"/>
            <w:tcBorders>
              <w:top w:val="nil"/>
              <w:left w:val="nil"/>
              <w:bottom w:val="nil"/>
              <w:right w:val="nil"/>
            </w:tcBorders>
            <w:shd w:val="clear" w:color="auto" w:fill="auto"/>
            <w:noWrap/>
            <w:vAlign w:val="center"/>
          </w:tcPr>
          <w:p w:rsidR="00B82D35" w:rsidRPr="00AA170D" w:rsidRDefault="00B82D35" w:rsidP="003E384D">
            <w:pPr>
              <w:spacing w:after="0"/>
              <w:ind w:firstLine="0"/>
              <w:jc w:val="right"/>
              <w:rPr>
                <w:rFonts w:ascii="Arial Narrow" w:hAnsi="Arial Narrow"/>
                <w:lang w:val="es-ES" w:eastAsia="es-ES"/>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23/08/2011</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1,536%</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2,364%</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3,900%</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23/11/2011</w:t>
            </w:r>
          </w:p>
        </w:tc>
        <w:tc>
          <w:tcPr>
            <w:tcW w:w="149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798.670</w:t>
            </w:r>
          </w:p>
        </w:tc>
        <w:tc>
          <w:tcPr>
            <w:tcW w:w="158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798.670</w:t>
            </w:r>
          </w:p>
        </w:tc>
      </w:tr>
      <w:tr w:rsidR="00B82D35" w:rsidRPr="0018789F" w:rsidTr="00AA170D">
        <w:trPr>
          <w:trHeight w:val="255"/>
          <w:jc w:val="center"/>
        </w:trPr>
        <w:tc>
          <w:tcPr>
            <w:tcW w:w="1568" w:type="dxa"/>
            <w:tcBorders>
              <w:top w:val="nil"/>
              <w:left w:val="nil"/>
              <w:bottom w:val="nil"/>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lang w:val="es-ES" w:eastAsia="es-ES"/>
              </w:rPr>
            </w:pPr>
          </w:p>
        </w:tc>
        <w:tc>
          <w:tcPr>
            <w:tcW w:w="1582" w:type="dxa"/>
            <w:gridSpan w:val="2"/>
            <w:tcBorders>
              <w:top w:val="nil"/>
              <w:left w:val="nil"/>
              <w:bottom w:val="nil"/>
              <w:right w:val="nil"/>
            </w:tcBorders>
            <w:shd w:val="clear" w:color="auto" w:fill="auto"/>
            <w:noWrap/>
            <w:vAlign w:val="center"/>
          </w:tcPr>
          <w:p w:rsidR="00B82D35" w:rsidRPr="00AA170D" w:rsidRDefault="00B82D35" w:rsidP="003E384D">
            <w:pPr>
              <w:spacing w:after="0"/>
              <w:ind w:firstLine="0"/>
              <w:jc w:val="right"/>
              <w:rPr>
                <w:rFonts w:ascii="Arial Narrow" w:hAnsi="Arial Narrow"/>
                <w:lang w:val="es-ES" w:eastAsia="es-ES"/>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23/11/2011</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1,471%</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2,364%</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3,835%</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31/12/2011</w:t>
            </w:r>
          </w:p>
        </w:tc>
        <w:tc>
          <w:tcPr>
            <w:tcW w:w="149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324.387</w:t>
            </w:r>
          </w:p>
        </w:tc>
        <w:tc>
          <w:tcPr>
            <w:tcW w:w="158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r>
      <w:tr w:rsidR="00B82D35" w:rsidRPr="00AA170D" w:rsidTr="00AA170D">
        <w:trPr>
          <w:trHeight w:val="312"/>
          <w:jc w:val="center"/>
        </w:trPr>
        <w:tc>
          <w:tcPr>
            <w:tcW w:w="1568" w:type="dxa"/>
            <w:tcBorders>
              <w:top w:val="single" w:sz="4" w:space="0" w:color="auto"/>
              <w:left w:val="nil"/>
              <w:bottom w:val="single" w:sz="4" w:space="0" w:color="auto"/>
              <w:right w:val="nil"/>
            </w:tcBorders>
            <w:shd w:val="clear" w:color="auto" w:fill="auto"/>
            <w:noWrap/>
            <w:vAlign w:val="center"/>
          </w:tcPr>
          <w:p w:rsidR="00B82D35" w:rsidRPr="0018789F" w:rsidRDefault="00AA170D" w:rsidP="003E384D">
            <w:pPr>
              <w:spacing w:after="0"/>
              <w:ind w:firstLine="0"/>
              <w:jc w:val="center"/>
              <w:rPr>
                <w:rFonts w:ascii="Arial Narrow" w:hAnsi="Arial Narrow"/>
                <w:color w:val="000000"/>
                <w:lang w:val="es-ES" w:eastAsia="es-ES"/>
              </w:rPr>
            </w:pPr>
            <w:r>
              <w:rPr>
                <w:rFonts w:ascii="Arial Narrow" w:hAnsi="Arial Narrow"/>
                <w:color w:val="000000"/>
                <w:lang w:val="es-ES" w:eastAsia="es-ES"/>
              </w:rPr>
              <w:t>31/12/</w:t>
            </w:r>
            <w:r w:rsidR="00B82D35" w:rsidRPr="0018789F">
              <w:rPr>
                <w:rFonts w:ascii="Arial Narrow" w:hAnsi="Arial Narrow"/>
                <w:color w:val="000000"/>
                <w:lang w:val="es-ES" w:eastAsia="es-ES"/>
              </w:rPr>
              <w:t>2011 (*)</w:t>
            </w:r>
          </w:p>
        </w:tc>
        <w:tc>
          <w:tcPr>
            <w:tcW w:w="1582" w:type="dxa"/>
            <w:gridSpan w:val="2"/>
            <w:tcBorders>
              <w:top w:val="single" w:sz="4" w:space="0" w:color="auto"/>
              <w:left w:val="nil"/>
              <w:bottom w:val="single" w:sz="4" w:space="0" w:color="auto"/>
              <w:right w:val="nil"/>
            </w:tcBorders>
            <w:shd w:val="clear" w:color="auto" w:fill="auto"/>
            <w:noWrap/>
            <w:vAlign w:val="center"/>
          </w:tcPr>
          <w:p w:rsidR="00B82D35" w:rsidRPr="00AA170D" w:rsidRDefault="00AA170D" w:rsidP="00AA170D">
            <w:pPr>
              <w:spacing w:after="0"/>
              <w:ind w:firstLine="0"/>
              <w:jc w:val="right"/>
              <w:rPr>
                <w:rFonts w:ascii="Arial Narrow" w:hAnsi="Arial Narrow"/>
                <w:lang w:val="es-ES" w:eastAsia="es-ES"/>
              </w:rPr>
            </w:pPr>
            <w:r w:rsidRPr="00AA170D">
              <w:rPr>
                <w:rFonts w:ascii="Arial Narrow" w:hAnsi="Arial Narrow"/>
                <w:lang w:val="es-ES" w:eastAsia="es-ES"/>
              </w:rPr>
              <w:t>80.134.125</w:t>
            </w:r>
          </w:p>
        </w:tc>
        <w:tc>
          <w:tcPr>
            <w:tcW w:w="159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357" w:type="dxa"/>
            <w:gridSpan w:val="2"/>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45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190"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414" w:type="dxa"/>
            <w:tcBorders>
              <w:top w:val="single" w:sz="4" w:space="0" w:color="auto"/>
              <w:left w:val="nil"/>
              <w:bottom w:val="single" w:sz="4" w:space="0" w:color="auto"/>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497" w:type="dxa"/>
            <w:tcBorders>
              <w:top w:val="single" w:sz="4" w:space="0" w:color="auto"/>
              <w:bottom w:val="single" w:sz="4" w:space="0" w:color="auto"/>
            </w:tcBorders>
            <w:shd w:val="clear" w:color="auto" w:fill="auto"/>
            <w:noWrap/>
            <w:vAlign w:val="center"/>
          </w:tcPr>
          <w:p w:rsidR="00B82D35" w:rsidRPr="0018789F" w:rsidRDefault="00AA170D"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2.554.988</w:t>
            </w:r>
          </w:p>
        </w:tc>
        <w:tc>
          <w:tcPr>
            <w:tcW w:w="1587" w:type="dxa"/>
            <w:tcBorders>
              <w:top w:val="single" w:sz="4" w:space="0" w:color="auto"/>
              <w:bottom w:val="single" w:sz="4" w:space="0" w:color="auto"/>
            </w:tcBorders>
            <w:shd w:val="clear" w:color="auto" w:fill="auto"/>
            <w:noWrap/>
            <w:vAlign w:val="center"/>
          </w:tcPr>
          <w:p w:rsidR="00B82D35" w:rsidRPr="00AA170D" w:rsidRDefault="00AA170D" w:rsidP="003E384D">
            <w:pPr>
              <w:spacing w:after="0"/>
              <w:ind w:firstLine="0"/>
              <w:jc w:val="right"/>
              <w:rPr>
                <w:rFonts w:ascii="Arial Narrow" w:hAnsi="Arial Narrow"/>
                <w:b/>
                <w:color w:val="000000"/>
                <w:lang w:val="es-ES" w:eastAsia="es-ES"/>
              </w:rPr>
            </w:pPr>
            <w:r w:rsidRPr="00AA170D">
              <w:rPr>
                <w:rFonts w:ascii="Arial Narrow" w:hAnsi="Arial Narrow"/>
                <w:b/>
                <w:color w:val="000000"/>
                <w:lang w:val="es-ES" w:eastAsia="es-ES"/>
              </w:rPr>
              <w:t>2.399.795</w:t>
            </w:r>
          </w:p>
        </w:tc>
      </w:tr>
      <w:tr w:rsidR="00B82D35" w:rsidRPr="0018789F" w:rsidTr="00AA170D">
        <w:trPr>
          <w:trHeight w:val="255"/>
          <w:jc w:val="center"/>
        </w:trPr>
        <w:tc>
          <w:tcPr>
            <w:tcW w:w="1568" w:type="dxa"/>
            <w:tcBorders>
              <w:top w:val="nil"/>
              <w:left w:val="nil"/>
              <w:bottom w:val="nil"/>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lang w:val="es-ES" w:eastAsia="es-ES"/>
              </w:rPr>
            </w:pPr>
          </w:p>
        </w:tc>
        <w:tc>
          <w:tcPr>
            <w:tcW w:w="1582" w:type="dxa"/>
            <w:gridSpan w:val="2"/>
            <w:tcBorders>
              <w:top w:val="nil"/>
              <w:left w:val="nil"/>
              <w:bottom w:val="nil"/>
              <w:right w:val="nil"/>
            </w:tcBorders>
            <w:shd w:val="clear" w:color="auto" w:fill="auto"/>
            <w:noWrap/>
            <w:vAlign w:val="center"/>
            <w:hideMark/>
          </w:tcPr>
          <w:p w:rsidR="00B82D35" w:rsidRPr="00AA170D" w:rsidRDefault="00AA170D" w:rsidP="003E384D">
            <w:pPr>
              <w:spacing w:after="0"/>
              <w:ind w:firstLine="0"/>
              <w:jc w:val="right"/>
              <w:rPr>
                <w:rFonts w:ascii="Arial Narrow" w:hAnsi="Arial Narrow"/>
                <w:lang w:val="es-ES" w:eastAsia="es-ES"/>
              </w:rPr>
            </w:pPr>
            <w:r w:rsidRPr="00AA170D">
              <w:rPr>
                <w:rFonts w:ascii="Arial Narrow" w:hAnsi="Arial Narrow"/>
                <w:lang w:val="es-ES" w:eastAsia="es-ES"/>
              </w:rPr>
              <w:t>82.533.920</w:t>
            </w: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01/01/2012</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1,471%</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2,364%</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3,835%</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23/02/2012</w:t>
            </w:r>
          </w:p>
        </w:tc>
        <w:tc>
          <w:tcPr>
            <w:tcW w:w="149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465.984</w:t>
            </w:r>
          </w:p>
        </w:tc>
        <w:tc>
          <w:tcPr>
            <w:tcW w:w="158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790.372</w:t>
            </w:r>
          </w:p>
        </w:tc>
      </w:tr>
      <w:tr w:rsidR="00B82D35" w:rsidRPr="0018789F" w:rsidTr="00AA170D">
        <w:trPr>
          <w:trHeight w:val="255"/>
          <w:jc w:val="center"/>
        </w:trPr>
        <w:tc>
          <w:tcPr>
            <w:tcW w:w="1568"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center"/>
              <w:rPr>
                <w:rFonts w:ascii="Arial Narrow" w:hAnsi="Arial Narrow"/>
                <w:color w:val="000000"/>
                <w:lang w:val="es-ES" w:eastAsia="es-ES"/>
              </w:rPr>
            </w:pPr>
          </w:p>
        </w:tc>
        <w:tc>
          <w:tcPr>
            <w:tcW w:w="1582" w:type="dxa"/>
            <w:gridSpan w:val="2"/>
            <w:tcBorders>
              <w:top w:val="nil"/>
              <w:left w:val="nil"/>
              <w:bottom w:val="nil"/>
              <w:right w:val="nil"/>
            </w:tcBorders>
            <w:shd w:val="clear" w:color="auto" w:fill="auto"/>
            <w:noWrap/>
            <w:vAlign w:val="center"/>
            <w:hideMark/>
          </w:tcPr>
          <w:p w:rsidR="00B82D35" w:rsidRPr="00AA170D" w:rsidRDefault="00B82D35" w:rsidP="003E384D">
            <w:pPr>
              <w:spacing w:after="0"/>
              <w:ind w:firstLine="0"/>
              <w:jc w:val="right"/>
              <w:rPr>
                <w:rFonts w:ascii="Arial Narrow" w:hAnsi="Arial Narrow"/>
                <w:lang w:val="es-ES" w:eastAsia="es-ES"/>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23/02/2012</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1,014%</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2,364%</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3,378%</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b/>
                <w:bCs/>
                <w:color w:val="000000"/>
                <w:lang w:val="es-ES" w:eastAsia="es-ES"/>
              </w:rPr>
            </w:pPr>
            <w:r w:rsidRPr="0018789F">
              <w:rPr>
                <w:rFonts w:ascii="Arial Narrow" w:hAnsi="Arial Narrow"/>
                <w:color w:val="000000"/>
                <w:lang w:val="es-ES" w:eastAsia="es-ES"/>
              </w:rPr>
              <w:t>23/05/2012</w:t>
            </w:r>
          </w:p>
        </w:tc>
        <w:tc>
          <w:tcPr>
            <w:tcW w:w="149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696.999</w:t>
            </w:r>
          </w:p>
        </w:tc>
        <w:tc>
          <w:tcPr>
            <w:tcW w:w="1587" w:type="dxa"/>
            <w:tcBorders>
              <w:top w:val="nil"/>
              <w:left w:val="nil"/>
              <w:bottom w:val="nil"/>
              <w:right w:val="nil"/>
            </w:tcBorders>
            <w:shd w:val="clear" w:color="auto" w:fill="auto"/>
            <w:noWrap/>
            <w:vAlign w:val="center"/>
          </w:tcPr>
          <w:p w:rsidR="00B82D35" w:rsidRPr="00AA170D" w:rsidRDefault="00AA170D" w:rsidP="003E384D">
            <w:pPr>
              <w:spacing w:after="0"/>
              <w:ind w:firstLine="0"/>
              <w:jc w:val="right"/>
              <w:rPr>
                <w:rFonts w:ascii="Arial Narrow" w:hAnsi="Arial Narrow"/>
                <w:bCs/>
                <w:color w:val="000000"/>
                <w:lang w:val="es-ES" w:eastAsia="es-ES"/>
              </w:rPr>
            </w:pPr>
            <w:r w:rsidRPr="00AA170D">
              <w:rPr>
                <w:rFonts w:ascii="Arial Narrow" w:hAnsi="Arial Narrow"/>
                <w:bCs/>
                <w:color w:val="000000"/>
                <w:lang w:val="es-ES" w:eastAsia="es-ES"/>
              </w:rPr>
              <w:t>696.999</w:t>
            </w:r>
          </w:p>
        </w:tc>
      </w:tr>
      <w:tr w:rsidR="00B82D35" w:rsidRPr="0018789F" w:rsidTr="00AA170D">
        <w:trPr>
          <w:trHeight w:val="255"/>
          <w:jc w:val="center"/>
        </w:trPr>
        <w:tc>
          <w:tcPr>
            <w:tcW w:w="1568"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center"/>
              <w:rPr>
                <w:rFonts w:ascii="Arial Narrow" w:hAnsi="Arial Narrow"/>
                <w:color w:val="000000"/>
                <w:lang w:val="es-ES" w:eastAsia="es-ES"/>
              </w:rPr>
            </w:pPr>
          </w:p>
        </w:tc>
        <w:tc>
          <w:tcPr>
            <w:tcW w:w="1582" w:type="dxa"/>
            <w:gridSpan w:val="2"/>
            <w:tcBorders>
              <w:top w:val="nil"/>
              <w:left w:val="nil"/>
              <w:bottom w:val="nil"/>
              <w:right w:val="nil"/>
            </w:tcBorders>
            <w:shd w:val="clear" w:color="auto" w:fill="auto"/>
            <w:noWrap/>
            <w:vAlign w:val="center"/>
          </w:tcPr>
          <w:p w:rsidR="00B82D35" w:rsidRPr="00AA170D" w:rsidRDefault="00B82D35" w:rsidP="003E384D">
            <w:pPr>
              <w:spacing w:after="0"/>
              <w:ind w:firstLine="0"/>
              <w:jc w:val="right"/>
              <w:rPr>
                <w:rFonts w:ascii="Arial Narrow" w:hAnsi="Arial Narrow"/>
                <w:lang w:val="es-ES" w:eastAsia="es-ES"/>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23/05/2012</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0,959%</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3,258%</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4,217%</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23/08/2012</w:t>
            </w:r>
          </w:p>
        </w:tc>
        <w:tc>
          <w:tcPr>
            <w:tcW w:w="149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889.450</w:t>
            </w:r>
          </w:p>
        </w:tc>
        <w:tc>
          <w:tcPr>
            <w:tcW w:w="158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889.450</w:t>
            </w:r>
          </w:p>
        </w:tc>
      </w:tr>
      <w:tr w:rsidR="00B82D35" w:rsidRPr="0018789F" w:rsidTr="00AA170D">
        <w:trPr>
          <w:trHeight w:val="255"/>
          <w:jc w:val="center"/>
        </w:trPr>
        <w:tc>
          <w:tcPr>
            <w:tcW w:w="1568" w:type="dxa"/>
            <w:tcBorders>
              <w:top w:val="nil"/>
              <w:left w:val="nil"/>
              <w:bottom w:val="nil"/>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lang w:val="es-ES" w:eastAsia="es-ES"/>
              </w:rPr>
            </w:pPr>
          </w:p>
        </w:tc>
        <w:tc>
          <w:tcPr>
            <w:tcW w:w="1582" w:type="dxa"/>
            <w:gridSpan w:val="2"/>
            <w:tcBorders>
              <w:top w:val="nil"/>
              <w:left w:val="nil"/>
              <w:bottom w:val="nil"/>
              <w:right w:val="nil"/>
            </w:tcBorders>
            <w:shd w:val="clear" w:color="auto" w:fill="auto"/>
            <w:noWrap/>
            <w:vAlign w:val="center"/>
          </w:tcPr>
          <w:p w:rsidR="00B82D35" w:rsidRPr="00AA170D" w:rsidRDefault="00B82D35" w:rsidP="003E384D">
            <w:pPr>
              <w:spacing w:after="0"/>
              <w:ind w:firstLine="0"/>
              <w:jc w:val="right"/>
              <w:rPr>
                <w:rFonts w:ascii="Arial Narrow" w:hAnsi="Arial Narrow"/>
                <w:lang w:val="es-ES" w:eastAsia="es-ES"/>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23/08/2012</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0,544%</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3,258%</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3,802%</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23/11/2012</w:t>
            </w:r>
          </w:p>
        </w:tc>
        <w:tc>
          <w:tcPr>
            <w:tcW w:w="149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801.918</w:t>
            </w:r>
          </w:p>
        </w:tc>
        <w:tc>
          <w:tcPr>
            <w:tcW w:w="158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801.918</w:t>
            </w:r>
          </w:p>
        </w:tc>
      </w:tr>
      <w:tr w:rsidR="00B82D35" w:rsidRPr="0018789F" w:rsidTr="00AA170D">
        <w:trPr>
          <w:trHeight w:val="255"/>
          <w:jc w:val="center"/>
        </w:trPr>
        <w:tc>
          <w:tcPr>
            <w:tcW w:w="1568" w:type="dxa"/>
            <w:tcBorders>
              <w:top w:val="nil"/>
              <w:left w:val="nil"/>
              <w:bottom w:val="nil"/>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lang w:val="es-ES" w:eastAsia="es-ES"/>
              </w:rPr>
            </w:pPr>
          </w:p>
        </w:tc>
        <w:tc>
          <w:tcPr>
            <w:tcW w:w="1582" w:type="dxa"/>
            <w:gridSpan w:val="2"/>
            <w:tcBorders>
              <w:top w:val="nil"/>
              <w:left w:val="nil"/>
              <w:bottom w:val="nil"/>
              <w:right w:val="nil"/>
            </w:tcBorders>
            <w:shd w:val="clear" w:color="auto" w:fill="auto"/>
            <w:noWrap/>
            <w:vAlign w:val="center"/>
          </w:tcPr>
          <w:p w:rsidR="00B82D35" w:rsidRPr="00AA170D" w:rsidRDefault="00B82D35" w:rsidP="003E384D">
            <w:pPr>
              <w:spacing w:after="0"/>
              <w:ind w:firstLine="0"/>
              <w:jc w:val="right"/>
              <w:rPr>
                <w:rFonts w:ascii="Arial Narrow" w:hAnsi="Arial Narrow"/>
                <w:lang w:val="es-ES" w:eastAsia="es-ES"/>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23/11/2012</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0,368%</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3,258%</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3,626%</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31/12/2012</w:t>
            </w:r>
          </w:p>
        </w:tc>
        <w:tc>
          <w:tcPr>
            <w:tcW w:w="149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315.894</w:t>
            </w:r>
          </w:p>
        </w:tc>
        <w:tc>
          <w:tcPr>
            <w:tcW w:w="158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r>
      <w:tr w:rsidR="00B82D35" w:rsidRPr="00AA170D" w:rsidTr="00AA170D">
        <w:trPr>
          <w:trHeight w:val="312"/>
          <w:jc w:val="center"/>
        </w:trPr>
        <w:tc>
          <w:tcPr>
            <w:tcW w:w="1568" w:type="dxa"/>
            <w:tcBorders>
              <w:top w:val="single" w:sz="4" w:space="0" w:color="auto"/>
              <w:left w:val="nil"/>
              <w:bottom w:val="single" w:sz="4" w:space="0" w:color="auto"/>
              <w:right w:val="nil"/>
            </w:tcBorders>
            <w:shd w:val="clear" w:color="auto" w:fill="auto"/>
            <w:noWrap/>
            <w:vAlign w:val="center"/>
          </w:tcPr>
          <w:p w:rsidR="00B82D35" w:rsidRPr="0018789F" w:rsidRDefault="00AA170D" w:rsidP="003E384D">
            <w:pPr>
              <w:spacing w:after="0"/>
              <w:ind w:firstLine="0"/>
              <w:jc w:val="center"/>
              <w:rPr>
                <w:rFonts w:ascii="Arial Narrow" w:hAnsi="Arial Narrow"/>
                <w:color w:val="000000"/>
                <w:lang w:val="es-ES" w:eastAsia="es-ES"/>
              </w:rPr>
            </w:pPr>
            <w:r>
              <w:rPr>
                <w:rFonts w:ascii="Arial Narrow" w:hAnsi="Arial Narrow"/>
                <w:color w:val="000000"/>
                <w:lang w:val="es-ES" w:eastAsia="es-ES"/>
              </w:rPr>
              <w:t>31/12/</w:t>
            </w:r>
            <w:r w:rsidR="00B82D35" w:rsidRPr="0018789F">
              <w:rPr>
                <w:rFonts w:ascii="Arial Narrow" w:hAnsi="Arial Narrow"/>
                <w:color w:val="000000"/>
                <w:lang w:val="es-ES" w:eastAsia="es-ES"/>
              </w:rPr>
              <w:t>2012 (*)</w:t>
            </w:r>
          </w:p>
        </w:tc>
        <w:tc>
          <w:tcPr>
            <w:tcW w:w="1582" w:type="dxa"/>
            <w:gridSpan w:val="2"/>
            <w:tcBorders>
              <w:top w:val="single" w:sz="4" w:space="0" w:color="auto"/>
              <w:left w:val="nil"/>
              <w:bottom w:val="single" w:sz="4" w:space="0" w:color="auto"/>
              <w:right w:val="nil"/>
            </w:tcBorders>
            <w:shd w:val="clear" w:color="auto" w:fill="auto"/>
            <w:noWrap/>
            <w:vAlign w:val="center"/>
          </w:tcPr>
          <w:p w:rsidR="00B82D35" w:rsidRPr="00AA170D" w:rsidRDefault="00AA170D" w:rsidP="003E384D">
            <w:pPr>
              <w:spacing w:after="0"/>
              <w:ind w:firstLine="0"/>
              <w:jc w:val="right"/>
              <w:rPr>
                <w:rFonts w:ascii="Arial Narrow" w:hAnsi="Arial Narrow"/>
                <w:lang w:val="es-ES" w:eastAsia="es-ES"/>
              </w:rPr>
            </w:pPr>
            <w:r w:rsidRPr="00AA170D">
              <w:rPr>
                <w:rFonts w:ascii="Arial Narrow" w:hAnsi="Arial Narrow"/>
                <w:lang w:val="es-ES" w:eastAsia="es-ES"/>
              </w:rPr>
              <w:t>82.533.920</w:t>
            </w:r>
          </w:p>
        </w:tc>
        <w:tc>
          <w:tcPr>
            <w:tcW w:w="159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357" w:type="dxa"/>
            <w:gridSpan w:val="2"/>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45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190"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414" w:type="dxa"/>
            <w:tcBorders>
              <w:top w:val="single" w:sz="4" w:space="0" w:color="auto"/>
              <w:left w:val="nil"/>
              <w:bottom w:val="single" w:sz="4" w:space="0" w:color="auto"/>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497" w:type="dxa"/>
            <w:tcBorders>
              <w:top w:val="single" w:sz="4" w:space="0" w:color="auto"/>
              <w:bottom w:val="single" w:sz="4" w:space="0" w:color="auto"/>
            </w:tcBorders>
            <w:shd w:val="clear" w:color="auto" w:fill="auto"/>
            <w:noWrap/>
            <w:vAlign w:val="center"/>
          </w:tcPr>
          <w:p w:rsidR="00B82D35" w:rsidRPr="0018789F" w:rsidRDefault="00AA170D" w:rsidP="00AA170D">
            <w:pPr>
              <w:spacing w:after="0"/>
              <w:ind w:firstLine="0"/>
              <w:jc w:val="right"/>
              <w:rPr>
                <w:rFonts w:ascii="Arial Narrow" w:hAnsi="Arial Narrow"/>
                <w:color w:val="000000"/>
                <w:lang w:val="es-ES" w:eastAsia="es-ES"/>
              </w:rPr>
            </w:pPr>
            <w:r>
              <w:rPr>
                <w:rFonts w:ascii="Arial Narrow" w:hAnsi="Arial Narrow"/>
                <w:color w:val="000000"/>
                <w:lang w:val="es-ES" w:eastAsia="es-ES"/>
              </w:rPr>
              <w:t>3.170.245</w:t>
            </w:r>
          </w:p>
        </w:tc>
        <w:tc>
          <w:tcPr>
            <w:tcW w:w="1587" w:type="dxa"/>
            <w:tcBorders>
              <w:top w:val="single" w:sz="4" w:space="0" w:color="auto"/>
              <w:bottom w:val="single" w:sz="4" w:space="0" w:color="auto"/>
            </w:tcBorders>
            <w:shd w:val="clear" w:color="auto" w:fill="auto"/>
            <w:noWrap/>
            <w:vAlign w:val="center"/>
          </w:tcPr>
          <w:p w:rsidR="00B82D35" w:rsidRPr="00AA170D" w:rsidRDefault="00AA170D" w:rsidP="003E384D">
            <w:pPr>
              <w:spacing w:after="0"/>
              <w:ind w:firstLine="0"/>
              <w:jc w:val="right"/>
              <w:rPr>
                <w:rFonts w:ascii="Arial Narrow" w:hAnsi="Arial Narrow"/>
                <w:b/>
                <w:color w:val="000000"/>
                <w:lang w:val="es-ES" w:eastAsia="es-ES"/>
              </w:rPr>
            </w:pPr>
            <w:r w:rsidRPr="00AA170D">
              <w:rPr>
                <w:rFonts w:ascii="Arial Narrow" w:hAnsi="Arial Narrow"/>
                <w:b/>
                <w:color w:val="000000"/>
                <w:lang w:val="es-ES" w:eastAsia="es-ES"/>
              </w:rPr>
              <w:t>3.178.738</w:t>
            </w:r>
          </w:p>
        </w:tc>
      </w:tr>
      <w:tr w:rsidR="00B82D35" w:rsidRPr="0018789F" w:rsidTr="00AA170D">
        <w:trPr>
          <w:trHeight w:val="255"/>
          <w:jc w:val="center"/>
        </w:trPr>
        <w:tc>
          <w:tcPr>
            <w:tcW w:w="1568" w:type="dxa"/>
            <w:tcBorders>
              <w:top w:val="nil"/>
              <w:left w:val="nil"/>
              <w:bottom w:val="nil"/>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lang w:val="es-ES" w:eastAsia="es-ES"/>
              </w:rPr>
            </w:pPr>
          </w:p>
        </w:tc>
        <w:tc>
          <w:tcPr>
            <w:tcW w:w="1582" w:type="dxa"/>
            <w:gridSpan w:val="2"/>
            <w:tcBorders>
              <w:top w:val="nil"/>
              <w:left w:val="nil"/>
              <w:bottom w:val="nil"/>
              <w:right w:val="nil"/>
            </w:tcBorders>
            <w:shd w:val="clear" w:color="auto" w:fill="auto"/>
            <w:noWrap/>
            <w:vAlign w:val="center"/>
            <w:hideMark/>
          </w:tcPr>
          <w:p w:rsidR="00B82D35" w:rsidRPr="00AA170D" w:rsidRDefault="00AA170D" w:rsidP="003E384D">
            <w:pPr>
              <w:spacing w:after="0"/>
              <w:ind w:firstLine="0"/>
              <w:jc w:val="right"/>
              <w:rPr>
                <w:rFonts w:ascii="Arial Narrow" w:hAnsi="Arial Narrow"/>
                <w:lang w:val="es-ES" w:eastAsia="es-ES"/>
              </w:rPr>
            </w:pPr>
            <w:r w:rsidRPr="00AA170D">
              <w:rPr>
                <w:rFonts w:ascii="Arial Narrow" w:hAnsi="Arial Narrow"/>
                <w:lang w:val="es-ES" w:eastAsia="es-ES"/>
              </w:rPr>
              <w:t>85.712.658</w:t>
            </w: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01/01/2013</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0,368%</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3,258%</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3,626%</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23/02/2013</w:t>
            </w:r>
          </w:p>
        </w:tc>
        <w:tc>
          <w:tcPr>
            <w:tcW w:w="149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457.558</w:t>
            </w:r>
          </w:p>
        </w:tc>
        <w:tc>
          <w:tcPr>
            <w:tcW w:w="158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773.452</w:t>
            </w:r>
          </w:p>
        </w:tc>
      </w:tr>
      <w:tr w:rsidR="00B82D35" w:rsidRPr="00AA170D" w:rsidTr="00AA170D">
        <w:trPr>
          <w:trHeight w:val="255"/>
          <w:jc w:val="center"/>
        </w:trPr>
        <w:tc>
          <w:tcPr>
            <w:tcW w:w="1568"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center"/>
              <w:rPr>
                <w:rFonts w:ascii="Arial Narrow" w:hAnsi="Arial Narrow"/>
                <w:color w:val="000000"/>
                <w:lang w:val="es-ES" w:eastAsia="es-ES"/>
              </w:rPr>
            </w:pPr>
          </w:p>
        </w:tc>
        <w:tc>
          <w:tcPr>
            <w:tcW w:w="1582" w:type="dxa"/>
            <w:gridSpan w:val="2"/>
            <w:tcBorders>
              <w:top w:val="nil"/>
              <w:left w:val="nil"/>
              <w:bottom w:val="nil"/>
              <w:right w:val="nil"/>
            </w:tcBorders>
            <w:shd w:val="clear" w:color="auto" w:fill="auto"/>
            <w:noWrap/>
            <w:vAlign w:val="center"/>
          </w:tcPr>
          <w:p w:rsidR="00B82D35" w:rsidRPr="00AA170D" w:rsidRDefault="00B82D35" w:rsidP="003E384D">
            <w:pPr>
              <w:spacing w:after="0"/>
              <w:ind w:firstLine="0"/>
              <w:jc w:val="right"/>
              <w:rPr>
                <w:rFonts w:ascii="Arial Narrow" w:hAnsi="Arial Narrow"/>
                <w:lang w:val="es-ES" w:eastAsia="es-ES"/>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23/02/2013</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0,378%</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3,258%</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3,636%</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b/>
                <w:bCs/>
                <w:color w:val="000000"/>
                <w:lang w:val="es-ES" w:eastAsia="es-ES"/>
              </w:rPr>
            </w:pPr>
            <w:r w:rsidRPr="0018789F">
              <w:rPr>
                <w:rFonts w:ascii="Arial Narrow" w:hAnsi="Arial Narrow"/>
                <w:color w:val="000000"/>
                <w:lang w:val="es-ES" w:eastAsia="es-ES"/>
              </w:rPr>
              <w:t>23/05/2013</w:t>
            </w:r>
          </w:p>
        </w:tc>
        <w:tc>
          <w:tcPr>
            <w:tcW w:w="149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770.471</w:t>
            </w:r>
          </w:p>
        </w:tc>
        <w:tc>
          <w:tcPr>
            <w:tcW w:w="1587" w:type="dxa"/>
            <w:tcBorders>
              <w:top w:val="nil"/>
              <w:left w:val="nil"/>
              <w:bottom w:val="nil"/>
              <w:right w:val="nil"/>
            </w:tcBorders>
            <w:shd w:val="clear" w:color="auto" w:fill="auto"/>
            <w:noWrap/>
            <w:vAlign w:val="center"/>
          </w:tcPr>
          <w:p w:rsidR="00B82D35" w:rsidRPr="00AA170D" w:rsidRDefault="00AA170D" w:rsidP="003E384D">
            <w:pPr>
              <w:spacing w:after="0"/>
              <w:ind w:firstLine="0"/>
              <w:jc w:val="right"/>
              <w:rPr>
                <w:rFonts w:ascii="Arial Narrow" w:hAnsi="Arial Narrow"/>
                <w:bCs/>
                <w:color w:val="000000"/>
                <w:lang w:val="es-ES" w:eastAsia="es-ES"/>
              </w:rPr>
            </w:pPr>
            <w:r w:rsidRPr="00AA170D">
              <w:rPr>
                <w:rFonts w:ascii="Arial Narrow" w:hAnsi="Arial Narrow"/>
                <w:bCs/>
                <w:color w:val="000000"/>
                <w:lang w:val="es-ES" w:eastAsia="es-ES"/>
              </w:rPr>
              <w:t>770.471</w:t>
            </w:r>
          </w:p>
        </w:tc>
      </w:tr>
      <w:tr w:rsidR="00B82D35" w:rsidRPr="0018789F" w:rsidTr="00AA170D">
        <w:trPr>
          <w:trHeight w:val="255"/>
          <w:jc w:val="center"/>
        </w:trPr>
        <w:tc>
          <w:tcPr>
            <w:tcW w:w="1568"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center"/>
              <w:rPr>
                <w:rFonts w:ascii="Arial Narrow" w:hAnsi="Arial Narrow"/>
                <w:color w:val="000000"/>
                <w:lang w:val="es-ES" w:eastAsia="es-ES"/>
              </w:rPr>
            </w:pPr>
          </w:p>
        </w:tc>
        <w:tc>
          <w:tcPr>
            <w:tcW w:w="1582" w:type="dxa"/>
            <w:gridSpan w:val="2"/>
            <w:tcBorders>
              <w:top w:val="nil"/>
              <w:left w:val="nil"/>
              <w:bottom w:val="nil"/>
              <w:right w:val="nil"/>
            </w:tcBorders>
            <w:shd w:val="clear" w:color="auto" w:fill="auto"/>
            <w:noWrap/>
            <w:vAlign w:val="center"/>
          </w:tcPr>
          <w:p w:rsidR="00B82D35" w:rsidRPr="00AA170D" w:rsidRDefault="00B82D35" w:rsidP="003E384D">
            <w:pPr>
              <w:spacing w:after="0"/>
              <w:ind w:firstLine="0"/>
              <w:jc w:val="right"/>
              <w:rPr>
                <w:rFonts w:ascii="Arial Narrow" w:hAnsi="Arial Narrow"/>
                <w:lang w:val="es-ES" w:eastAsia="es-ES"/>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23/05/2013</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2,127%</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1,592%</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3,719%</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23/08/2013</w:t>
            </w:r>
          </w:p>
        </w:tc>
        <w:tc>
          <w:tcPr>
            <w:tcW w:w="149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814.623</w:t>
            </w:r>
          </w:p>
        </w:tc>
        <w:tc>
          <w:tcPr>
            <w:tcW w:w="158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814.623</w:t>
            </w:r>
          </w:p>
        </w:tc>
      </w:tr>
      <w:tr w:rsidR="00B82D35" w:rsidRPr="0018789F" w:rsidTr="00AA170D">
        <w:trPr>
          <w:trHeight w:val="255"/>
          <w:jc w:val="center"/>
        </w:trPr>
        <w:tc>
          <w:tcPr>
            <w:tcW w:w="1568" w:type="dxa"/>
            <w:tcBorders>
              <w:top w:val="nil"/>
              <w:left w:val="nil"/>
              <w:bottom w:val="nil"/>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lang w:val="es-ES" w:eastAsia="es-ES"/>
              </w:rPr>
            </w:pPr>
          </w:p>
        </w:tc>
        <w:tc>
          <w:tcPr>
            <w:tcW w:w="1582" w:type="dxa"/>
            <w:gridSpan w:val="2"/>
            <w:tcBorders>
              <w:top w:val="nil"/>
              <w:left w:val="nil"/>
              <w:bottom w:val="nil"/>
              <w:right w:val="nil"/>
            </w:tcBorders>
            <w:shd w:val="clear" w:color="auto" w:fill="auto"/>
            <w:noWrap/>
            <w:vAlign w:val="center"/>
          </w:tcPr>
          <w:p w:rsidR="00B82D35" w:rsidRPr="00AA170D" w:rsidRDefault="00B82D35" w:rsidP="003E384D">
            <w:pPr>
              <w:spacing w:after="0"/>
              <w:ind w:firstLine="0"/>
              <w:jc w:val="right"/>
              <w:rPr>
                <w:rFonts w:ascii="Arial Narrow" w:hAnsi="Arial Narrow"/>
                <w:lang w:val="es-ES" w:eastAsia="es-ES"/>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23/08/2013</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2,140%</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1,592%</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3,732%</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23/11/2013</w:t>
            </w:r>
          </w:p>
        </w:tc>
        <w:tc>
          <w:tcPr>
            <w:tcW w:w="149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817.470</w:t>
            </w:r>
          </w:p>
        </w:tc>
        <w:tc>
          <w:tcPr>
            <w:tcW w:w="158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817.470</w:t>
            </w:r>
          </w:p>
        </w:tc>
      </w:tr>
      <w:tr w:rsidR="00B82D35" w:rsidRPr="0018789F" w:rsidTr="00AA170D">
        <w:trPr>
          <w:trHeight w:val="255"/>
          <w:jc w:val="center"/>
        </w:trPr>
        <w:tc>
          <w:tcPr>
            <w:tcW w:w="1568" w:type="dxa"/>
            <w:tcBorders>
              <w:top w:val="nil"/>
              <w:left w:val="nil"/>
              <w:bottom w:val="single" w:sz="4" w:space="0" w:color="auto"/>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lang w:val="es-ES" w:eastAsia="es-ES"/>
              </w:rPr>
            </w:pPr>
          </w:p>
        </w:tc>
        <w:tc>
          <w:tcPr>
            <w:tcW w:w="1582" w:type="dxa"/>
            <w:gridSpan w:val="2"/>
            <w:tcBorders>
              <w:top w:val="nil"/>
              <w:left w:val="nil"/>
              <w:bottom w:val="single" w:sz="4" w:space="0" w:color="auto"/>
              <w:right w:val="nil"/>
            </w:tcBorders>
            <w:shd w:val="clear" w:color="auto" w:fill="auto"/>
            <w:noWrap/>
            <w:vAlign w:val="center"/>
          </w:tcPr>
          <w:p w:rsidR="00B82D35" w:rsidRPr="00AA170D" w:rsidRDefault="00B82D35" w:rsidP="003E384D">
            <w:pPr>
              <w:spacing w:after="0"/>
              <w:ind w:firstLine="0"/>
              <w:jc w:val="right"/>
              <w:rPr>
                <w:rFonts w:ascii="Arial Narrow" w:hAnsi="Arial Narrow"/>
                <w:lang w:val="es-ES" w:eastAsia="es-ES"/>
              </w:rPr>
            </w:pPr>
          </w:p>
        </w:tc>
        <w:tc>
          <w:tcPr>
            <w:tcW w:w="1596"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23/11/2013</w:t>
            </w:r>
          </w:p>
        </w:tc>
        <w:tc>
          <w:tcPr>
            <w:tcW w:w="1357" w:type="dxa"/>
            <w:gridSpan w:val="2"/>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2,139%</w:t>
            </w:r>
          </w:p>
        </w:tc>
        <w:tc>
          <w:tcPr>
            <w:tcW w:w="1456"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1,592%</w:t>
            </w:r>
          </w:p>
        </w:tc>
        <w:tc>
          <w:tcPr>
            <w:tcW w:w="1190"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3,731%</w:t>
            </w:r>
          </w:p>
        </w:tc>
        <w:tc>
          <w:tcPr>
            <w:tcW w:w="1414"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31/12/2013</w:t>
            </w:r>
          </w:p>
        </w:tc>
        <w:tc>
          <w:tcPr>
            <w:tcW w:w="1497" w:type="dxa"/>
            <w:tcBorders>
              <w:top w:val="nil"/>
              <w:left w:val="nil"/>
              <w:bottom w:val="single" w:sz="4" w:space="0" w:color="auto"/>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337.560</w:t>
            </w:r>
          </w:p>
        </w:tc>
        <w:tc>
          <w:tcPr>
            <w:tcW w:w="1587" w:type="dxa"/>
            <w:tcBorders>
              <w:top w:val="nil"/>
              <w:left w:val="nil"/>
              <w:bottom w:val="single" w:sz="4" w:space="0" w:color="auto"/>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r>
      <w:tr w:rsidR="00B82D35" w:rsidRPr="0018789F" w:rsidTr="00AA170D">
        <w:trPr>
          <w:trHeight w:val="312"/>
          <w:jc w:val="center"/>
        </w:trPr>
        <w:tc>
          <w:tcPr>
            <w:tcW w:w="1568" w:type="dxa"/>
            <w:tcBorders>
              <w:top w:val="single" w:sz="4" w:space="0" w:color="auto"/>
              <w:left w:val="nil"/>
              <w:bottom w:val="single" w:sz="4" w:space="0" w:color="auto"/>
              <w:right w:val="nil"/>
            </w:tcBorders>
            <w:shd w:val="clear" w:color="auto" w:fill="auto"/>
            <w:noWrap/>
            <w:vAlign w:val="center"/>
          </w:tcPr>
          <w:p w:rsidR="00B82D35" w:rsidRPr="0018789F" w:rsidRDefault="00AA170D" w:rsidP="003E384D">
            <w:pPr>
              <w:spacing w:after="0"/>
              <w:ind w:firstLine="0"/>
              <w:jc w:val="center"/>
              <w:rPr>
                <w:rFonts w:ascii="Arial Narrow" w:hAnsi="Arial Narrow"/>
                <w:color w:val="000000"/>
                <w:lang w:val="es-ES" w:eastAsia="es-ES"/>
              </w:rPr>
            </w:pPr>
            <w:r>
              <w:rPr>
                <w:rFonts w:ascii="Arial Narrow" w:hAnsi="Arial Narrow"/>
                <w:color w:val="000000"/>
                <w:lang w:val="es-ES" w:eastAsia="es-ES"/>
              </w:rPr>
              <w:t>31/12/</w:t>
            </w:r>
            <w:r w:rsidR="00B82D35" w:rsidRPr="0018789F">
              <w:rPr>
                <w:rFonts w:ascii="Arial Narrow" w:hAnsi="Arial Narrow"/>
                <w:color w:val="000000"/>
                <w:lang w:val="es-ES" w:eastAsia="es-ES"/>
              </w:rPr>
              <w:t>2013 (*)</w:t>
            </w:r>
          </w:p>
        </w:tc>
        <w:tc>
          <w:tcPr>
            <w:tcW w:w="1582" w:type="dxa"/>
            <w:gridSpan w:val="2"/>
            <w:tcBorders>
              <w:top w:val="single" w:sz="4" w:space="0" w:color="auto"/>
              <w:left w:val="nil"/>
              <w:bottom w:val="single" w:sz="4" w:space="0" w:color="auto"/>
              <w:right w:val="nil"/>
            </w:tcBorders>
            <w:shd w:val="clear" w:color="auto" w:fill="auto"/>
            <w:noWrap/>
            <w:vAlign w:val="center"/>
          </w:tcPr>
          <w:p w:rsidR="00B82D35" w:rsidRPr="00AA170D" w:rsidRDefault="00AA170D" w:rsidP="003E384D">
            <w:pPr>
              <w:spacing w:after="0"/>
              <w:ind w:firstLine="0"/>
              <w:jc w:val="right"/>
              <w:rPr>
                <w:rFonts w:ascii="Arial Narrow" w:hAnsi="Arial Narrow"/>
                <w:lang w:val="es-ES" w:eastAsia="es-ES"/>
              </w:rPr>
            </w:pPr>
            <w:r w:rsidRPr="00AA170D">
              <w:rPr>
                <w:rFonts w:ascii="Arial Narrow" w:hAnsi="Arial Narrow"/>
                <w:lang w:val="es-ES" w:eastAsia="es-ES"/>
              </w:rPr>
              <w:t>85.712.658</w:t>
            </w:r>
          </w:p>
        </w:tc>
        <w:tc>
          <w:tcPr>
            <w:tcW w:w="159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357" w:type="dxa"/>
            <w:gridSpan w:val="2"/>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45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190"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414" w:type="dxa"/>
            <w:tcBorders>
              <w:top w:val="single" w:sz="4" w:space="0" w:color="auto"/>
              <w:left w:val="nil"/>
              <w:bottom w:val="single" w:sz="4" w:space="0" w:color="auto"/>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p>
        </w:tc>
        <w:tc>
          <w:tcPr>
            <w:tcW w:w="1497" w:type="dxa"/>
            <w:tcBorders>
              <w:top w:val="single" w:sz="4" w:space="0" w:color="auto"/>
              <w:bottom w:val="single" w:sz="4" w:space="0" w:color="auto"/>
            </w:tcBorders>
            <w:shd w:val="clear" w:color="auto" w:fill="auto"/>
            <w:noWrap/>
            <w:vAlign w:val="center"/>
          </w:tcPr>
          <w:p w:rsidR="00B82D35" w:rsidRPr="0018789F" w:rsidRDefault="00AA170D"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3.197.682</w:t>
            </w:r>
          </w:p>
        </w:tc>
        <w:tc>
          <w:tcPr>
            <w:tcW w:w="1587" w:type="dxa"/>
            <w:tcBorders>
              <w:top w:val="single" w:sz="4" w:space="0" w:color="auto"/>
              <w:bottom w:val="single" w:sz="4" w:space="0" w:color="auto"/>
            </w:tcBorders>
            <w:shd w:val="clear" w:color="auto" w:fill="auto"/>
            <w:noWrap/>
            <w:vAlign w:val="center"/>
          </w:tcPr>
          <w:p w:rsidR="00B82D35" w:rsidRPr="00AA170D" w:rsidRDefault="00AA170D" w:rsidP="003E384D">
            <w:pPr>
              <w:spacing w:after="0"/>
              <w:ind w:firstLine="0"/>
              <w:jc w:val="right"/>
              <w:rPr>
                <w:rFonts w:ascii="Arial Narrow" w:hAnsi="Arial Narrow"/>
                <w:b/>
                <w:color w:val="000000"/>
                <w:lang w:val="es-ES" w:eastAsia="es-ES"/>
              </w:rPr>
            </w:pPr>
            <w:r w:rsidRPr="00AA170D">
              <w:rPr>
                <w:rFonts w:ascii="Arial Narrow" w:hAnsi="Arial Narrow"/>
                <w:b/>
                <w:color w:val="000000"/>
                <w:lang w:val="es-ES" w:eastAsia="es-ES"/>
              </w:rPr>
              <w:t>3.176.016</w:t>
            </w:r>
          </w:p>
        </w:tc>
      </w:tr>
      <w:tr w:rsidR="00B82D35" w:rsidRPr="0018789F" w:rsidTr="00B82D35">
        <w:trPr>
          <w:trHeight w:val="255"/>
          <w:jc w:val="center"/>
        </w:trPr>
        <w:tc>
          <w:tcPr>
            <w:tcW w:w="1568" w:type="dxa"/>
            <w:tcBorders>
              <w:top w:val="single" w:sz="4" w:space="0" w:color="auto"/>
              <w:left w:val="nil"/>
              <w:bottom w:val="single" w:sz="4" w:space="0" w:color="auto"/>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lang w:val="es-ES" w:eastAsia="es-ES"/>
              </w:rPr>
            </w:pPr>
            <w:r w:rsidRPr="0018789F">
              <w:rPr>
                <w:rFonts w:ascii="Arial Narrow" w:hAnsi="Arial Narrow"/>
                <w:color w:val="000000"/>
                <w:lang w:val="es-ES" w:eastAsia="es-ES"/>
              </w:rPr>
              <w:t xml:space="preserve">2014 (1º </w:t>
            </w:r>
            <w:proofErr w:type="spellStart"/>
            <w:r w:rsidRPr="0018789F">
              <w:rPr>
                <w:rFonts w:ascii="Arial Narrow" w:hAnsi="Arial Narrow"/>
                <w:color w:val="000000"/>
                <w:lang w:val="es-ES" w:eastAsia="es-ES"/>
              </w:rPr>
              <w:t>Trim</w:t>
            </w:r>
            <w:proofErr w:type="spellEnd"/>
            <w:r w:rsidRPr="0018789F">
              <w:rPr>
                <w:rFonts w:ascii="Arial Narrow" w:hAnsi="Arial Narrow"/>
                <w:color w:val="000000"/>
                <w:lang w:val="es-ES" w:eastAsia="es-ES"/>
              </w:rPr>
              <w:t>.)(*)</w:t>
            </w:r>
          </w:p>
        </w:tc>
        <w:tc>
          <w:tcPr>
            <w:tcW w:w="1582" w:type="dxa"/>
            <w:gridSpan w:val="2"/>
            <w:tcBorders>
              <w:top w:val="single" w:sz="4" w:space="0" w:color="auto"/>
              <w:left w:val="nil"/>
              <w:bottom w:val="single" w:sz="4" w:space="0" w:color="auto"/>
              <w:right w:val="nil"/>
            </w:tcBorders>
            <w:shd w:val="clear" w:color="auto" w:fill="auto"/>
            <w:noWrap/>
            <w:vAlign w:val="center"/>
            <w:hideMark/>
          </w:tcPr>
          <w:p w:rsidR="00B82D35" w:rsidRPr="00AA170D" w:rsidRDefault="00AA170D" w:rsidP="003E384D">
            <w:pPr>
              <w:spacing w:after="0"/>
              <w:ind w:firstLine="0"/>
              <w:jc w:val="right"/>
              <w:rPr>
                <w:rFonts w:ascii="Arial Narrow" w:hAnsi="Arial Narrow"/>
                <w:lang w:val="es-ES" w:eastAsia="es-ES"/>
              </w:rPr>
            </w:pPr>
            <w:r w:rsidRPr="00AA170D">
              <w:rPr>
                <w:rFonts w:ascii="Arial Narrow" w:hAnsi="Arial Narrow"/>
                <w:lang w:val="es-ES" w:eastAsia="es-ES"/>
              </w:rPr>
              <w:t>88.888.674</w:t>
            </w:r>
          </w:p>
        </w:tc>
        <w:tc>
          <w:tcPr>
            <w:tcW w:w="159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01/01/2014</w:t>
            </w:r>
          </w:p>
        </w:tc>
        <w:tc>
          <w:tcPr>
            <w:tcW w:w="1357" w:type="dxa"/>
            <w:gridSpan w:val="2"/>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2,151%</w:t>
            </w:r>
          </w:p>
        </w:tc>
        <w:tc>
          <w:tcPr>
            <w:tcW w:w="145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1,592%</w:t>
            </w:r>
          </w:p>
        </w:tc>
        <w:tc>
          <w:tcPr>
            <w:tcW w:w="1190"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3,743%</w:t>
            </w:r>
          </w:p>
        </w:tc>
        <w:tc>
          <w:tcPr>
            <w:tcW w:w="1414"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lang w:val="es-ES" w:eastAsia="es-ES"/>
              </w:rPr>
            </w:pPr>
            <w:r w:rsidRPr="0018789F">
              <w:rPr>
                <w:rFonts w:ascii="Arial Narrow" w:hAnsi="Arial Narrow"/>
                <w:color w:val="000000"/>
                <w:lang w:val="es-ES" w:eastAsia="es-ES"/>
              </w:rPr>
              <w:t>31/03/2014</w:t>
            </w:r>
          </w:p>
        </w:tc>
        <w:tc>
          <w:tcPr>
            <w:tcW w:w="1497" w:type="dxa"/>
            <w:tcBorders>
              <w:top w:val="single" w:sz="4" w:space="0" w:color="auto"/>
              <w:left w:val="nil"/>
              <w:bottom w:val="single" w:sz="4" w:space="0" w:color="auto"/>
              <w:right w:val="nil"/>
            </w:tcBorders>
            <w:shd w:val="clear" w:color="auto" w:fill="auto"/>
            <w:noWrap/>
            <w:vAlign w:val="center"/>
            <w:hideMark/>
          </w:tcPr>
          <w:p w:rsidR="00B82D35" w:rsidRPr="0018789F" w:rsidRDefault="00AA170D" w:rsidP="003E384D">
            <w:pPr>
              <w:spacing w:after="0"/>
              <w:ind w:firstLine="0"/>
              <w:jc w:val="right"/>
              <w:rPr>
                <w:rFonts w:ascii="Arial Narrow" w:hAnsi="Arial Narrow"/>
                <w:color w:val="000000"/>
                <w:lang w:val="es-ES" w:eastAsia="es-ES"/>
              </w:rPr>
            </w:pPr>
            <w:r>
              <w:rPr>
                <w:rFonts w:ascii="Arial Narrow" w:hAnsi="Arial Narrow"/>
                <w:color w:val="000000"/>
                <w:lang w:val="es-ES" w:eastAsia="es-ES"/>
              </w:rPr>
              <w:t>822.534</w:t>
            </w:r>
          </w:p>
        </w:tc>
        <w:tc>
          <w:tcPr>
            <w:tcW w:w="1587" w:type="dxa"/>
            <w:tcBorders>
              <w:top w:val="single" w:sz="4" w:space="0" w:color="auto"/>
              <w:left w:val="nil"/>
              <w:bottom w:val="single" w:sz="4" w:space="0" w:color="auto"/>
              <w:right w:val="nil"/>
            </w:tcBorders>
            <w:shd w:val="clear" w:color="auto" w:fill="auto"/>
            <w:noWrap/>
            <w:vAlign w:val="center"/>
            <w:hideMark/>
          </w:tcPr>
          <w:p w:rsidR="00B82D35" w:rsidRPr="0018789F" w:rsidRDefault="00AA170D" w:rsidP="003E384D">
            <w:pPr>
              <w:spacing w:after="0"/>
              <w:ind w:firstLine="0"/>
              <w:jc w:val="right"/>
              <w:rPr>
                <w:rFonts w:ascii="Arial Narrow" w:hAnsi="Arial Narrow"/>
                <w:b/>
                <w:color w:val="000000"/>
                <w:lang w:val="es-ES" w:eastAsia="es-ES"/>
              </w:rPr>
            </w:pPr>
            <w:r>
              <w:rPr>
                <w:rFonts w:ascii="Arial Narrow" w:hAnsi="Arial Narrow"/>
                <w:b/>
                <w:color w:val="000000"/>
                <w:lang w:val="es-ES" w:eastAsia="es-ES"/>
              </w:rPr>
              <w:t>1.160.094</w:t>
            </w:r>
          </w:p>
        </w:tc>
      </w:tr>
      <w:tr w:rsidR="00B82D35" w:rsidRPr="002504B4" w:rsidTr="00B82D35">
        <w:trPr>
          <w:trHeight w:val="300"/>
          <w:jc w:val="center"/>
        </w:trPr>
        <w:tc>
          <w:tcPr>
            <w:tcW w:w="2234" w:type="dxa"/>
            <w:gridSpan w:val="2"/>
            <w:tcBorders>
              <w:top w:val="single" w:sz="4" w:space="0" w:color="auto"/>
              <w:left w:val="nil"/>
              <w:bottom w:val="nil"/>
              <w:right w:val="nil"/>
            </w:tcBorders>
            <w:shd w:val="clear" w:color="auto" w:fill="auto"/>
            <w:noWrap/>
            <w:vAlign w:val="center"/>
          </w:tcPr>
          <w:p w:rsidR="00B82D35" w:rsidRPr="002504B4" w:rsidRDefault="00B82D35" w:rsidP="003E384D">
            <w:pPr>
              <w:spacing w:after="0"/>
              <w:ind w:firstLine="0"/>
              <w:jc w:val="left"/>
              <w:rPr>
                <w:rFonts w:ascii="Calibri" w:hAnsi="Calibri"/>
                <w:color w:val="000000"/>
                <w:sz w:val="22"/>
                <w:szCs w:val="22"/>
                <w:lang w:val="es-ES" w:eastAsia="es-ES"/>
              </w:rPr>
            </w:pPr>
          </w:p>
        </w:tc>
        <w:tc>
          <w:tcPr>
            <w:tcW w:w="916" w:type="dxa"/>
            <w:tcBorders>
              <w:top w:val="single" w:sz="4" w:space="0" w:color="auto"/>
              <w:left w:val="nil"/>
              <w:bottom w:val="nil"/>
              <w:right w:val="nil"/>
            </w:tcBorders>
            <w:shd w:val="clear" w:color="auto" w:fill="auto"/>
            <w:noWrap/>
            <w:vAlign w:val="bottom"/>
          </w:tcPr>
          <w:p w:rsidR="00B82D35" w:rsidRPr="002504B4" w:rsidRDefault="00B82D35" w:rsidP="005302D8">
            <w:pPr>
              <w:spacing w:after="0"/>
              <w:ind w:firstLine="0"/>
              <w:jc w:val="right"/>
              <w:rPr>
                <w:rFonts w:ascii="Calibri" w:hAnsi="Calibri"/>
                <w:color w:val="000000"/>
                <w:sz w:val="22"/>
                <w:szCs w:val="22"/>
                <w:lang w:val="es-ES" w:eastAsia="es-ES"/>
              </w:rPr>
            </w:pPr>
          </w:p>
        </w:tc>
        <w:tc>
          <w:tcPr>
            <w:tcW w:w="2302" w:type="dxa"/>
            <w:gridSpan w:val="2"/>
            <w:tcBorders>
              <w:top w:val="single" w:sz="4" w:space="0" w:color="auto"/>
              <w:left w:val="nil"/>
              <w:bottom w:val="nil"/>
              <w:right w:val="nil"/>
            </w:tcBorders>
            <w:shd w:val="clear" w:color="auto" w:fill="auto"/>
            <w:noWrap/>
            <w:vAlign w:val="bottom"/>
          </w:tcPr>
          <w:p w:rsidR="00B82D35" w:rsidRPr="002504B4" w:rsidRDefault="00B82D35" w:rsidP="005302D8">
            <w:pPr>
              <w:spacing w:after="0"/>
              <w:ind w:firstLine="0"/>
              <w:jc w:val="right"/>
              <w:rPr>
                <w:rFonts w:ascii="Calibri" w:hAnsi="Calibri"/>
                <w:color w:val="000000"/>
                <w:sz w:val="22"/>
                <w:szCs w:val="22"/>
                <w:lang w:val="es-ES" w:eastAsia="es-ES"/>
              </w:rPr>
            </w:pPr>
          </w:p>
        </w:tc>
        <w:tc>
          <w:tcPr>
            <w:tcW w:w="651" w:type="dxa"/>
            <w:tcBorders>
              <w:top w:val="single" w:sz="4" w:space="0" w:color="auto"/>
              <w:left w:val="nil"/>
              <w:bottom w:val="nil"/>
              <w:right w:val="nil"/>
            </w:tcBorders>
            <w:shd w:val="clear" w:color="auto" w:fill="auto"/>
            <w:noWrap/>
            <w:vAlign w:val="bottom"/>
          </w:tcPr>
          <w:p w:rsidR="00B82D35" w:rsidRPr="002504B4" w:rsidRDefault="00B82D35" w:rsidP="005302D8">
            <w:pPr>
              <w:spacing w:after="0"/>
              <w:ind w:firstLine="0"/>
              <w:jc w:val="right"/>
              <w:rPr>
                <w:rFonts w:ascii="Calibri" w:hAnsi="Calibri"/>
                <w:color w:val="000000"/>
                <w:sz w:val="22"/>
                <w:szCs w:val="22"/>
                <w:lang w:val="es-ES" w:eastAsia="es-ES"/>
              </w:rPr>
            </w:pPr>
          </w:p>
        </w:tc>
        <w:tc>
          <w:tcPr>
            <w:tcW w:w="1456" w:type="dxa"/>
            <w:tcBorders>
              <w:top w:val="single" w:sz="4" w:space="0" w:color="auto"/>
              <w:left w:val="nil"/>
              <w:bottom w:val="nil"/>
              <w:right w:val="nil"/>
            </w:tcBorders>
            <w:shd w:val="clear" w:color="auto" w:fill="auto"/>
            <w:noWrap/>
            <w:vAlign w:val="bottom"/>
          </w:tcPr>
          <w:p w:rsidR="00B82D35" w:rsidRPr="002504B4" w:rsidRDefault="00B82D35" w:rsidP="005302D8">
            <w:pPr>
              <w:spacing w:after="0"/>
              <w:ind w:firstLine="0"/>
              <w:jc w:val="right"/>
              <w:rPr>
                <w:rFonts w:ascii="Calibri" w:hAnsi="Calibri"/>
                <w:color w:val="000000"/>
                <w:sz w:val="22"/>
                <w:szCs w:val="22"/>
                <w:lang w:val="es-ES" w:eastAsia="es-ES"/>
              </w:rPr>
            </w:pPr>
          </w:p>
        </w:tc>
        <w:tc>
          <w:tcPr>
            <w:tcW w:w="1190" w:type="dxa"/>
            <w:tcBorders>
              <w:top w:val="single" w:sz="4" w:space="0" w:color="auto"/>
              <w:left w:val="nil"/>
              <w:bottom w:val="nil"/>
              <w:right w:val="nil"/>
            </w:tcBorders>
            <w:shd w:val="clear" w:color="auto" w:fill="auto"/>
            <w:noWrap/>
            <w:vAlign w:val="bottom"/>
          </w:tcPr>
          <w:p w:rsidR="00B82D35" w:rsidRPr="002504B4" w:rsidRDefault="00B82D35" w:rsidP="005302D8">
            <w:pPr>
              <w:spacing w:after="0"/>
              <w:ind w:firstLine="0"/>
              <w:jc w:val="right"/>
              <w:rPr>
                <w:rFonts w:ascii="Calibri" w:hAnsi="Calibri"/>
                <w:color w:val="000000"/>
                <w:sz w:val="22"/>
                <w:szCs w:val="22"/>
                <w:lang w:val="es-ES" w:eastAsia="es-ES"/>
              </w:rPr>
            </w:pPr>
          </w:p>
        </w:tc>
        <w:tc>
          <w:tcPr>
            <w:tcW w:w="1414" w:type="dxa"/>
            <w:tcBorders>
              <w:top w:val="single" w:sz="4" w:space="0" w:color="auto"/>
              <w:left w:val="nil"/>
              <w:bottom w:val="nil"/>
              <w:right w:val="nil"/>
            </w:tcBorders>
            <w:shd w:val="clear" w:color="auto" w:fill="auto"/>
            <w:noWrap/>
            <w:vAlign w:val="bottom"/>
          </w:tcPr>
          <w:p w:rsidR="00B82D35" w:rsidRPr="002504B4" w:rsidRDefault="00B82D35" w:rsidP="005302D8">
            <w:pPr>
              <w:spacing w:after="0"/>
              <w:ind w:firstLine="0"/>
              <w:jc w:val="right"/>
              <w:rPr>
                <w:rFonts w:ascii="Calibri" w:hAnsi="Calibri"/>
                <w:color w:val="000000"/>
                <w:sz w:val="22"/>
                <w:szCs w:val="22"/>
                <w:lang w:val="es-ES" w:eastAsia="es-ES"/>
              </w:rPr>
            </w:pPr>
          </w:p>
        </w:tc>
        <w:tc>
          <w:tcPr>
            <w:tcW w:w="1497" w:type="dxa"/>
            <w:tcBorders>
              <w:top w:val="single" w:sz="4" w:space="0" w:color="auto"/>
              <w:left w:val="nil"/>
              <w:bottom w:val="nil"/>
              <w:right w:val="nil"/>
            </w:tcBorders>
            <w:shd w:val="clear" w:color="auto" w:fill="auto"/>
            <w:noWrap/>
            <w:vAlign w:val="bottom"/>
          </w:tcPr>
          <w:p w:rsidR="00B82D35" w:rsidRPr="002504B4" w:rsidRDefault="00B82D35" w:rsidP="005302D8">
            <w:pPr>
              <w:spacing w:after="0"/>
              <w:ind w:firstLine="0"/>
              <w:jc w:val="right"/>
              <w:rPr>
                <w:rFonts w:ascii="Calibri" w:hAnsi="Calibri"/>
                <w:color w:val="000000"/>
                <w:sz w:val="22"/>
                <w:szCs w:val="22"/>
                <w:lang w:val="es-ES" w:eastAsia="es-ES"/>
              </w:rPr>
            </w:pPr>
          </w:p>
        </w:tc>
        <w:tc>
          <w:tcPr>
            <w:tcW w:w="1587" w:type="dxa"/>
            <w:tcBorders>
              <w:top w:val="single" w:sz="4" w:space="0" w:color="auto"/>
              <w:left w:val="nil"/>
              <w:bottom w:val="nil"/>
              <w:right w:val="nil"/>
            </w:tcBorders>
            <w:shd w:val="clear" w:color="auto" w:fill="auto"/>
            <w:noWrap/>
            <w:vAlign w:val="bottom"/>
          </w:tcPr>
          <w:p w:rsidR="00B82D35" w:rsidRPr="002504B4" w:rsidRDefault="00B82D35" w:rsidP="005302D8">
            <w:pPr>
              <w:spacing w:after="0"/>
              <w:ind w:firstLine="0"/>
              <w:jc w:val="right"/>
              <w:rPr>
                <w:rFonts w:ascii="Calibri" w:hAnsi="Calibri"/>
                <w:color w:val="000000"/>
                <w:sz w:val="22"/>
                <w:szCs w:val="22"/>
                <w:lang w:val="es-ES" w:eastAsia="es-ES"/>
              </w:rPr>
            </w:pPr>
          </w:p>
        </w:tc>
      </w:tr>
    </w:tbl>
    <w:p w:rsidR="006944BB" w:rsidRPr="008C288F" w:rsidRDefault="006944BB" w:rsidP="00096746">
      <w:pPr>
        <w:tabs>
          <w:tab w:val="left" w:pos="2348"/>
          <w:tab w:val="left" w:pos="3918"/>
          <w:tab w:val="left" w:pos="5474"/>
          <w:tab w:val="left" w:pos="6440"/>
          <w:tab w:val="left" w:pos="7853"/>
          <w:tab w:val="left" w:pos="8997"/>
          <w:tab w:val="left" w:pos="10373"/>
          <w:tab w:val="left" w:pos="12009"/>
          <w:tab w:val="left" w:pos="13565"/>
        </w:tabs>
        <w:spacing w:after="100"/>
        <w:ind w:left="68" w:firstLine="0"/>
        <w:jc w:val="left"/>
        <w:rPr>
          <w:rFonts w:ascii="GillSans" w:hAnsi="GillSans"/>
          <w:b/>
          <w:bCs/>
          <w:color w:val="000000"/>
          <w:lang w:val="es-ES" w:eastAsia="es-ES"/>
        </w:rPr>
      </w:pPr>
      <w:r w:rsidRPr="008C288F">
        <w:rPr>
          <w:rFonts w:ascii="GillSans" w:hAnsi="GillSans"/>
          <w:b/>
          <w:bCs/>
          <w:color w:val="000000"/>
          <w:lang w:val="es-ES" w:eastAsia="es-ES"/>
        </w:rPr>
        <w:t>Saldo dispuesto a 31 de marzo de 2014</w:t>
      </w:r>
      <w:r w:rsidRPr="008C288F">
        <w:rPr>
          <w:rFonts w:ascii="GillSans" w:hAnsi="GillSans"/>
          <w:color w:val="000000"/>
          <w:lang w:val="es-ES" w:eastAsia="es-ES"/>
        </w:rPr>
        <w:tab/>
      </w:r>
      <w:r w:rsidR="00AA170D" w:rsidRPr="008C288F">
        <w:rPr>
          <w:rFonts w:ascii="GillSans" w:hAnsi="GillSans"/>
          <w:b/>
          <w:bCs/>
          <w:color w:val="000000"/>
          <w:lang w:val="es-ES" w:eastAsia="es-ES"/>
        </w:rPr>
        <w:t>90.048.768</w:t>
      </w:r>
    </w:p>
    <w:p w:rsidR="006944BB" w:rsidRPr="00096746" w:rsidRDefault="006944BB" w:rsidP="006944BB">
      <w:pPr>
        <w:tabs>
          <w:tab w:val="left" w:pos="2348"/>
          <w:tab w:val="left" w:pos="3918"/>
          <w:tab w:val="left" w:pos="5474"/>
          <w:tab w:val="left" w:pos="6440"/>
          <w:tab w:val="left" w:pos="7853"/>
          <w:tab w:val="left" w:pos="8997"/>
          <w:tab w:val="left" w:pos="10373"/>
          <w:tab w:val="left" w:pos="12009"/>
          <w:tab w:val="left" w:pos="13565"/>
        </w:tabs>
        <w:spacing w:after="0"/>
        <w:ind w:left="70" w:firstLine="0"/>
        <w:jc w:val="left"/>
        <w:rPr>
          <w:rFonts w:ascii="GillSans Light" w:hAnsi="GillSans Light"/>
          <w:color w:val="000000"/>
          <w:lang w:val="es-ES" w:eastAsia="es-ES"/>
        </w:rPr>
      </w:pPr>
      <w:r w:rsidRPr="00096746">
        <w:rPr>
          <w:rFonts w:ascii="GillSans Light" w:hAnsi="GillSans Light"/>
          <w:bCs/>
          <w:color w:val="000000"/>
          <w:lang w:val="es-ES" w:eastAsia="es-ES"/>
        </w:rPr>
        <w:t>(*) Se capitalizan los gastos financieros liquidados el ejercicio anterior</w:t>
      </w:r>
      <w:r w:rsidRPr="00096746">
        <w:rPr>
          <w:rFonts w:ascii="GillSans Light" w:hAnsi="GillSans Light"/>
          <w:color w:val="000000"/>
          <w:lang w:val="es-ES" w:eastAsia="es-ES"/>
        </w:rPr>
        <w:tab/>
      </w:r>
      <w:r w:rsidRPr="00096746">
        <w:rPr>
          <w:rFonts w:ascii="GillSans Light" w:hAnsi="GillSans Light"/>
          <w:color w:val="000000"/>
          <w:lang w:val="es-ES" w:eastAsia="es-ES"/>
        </w:rPr>
        <w:tab/>
      </w:r>
      <w:r w:rsidRPr="00096746">
        <w:rPr>
          <w:rFonts w:ascii="GillSans Light" w:hAnsi="GillSans Light"/>
          <w:color w:val="000000"/>
          <w:lang w:val="es-ES" w:eastAsia="es-ES"/>
        </w:rPr>
        <w:tab/>
      </w:r>
      <w:r w:rsidRPr="00096746">
        <w:rPr>
          <w:rFonts w:ascii="GillSans Light" w:hAnsi="GillSans Light"/>
          <w:color w:val="000000"/>
          <w:lang w:val="es-ES" w:eastAsia="es-ES"/>
        </w:rPr>
        <w:tab/>
      </w:r>
      <w:r w:rsidRPr="00096746">
        <w:rPr>
          <w:rFonts w:ascii="GillSans Light" w:hAnsi="GillSans Light"/>
          <w:color w:val="000000"/>
          <w:lang w:val="es-ES" w:eastAsia="es-ES"/>
        </w:rPr>
        <w:tab/>
      </w:r>
      <w:r w:rsidRPr="00096746">
        <w:rPr>
          <w:rFonts w:ascii="GillSans Light" w:hAnsi="GillSans Light"/>
          <w:bCs/>
          <w:color w:val="000000"/>
          <w:lang w:val="es-ES" w:eastAsia="es-ES"/>
        </w:rPr>
        <w:tab/>
      </w:r>
    </w:p>
    <w:tbl>
      <w:tblPr>
        <w:tblW w:w="13932" w:type="dxa"/>
        <w:tblInd w:w="70" w:type="dxa"/>
        <w:tblCellMar>
          <w:left w:w="70" w:type="dxa"/>
          <w:right w:w="70" w:type="dxa"/>
        </w:tblCellMar>
        <w:tblLook w:val="04A0" w:firstRow="1" w:lastRow="0" w:firstColumn="1" w:lastColumn="0" w:noHBand="0" w:noVBand="1"/>
      </w:tblPr>
      <w:tblGrid>
        <w:gridCol w:w="1306"/>
        <w:gridCol w:w="264"/>
        <w:gridCol w:w="1489"/>
        <w:gridCol w:w="712"/>
        <w:gridCol w:w="612"/>
        <w:gridCol w:w="354"/>
        <w:gridCol w:w="1661"/>
        <w:gridCol w:w="51"/>
        <w:gridCol w:w="1880"/>
        <w:gridCol w:w="413"/>
        <w:gridCol w:w="767"/>
        <w:gridCol w:w="599"/>
        <w:gridCol w:w="847"/>
        <w:gridCol w:w="1642"/>
        <w:gridCol w:w="1335"/>
      </w:tblGrid>
      <w:tr w:rsidR="006944BB" w:rsidRPr="008C288F" w:rsidTr="00F5488A">
        <w:trPr>
          <w:trHeight w:val="300"/>
        </w:trPr>
        <w:tc>
          <w:tcPr>
            <w:tcW w:w="1570" w:type="dxa"/>
            <w:gridSpan w:val="2"/>
            <w:tcBorders>
              <w:top w:val="nil"/>
              <w:left w:val="nil"/>
              <w:bottom w:val="nil"/>
              <w:right w:val="nil"/>
            </w:tcBorders>
            <w:shd w:val="clear" w:color="auto" w:fill="auto"/>
            <w:noWrap/>
            <w:vAlign w:val="bottom"/>
            <w:hideMark/>
          </w:tcPr>
          <w:p w:rsidR="006944BB" w:rsidRPr="008C288F" w:rsidRDefault="006944BB" w:rsidP="005302D8">
            <w:pPr>
              <w:spacing w:after="0"/>
              <w:ind w:firstLine="0"/>
              <w:jc w:val="right"/>
              <w:rPr>
                <w:rFonts w:ascii="Calibri" w:hAnsi="Calibri"/>
                <w:b/>
                <w:color w:val="000000"/>
                <w:sz w:val="22"/>
                <w:szCs w:val="22"/>
                <w:lang w:val="es-ES" w:eastAsia="es-ES"/>
              </w:rPr>
            </w:pPr>
          </w:p>
        </w:tc>
        <w:tc>
          <w:tcPr>
            <w:tcW w:w="2201" w:type="dxa"/>
            <w:gridSpan w:val="2"/>
            <w:tcBorders>
              <w:top w:val="nil"/>
              <w:left w:val="nil"/>
              <w:bottom w:val="nil"/>
              <w:right w:val="nil"/>
            </w:tcBorders>
            <w:shd w:val="clear" w:color="auto" w:fill="auto"/>
            <w:noWrap/>
            <w:vAlign w:val="bottom"/>
            <w:hideMark/>
          </w:tcPr>
          <w:p w:rsidR="006944BB" w:rsidRPr="008C288F" w:rsidRDefault="006944BB" w:rsidP="005302D8">
            <w:pPr>
              <w:spacing w:after="0"/>
              <w:ind w:firstLine="0"/>
              <w:jc w:val="right"/>
              <w:rPr>
                <w:rFonts w:ascii="Calibri" w:hAnsi="Calibri"/>
                <w:b/>
                <w:color w:val="000000"/>
                <w:sz w:val="22"/>
                <w:szCs w:val="22"/>
                <w:lang w:val="es-ES" w:eastAsia="es-ES"/>
              </w:rPr>
            </w:pPr>
          </w:p>
        </w:tc>
        <w:tc>
          <w:tcPr>
            <w:tcW w:w="966" w:type="dxa"/>
            <w:gridSpan w:val="2"/>
            <w:tcBorders>
              <w:top w:val="nil"/>
              <w:left w:val="nil"/>
              <w:bottom w:val="nil"/>
              <w:right w:val="nil"/>
            </w:tcBorders>
            <w:shd w:val="clear" w:color="auto" w:fill="auto"/>
            <w:noWrap/>
            <w:vAlign w:val="bottom"/>
            <w:hideMark/>
          </w:tcPr>
          <w:p w:rsidR="006944BB" w:rsidRPr="008C288F" w:rsidRDefault="006944BB" w:rsidP="005302D8">
            <w:pPr>
              <w:spacing w:after="0"/>
              <w:ind w:firstLine="0"/>
              <w:jc w:val="right"/>
              <w:rPr>
                <w:rFonts w:ascii="Calibri" w:hAnsi="Calibri"/>
                <w:b/>
                <w:color w:val="000000"/>
                <w:sz w:val="22"/>
                <w:szCs w:val="22"/>
                <w:lang w:val="es-ES" w:eastAsia="es-ES"/>
              </w:rPr>
            </w:pPr>
          </w:p>
        </w:tc>
        <w:tc>
          <w:tcPr>
            <w:tcW w:w="1712" w:type="dxa"/>
            <w:gridSpan w:val="2"/>
            <w:tcBorders>
              <w:top w:val="nil"/>
              <w:left w:val="nil"/>
              <w:bottom w:val="nil"/>
              <w:right w:val="nil"/>
            </w:tcBorders>
            <w:shd w:val="clear" w:color="auto" w:fill="auto"/>
            <w:noWrap/>
            <w:vAlign w:val="bottom"/>
            <w:hideMark/>
          </w:tcPr>
          <w:p w:rsidR="006944BB" w:rsidRPr="008C288F" w:rsidRDefault="006944BB" w:rsidP="005302D8">
            <w:pPr>
              <w:spacing w:after="0"/>
              <w:ind w:firstLine="0"/>
              <w:jc w:val="right"/>
              <w:rPr>
                <w:rFonts w:ascii="Calibri" w:hAnsi="Calibri"/>
                <w:b/>
                <w:color w:val="000000"/>
                <w:sz w:val="22"/>
                <w:szCs w:val="22"/>
                <w:lang w:val="es-ES" w:eastAsia="es-ES"/>
              </w:rPr>
            </w:pPr>
          </w:p>
        </w:tc>
        <w:tc>
          <w:tcPr>
            <w:tcW w:w="1880" w:type="dxa"/>
            <w:tcBorders>
              <w:top w:val="nil"/>
              <w:left w:val="nil"/>
              <w:bottom w:val="nil"/>
              <w:right w:val="nil"/>
            </w:tcBorders>
            <w:shd w:val="clear" w:color="auto" w:fill="auto"/>
            <w:noWrap/>
            <w:vAlign w:val="bottom"/>
            <w:hideMark/>
          </w:tcPr>
          <w:p w:rsidR="006944BB" w:rsidRPr="008C288F" w:rsidRDefault="006944BB" w:rsidP="005302D8">
            <w:pPr>
              <w:spacing w:after="0"/>
              <w:ind w:firstLine="0"/>
              <w:jc w:val="right"/>
              <w:rPr>
                <w:rFonts w:ascii="Calibri" w:hAnsi="Calibri"/>
                <w:b/>
                <w:color w:val="000000"/>
                <w:sz w:val="22"/>
                <w:szCs w:val="22"/>
                <w:lang w:val="es-ES" w:eastAsia="es-ES"/>
              </w:rPr>
            </w:pPr>
          </w:p>
        </w:tc>
        <w:tc>
          <w:tcPr>
            <w:tcW w:w="1180" w:type="dxa"/>
            <w:gridSpan w:val="2"/>
            <w:tcBorders>
              <w:top w:val="nil"/>
              <w:left w:val="nil"/>
              <w:bottom w:val="nil"/>
              <w:right w:val="nil"/>
            </w:tcBorders>
            <w:shd w:val="clear" w:color="auto" w:fill="auto"/>
            <w:noWrap/>
            <w:vAlign w:val="bottom"/>
            <w:hideMark/>
          </w:tcPr>
          <w:p w:rsidR="006944BB" w:rsidRPr="008C288F" w:rsidRDefault="006944BB" w:rsidP="005302D8">
            <w:pPr>
              <w:spacing w:after="0"/>
              <w:ind w:firstLine="0"/>
              <w:jc w:val="right"/>
              <w:rPr>
                <w:rFonts w:ascii="Calibri" w:hAnsi="Calibri"/>
                <w:b/>
                <w:color w:val="000000"/>
                <w:sz w:val="22"/>
                <w:szCs w:val="22"/>
                <w:lang w:val="es-ES" w:eastAsia="es-ES"/>
              </w:rPr>
            </w:pPr>
          </w:p>
        </w:tc>
        <w:tc>
          <w:tcPr>
            <w:tcW w:w="1446" w:type="dxa"/>
            <w:gridSpan w:val="2"/>
            <w:tcBorders>
              <w:top w:val="nil"/>
              <w:left w:val="nil"/>
              <w:bottom w:val="nil"/>
              <w:right w:val="nil"/>
            </w:tcBorders>
            <w:shd w:val="clear" w:color="auto" w:fill="auto"/>
            <w:noWrap/>
            <w:vAlign w:val="bottom"/>
          </w:tcPr>
          <w:p w:rsidR="006944BB" w:rsidRPr="008C288F" w:rsidRDefault="006944BB" w:rsidP="005302D8">
            <w:pPr>
              <w:spacing w:after="0"/>
              <w:ind w:firstLine="0"/>
              <w:jc w:val="right"/>
              <w:rPr>
                <w:rFonts w:ascii="Calibri" w:hAnsi="Calibri"/>
                <w:b/>
                <w:color w:val="000000"/>
                <w:sz w:val="22"/>
                <w:szCs w:val="22"/>
                <w:lang w:val="es-ES" w:eastAsia="es-ES"/>
              </w:rPr>
            </w:pPr>
          </w:p>
        </w:tc>
        <w:tc>
          <w:tcPr>
            <w:tcW w:w="1642" w:type="dxa"/>
            <w:tcBorders>
              <w:top w:val="nil"/>
              <w:left w:val="nil"/>
              <w:bottom w:val="nil"/>
              <w:right w:val="nil"/>
            </w:tcBorders>
            <w:shd w:val="clear" w:color="auto" w:fill="auto"/>
            <w:noWrap/>
            <w:vAlign w:val="bottom"/>
          </w:tcPr>
          <w:p w:rsidR="006944BB" w:rsidRPr="008C288F" w:rsidRDefault="006944BB" w:rsidP="005302D8">
            <w:pPr>
              <w:spacing w:after="0"/>
              <w:ind w:firstLine="0"/>
              <w:jc w:val="right"/>
              <w:rPr>
                <w:rFonts w:ascii="Calibri" w:hAnsi="Calibri"/>
                <w:b/>
                <w:color w:val="000000"/>
                <w:sz w:val="22"/>
                <w:szCs w:val="22"/>
                <w:lang w:val="es-ES" w:eastAsia="es-ES"/>
              </w:rPr>
            </w:pPr>
          </w:p>
        </w:tc>
        <w:tc>
          <w:tcPr>
            <w:tcW w:w="1335" w:type="dxa"/>
            <w:tcBorders>
              <w:top w:val="nil"/>
              <w:left w:val="nil"/>
              <w:bottom w:val="nil"/>
              <w:right w:val="nil"/>
            </w:tcBorders>
            <w:shd w:val="clear" w:color="auto" w:fill="auto"/>
            <w:noWrap/>
            <w:vAlign w:val="bottom"/>
            <w:hideMark/>
          </w:tcPr>
          <w:p w:rsidR="006944BB" w:rsidRPr="008C288F" w:rsidRDefault="006944BB" w:rsidP="005302D8">
            <w:pPr>
              <w:spacing w:after="0"/>
              <w:ind w:firstLine="0"/>
              <w:jc w:val="center"/>
              <w:rPr>
                <w:rFonts w:ascii="Calibri" w:hAnsi="Calibri"/>
                <w:b/>
                <w:color w:val="000000"/>
                <w:sz w:val="22"/>
                <w:szCs w:val="22"/>
                <w:lang w:val="es-ES" w:eastAsia="es-ES"/>
              </w:rPr>
            </w:pPr>
          </w:p>
        </w:tc>
      </w:tr>
      <w:tr w:rsidR="006944BB" w:rsidRPr="001F4EEF" w:rsidTr="00F5488A">
        <w:trPr>
          <w:gridAfter w:val="3"/>
          <w:wAfter w:w="3824" w:type="dxa"/>
          <w:trHeight w:val="300"/>
        </w:trPr>
        <w:tc>
          <w:tcPr>
            <w:tcW w:w="1306" w:type="dxa"/>
            <w:tcBorders>
              <w:top w:val="nil"/>
              <w:left w:val="nil"/>
              <w:bottom w:val="nil"/>
              <w:right w:val="nil"/>
            </w:tcBorders>
            <w:shd w:val="clear" w:color="auto" w:fill="auto"/>
            <w:noWrap/>
            <w:vAlign w:val="bottom"/>
          </w:tcPr>
          <w:p w:rsidR="006944BB" w:rsidRPr="001F4EEF" w:rsidRDefault="006944BB" w:rsidP="005302D8">
            <w:pPr>
              <w:spacing w:after="0"/>
              <w:ind w:firstLine="0"/>
              <w:jc w:val="right"/>
              <w:rPr>
                <w:rFonts w:ascii="Calibri" w:hAnsi="Calibri"/>
                <w:color w:val="000000"/>
                <w:sz w:val="22"/>
                <w:szCs w:val="22"/>
                <w:lang w:val="es-ES" w:eastAsia="es-ES"/>
              </w:rPr>
            </w:pPr>
          </w:p>
        </w:tc>
        <w:tc>
          <w:tcPr>
            <w:tcW w:w="1753" w:type="dxa"/>
            <w:gridSpan w:val="2"/>
            <w:tcBorders>
              <w:top w:val="nil"/>
              <w:left w:val="nil"/>
              <w:bottom w:val="nil"/>
              <w:right w:val="nil"/>
            </w:tcBorders>
            <w:shd w:val="clear" w:color="auto" w:fill="auto"/>
            <w:noWrap/>
            <w:vAlign w:val="bottom"/>
          </w:tcPr>
          <w:p w:rsidR="006944BB" w:rsidRDefault="006944BB" w:rsidP="005302D8">
            <w:pPr>
              <w:spacing w:after="0"/>
              <w:ind w:firstLine="0"/>
              <w:jc w:val="right"/>
              <w:rPr>
                <w:rFonts w:ascii="Calibri" w:hAnsi="Calibri"/>
                <w:color w:val="000000"/>
                <w:sz w:val="22"/>
                <w:szCs w:val="22"/>
                <w:lang w:val="es-ES" w:eastAsia="es-ES"/>
              </w:rPr>
            </w:pPr>
          </w:p>
          <w:p w:rsidR="006944BB" w:rsidRDefault="006944BB" w:rsidP="005302D8">
            <w:pPr>
              <w:spacing w:after="0"/>
              <w:ind w:firstLine="0"/>
              <w:jc w:val="right"/>
              <w:rPr>
                <w:rFonts w:ascii="Calibri" w:hAnsi="Calibri"/>
                <w:color w:val="000000"/>
                <w:sz w:val="22"/>
                <w:szCs w:val="22"/>
                <w:lang w:val="es-ES" w:eastAsia="es-ES"/>
              </w:rPr>
            </w:pPr>
          </w:p>
          <w:p w:rsidR="006944BB" w:rsidRPr="001F4EEF" w:rsidRDefault="006944BB" w:rsidP="005302D8">
            <w:pPr>
              <w:spacing w:after="0"/>
              <w:ind w:firstLine="0"/>
              <w:jc w:val="right"/>
              <w:rPr>
                <w:rFonts w:ascii="Calibri" w:hAnsi="Calibri"/>
                <w:color w:val="000000"/>
                <w:sz w:val="22"/>
                <w:szCs w:val="22"/>
                <w:lang w:val="es-ES" w:eastAsia="es-ES"/>
              </w:rPr>
            </w:pPr>
          </w:p>
        </w:tc>
        <w:tc>
          <w:tcPr>
            <w:tcW w:w="1324" w:type="dxa"/>
            <w:gridSpan w:val="2"/>
            <w:tcBorders>
              <w:top w:val="nil"/>
              <w:left w:val="nil"/>
              <w:bottom w:val="nil"/>
              <w:right w:val="nil"/>
            </w:tcBorders>
            <w:shd w:val="clear" w:color="auto" w:fill="auto"/>
            <w:noWrap/>
            <w:vAlign w:val="bottom"/>
          </w:tcPr>
          <w:p w:rsidR="006944BB" w:rsidRPr="001F4EEF" w:rsidRDefault="006944BB" w:rsidP="005302D8">
            <w:pPr>
              <w:spacing w:after="0"/>
              <w:ind w:firstLine="0"/>
              <w:jc w:val="left"/>
              <w:rPr>
                <w:rFonts w:ascii="Calibri" w:hAnsi="Calibri"/>
                <w:color w:val="000000"/>
                <w:sz w:val="22"/>
                <w:szCs w:val="22"/>
                <w:lang w:val="es-ES" w:eastAsia="es-ES"/>
              </w:rPr>
            </w:pPr>
          </w:p>
        </w:tc>
        <w:tc>
          <w:tcPr>
            <w:tcW w:w="2015" w:type="dxa"/>
            <w:gridSpan w:val="2"/>
            <w:tcBorders>
              <w:top w:val="nil"/>
              <w:left w:val="nil"/>
              <w:bottom w:val="nil"/>
              <w:right w:val="nil"/>
            </w:tcBorders>
            <w:shd w:val="clear" w:color="auto" w:fill="auto"/>
            <w:noWrap/>
            <w:vAlign w:val="bottom"/>
          </w:tcPr>
          <w:p w:rsidR="006944BB" w:rsidRPr="001F4EEF" w:rsidRDefault="006944BB" w:rsidP="005302D8">
            <w:pPr>
              <w:spacing w:after="0"/>
              <w:ind w:firstLine="0"/>
              <w:jc w:val="left"/>
              <w:rPr>
                <w:rFonts w:ascii="Calibri" w:hAnsi="Calibri"/>
                <w:b/>
                <w:bCs/>
                <w:color w:val="000000"/>
                <w:sz w:val="22"/>
                <w:szCs w:val="22"/>
                <w:lang w:val="es-ES" w:eastAsia="es-ES"/>
              </w:rPr>
            </w:pPr>
          </w:p>
        </w:tc>
        <w:tc>
          <w:tcPr>
            <w:tcW w:w="2344" w:type="dxa"/>
            <w:gridSpan w:val="3"/>
            <w:tcBorders>
              <w:top w:val="nil"/>
              <w:left w:val="nil"/>
              <w:bottom w:val="nil"/>
              <w:right w:val="nil"/>
            </w:tcBorders>
            <w:shd w:val="clear" w:color="auto" w:fill="auto"/>
            <w:noWrap/>
            <w:vAlign w:val="bottom"/>
          </w:tcPr>
          <w:p w:rsidR="006944BB" w:rsidRPr="001F4EEF" w:rsidRDefault="006944BB" w:rsidP="005302D8">
            <w:pPr>
              <w:spacing w:after="0"/>
              <w:ind w:firstLine="0"/>
              <w:jc w:val="left"/>
              <w:rPr>
                <w:rFonts w:ascii="Calibri" w:hAnsi="Calibri"/>
                <w:color w:val="000000"/>
                <w:sz w:val="22"/>
                <w:szCs w:val="22"/>
                <w:lang w:val="es-ES" w:eastAsia="es-ES"/>
              </w:rPr>
            </w:pPr>
          </w:p>
        </w:tc>
        <w:tc>
          <w:tcPr>
            <w:tcW w:w="1366" w:type="dxa"/>
            <w:gridSpan w:val="2"/>
            <w:tcBorders>
              <w:top w:val="nil"/>
              <w:left w:val="nil"/>
              <w:bottom w:val="nil"/>
              <w:right w:val="nil"/>
            </w:tcBorders>
            <w:shd w:val="clear" w:color="auto" w:fill="auto"/>
            <w:noWrap/>
            <w:vAlign w:val="bottom"/>
          </w:tcPr>
          <w:p w:rsidR="006944BB" w:rsidRPr="001F4EEF" w:rsidRDefault="006944BB" w:rsidP="005302D8">
            <w:pPr>
              <w:spacing w:after="0"/>
              <w:ind w:firstLine="0"/>
              <w:jc w:val="right"/>
              <w:rPr>
                <w:rFonts w:ascii="Calibri" w:hAnsi="Calibri"/>
                <w:b/>
                <w:bCs/>
                <w:color w:val="000000"/>
                <w:sz w:val="22"/>
                <w:szCs w:val="22"/>
                <w:lang w:val="es-ES" w:eastAsia="es-ES"/>
              </w:rPr>
            </w:pPr>
          </w:p>
        </w:tc>
      </w:tr>
    </w:tbl>
    <w:p w:rsidR="00F5488A" w:rsidRDefault="00F5488A" w:rsidP="005302D8">
      <w:pPr>
        <w:spacing w:after="0"/>
        <w:ind w:firstLine="0"/>
        <w:jc w:val="left"/>
        <w:rPr>
          <w:rFonts w:ascii="Calibri" w:hAnsi="Calibri"/>
          <w:color w:val="000000"/>
          <w:sz w:val="22"/>
          <w:szCs w:val="22"/>
          <w:lang w:val="es-ES" w:eastAsia="es-ES"/>
        </w:rPr>
      </w:pPr>
    </w:p>
    <w:p w:rsidR="00E96655" w:rsidRPr="00E96655" w:rsidRDefault="00E96655" w:rsidP="00E96655">
      <w:pPr>
        <w:spacing w:after="80"/>
        <w:ind w:left="567" w:firstLine="0"/>
        <w:jc w:val="center"/>
        <w:rPr>
          <w:rFonts w:ascii="Arial" w:hAnsi="Arial" w:cs="Arial"/>
          <w:sz w:val="8"/>
          <w:szCs w:val="8"/>
        </w:rPr>
      </w:pPr>
    </w:p>
    <w:p w:rsidR="00F5488A" w:rsidRPr="00E96655" w:rsidRDefault="00F5488A" w:rsidP="00E96655">
      <w:pPr>
        <w:spacing w:after="300"/>
        <w:ind w:left="567" w:firstLine="0"/>
        <w:jc w:val="center"/>
        <w:rPr>
          <w:rFonts w:ascii="Arial" w:hAnsi="Arial" w:cs="Arial"/>
        </w:rPr>
      </w:pPr>
      <w:r w:rsidRPr="00E96655">
        <w:rPr>
          <w:rFonts w:ascii="Arial" w:hAnsi="Arial" w:cs="Arial"/>
        </w:rPr>
        <w:t>Periodo: 31 marzo 201</w:t>
      </w:r>
      <w:r w:rsidR="0068362F">
        <w:rPr>
          <w:rFonts w:ascii="Arial" w:hAnsi="Arial" w:cs="Arial"/>
        </w:rPr>
        <w:t>4</w:t>
      </w:r>
      <w:r w:rsidRPr="00E96655">
        <w:rPr>
          <w:rFonts w:ascii="Arial" w:hAnsi="Arial" w:cs="Arial"/>
        </w:rPr>
        <w:t xml:space="preserve"> a 31 de octubre de 2014</w:t>
      </w:r>
    </w:p>
    <w:tbl>
      <w:tblPr>
        <w:tblW w:w="13147" w:type="dxa"/>
        <w:tblInd w:w="70" w:type="dxa"/>
        <w:tblCellMar>
          <w:left w:w="70" w:type="dxa"/>
          <w:right w:w="70" w:type="dxa"/>
        </w:tblCellMar>
        <w:tblLook w:val="04A0" w:firstRow="1" w:lastRow="0" w:firstColumn="1" w:lastColumn="0" w:noHBand="0" w:noVBand="1"/>
      </w:tblPr>
      <w:tblGrid>
        <w:gridCol w:w="2086"/>
        <w:gridCol w:w="1581"/>
        <w:gridCol w:w="1693"/>
        <w:gridCol w:w="1513"/>
        <w:gridCol w:w="1450"/>
        <w:gridCol w:w="1619"/>
        <w:gridCol w:w="1763"/>
        <w:gridCol w:w="1442"/>
      </w:tblGrid>
      <w:tr w:rsidR="006944BB" w:rsidRPr="00553D3F" w:rsidTr="00DA1F9F">
        <w:trPr>
          <w:trHeight w:val="300"/>
        </w:trPr>
        <w:tc>
          <w:tcPr>
            <w:tcW w:w="2086" w:type="dxa"/>
            <w:tcBorders>
              <w:top w:val="single" w:sz="4" w:space="0" w:color="auto"/>
            </w:tcBorders>
            <w:shd w:val="clear" w:color="auto" w:fill="8DB3E2" w:themeFill="text2" w:themeFillTint="66"/>
            <w:noWrap/>
            <w:vAlign w:val="center"/>
            <w:hideMark/>
          </w:tcPr>
          <w:p w:rsidR="006944BB" w:rsidRPr="007A4471" w:rsidRDefault="00F5488A" w:rsidP="00F5488A">
            <w:pPr>
              <w:pStyle w:val="cuadroCabe"/>
              <w:jc w:val="left"/>
            </w:pPr>
            <w:r>
              <w:t>Concepto</w:t>
            </w:r>
          </w:p>
        </w:tc>
        <w:tc>
          <w:tcPr>
            <w:tcW w:w="1581" w:type="dxa"/>
            <w:tcBorders>
              <w:top w:val="single" w:sz="4" w:space="0" w:color="auto"/>
            </w:tcBorders>
            <w:shd w:val="clear" w:color="auto" w:fill="8DB3E2" w:themeFill="text2" w:themeFillTint="66"/>
            <w:noWrap/>
            <w:vAlign w:val="center"/>
            <w:hideMark/>
          </w:tcPr>
          <w:p w:rsidR="006944BB" w:rsidRPr="007A4471" w:rsidRDefault="00F5488A" w:rsidP="00F5488A">
            <w:pPr>
              <w:pStyle w:val="cuadroCabe"/>
              <w:jc w:val="right"/>
            </w:pPr>
            <w:r>
              <w:t>Importe</w:t>
            </w:r>
          </w:p>
        </w:tc>
        <w:tc>
          <w:tcPr>
            <w:tcW w:w="1693" w:type="dxa"/>
            <w:tcBorders>
              <w:top w:val="single" w:sz="4" w:space="0" w:color="auto"/>
            </w:tcBorders>
            <w:shd w:val="clear" w:color="auto" w:fill="8DB3E2" w:themeFill="text2" w:themeFillTint="66"/>
            <w:noWrap/>
            <w:vAlign w:val="center"/>
            <w:hideMark/>
          </w:tcPr>
          <w:p w:rsidR="00F5488A" w:rsidRDefault="006944BB" w:rsidP="00F5488A">
            <w:pPr>
              <w:pStyle w:val="cuadroCabe"/>
              <w:jc w:val="right"/>
            </w:pPr>
            <w:r w:rsidRPr="007A4471">
              <w:t>Saldo</w:t>
            </w:r>
            <w:r w:rsidR="00F5488A">
              <w:t xml:space="preserve"> </w:t>
            </w:r>
          </w:p>
          <w:p w:rsidR="006944BB" w:rsidRPr="007A4471" w:rsidRDefault="00F5488A" w:rsidP="00F5488A">
            <w:pPr>
              <w:pStyle w:val="cuadroCabe"/>
              <w:jc w:val="right"/>
            </w:pPr>
            <w:r>
              <w:t>pendiente</w:t>
            </w:r>
          </w:p>
        </w:tc>
        <w:tc>
          <w:tcPr>
            <w:tcW w:w="1513" w:type="dxa"/>
            <w:tcBorders>
              <w:top w:val="single" w:sz="4" w:space="0" w:color="auto"/>
            </w:tcBorders>
            <w:shd w:val="clear" w:color="auto" w:fill="8DB3E2" w:themeFill="text2" w:themeFillTint="66"/>
            <w:noWrap/>
            <w:vAlign w:val="center"/>
          </w:tcPr>
          <w:p w:rsidR="006944BB" w:rsidRPr="007A4471" w:rsidRDefault="00F5488A" w:rsidP="00F5488A">
            <w:pPr>
              <w:pStyle w:val="cuadroCabe"/>
              <w:jc w:val="right"/>
            </w:pPr>
            <w:r>
              <w:t>Fecha</w:t>
            </w:r>
          </w:p>
        </w:tc>
        <w:tc>
          <w:tcPr>
            <w:tcW w:w="1450" w:type="dxa"/>
            <w:tcBorders>
              <w:top w:val="single" w:sz="4" w:space="0" w:color="auto"/>
            </w:tcBorders>
            <w:shd w:val="clear" w:color="auto" w:fill="8DB3E2" w:themeFill="text2" w:themeFillTint="66"/>
            <w:noWrap/>
            <w:vAlign w:val="center"/>
          </w:tcPr>
          <w:p w:rsidR="006944BB" w:rsidRDefault="006944BB" w:rsidP="00F5488A">
            <w:pPr>
              <w:pStyle w:val="cuadroCabe"/>
              <w:jc w:val="right"/>
            </w:pPr>
            <w:r w:rsidRPr="007A4471">
              <w:t>Tipo</w:t>
            </w:r>
          </w:p>
          <w:p w:rsidR="00F5488A" w:rsidRPr="007A4471" w:rsidRDefault="00F5488A" w:rsidP="00F5488A">
            <w:pPr>
              <w:pStyle w:val="cuadroCabe"/>
              <w:jc w:val="right"/>
            </w:pPr>
            <w:r>
              <w:t>interés</w:t>
            </w:r>
          </w:p>
        </w:tc>
        <w:tc>
          <w:tcPr>
            <w:tcW w:w="1619" w:type="dxa"/>
            <w:tcBorders>
              <w:top w:val="single" w:sz="4" w:space="0" w:color="auto"/>
            </w:tcBorders>
            <w:shd w:val="clear" w:color="auto" w:fill="8DB3E2" w:themeFill="text2" w:themeFillTint="66"/>
            <w:noWrap/>
            <w:vAlign w:val="center"/>
          </w:tcPr>
          <w:p w:rsidR="006944BB" w:rsidRDefault="006944BB" w:rsidP="00F5488A">
            <w:pPr>
              <w:pStyle w:val="cuadroCabe"/>
              <w:jc w:val="right"/>
            </w:pPr>
            <w:r w:rsidRPr="007A4471">
              <w:t xml:space="preserve">Fecha </w:t>
            </w:r>
          </w:p>
          <w:p w:rsidR="00F5488A" w:rsidRPr="007A4471" w:rsidRDefault="00F5488A" w:rsidP="00F5488A">
            <w:pPr>
              <w:pStyle w:val="cuadroCabe"/>
              <w:jc w:val="right"/>
            </w:pPr>
            <w:r>
              <w:t>liquidación</w:t>
            </w:r>
          </w:p>
        </w:tc>
        <w:tc>
          <w:tcPr>
            <w:tcW w:w="1763" w:type="dxa"/>
            <w:tcBorders>
              <w:top w:val="single" w:sz="4" w:space="0" w:color="auto"/>
            </w:tcBorders>
            <w:shd w:val="clear" w:color="auto" w:fill="8DB3E2" w:themeFill="text2" w:themeFillTint="66"/>
            <w:noWrap/>
            <w:vAlign w:val="center"/>
          </w:tcPr>
          <w:p w:rsidR="006944BB" w:rsidRDefault="006944BB" w:rsidP="00F5488A">
            <w:pPr>
              <w:pStyle w:val="cuadroCabe"/>
              <w:jc w:val="right"/>
            </w:pPr>
            <w:r w:rsidRPr="007A4471">
              <w:t>Intereses</w:t>
            </w:r>
          </w:p>
          <w:p w:rsidR="00F5488A" w:rsidRPr="007A4471" w:rsidRDefault="00F5488A" w:rsidP="00F5488A">
            <w:pPr>
              <w:pStyle w:val="cuadroCabe"/>
              <w:jc w:val="right"/>
            </w:pPr>
            <w:r>
              <w:t>devengados</w:t>
            </w:r>
          </w:p>
        </w:tc>
        <w:tc>
          <w:tcPr>
            <w:tcW w:w="1442" w:type="dxa"/>
            <w:tcBorders>
              <w:top w:val="single" w:sz="4" w:space="0" w:color="auto"/>
            </w:tcBorders>
            <w:shd w:val="clear" w:color="auto" w:fill="8DB3E2" w:themeFill="text2" w:themeFillTint="66"/>
            <w:noWrap/>
            <w:vAlign w:val="center"/>
          </w:tcPr>
          <w:p w:rsidR="006944BB" w:rsidRDefault="006944BB" w:rsidP="00F5488A">
            <w:pPr>
              <w:pStyle w:val="cuadroCabe"/>
              <w:jc w:val="right"/>
            </w:pPr>
            <w:r w:rsidRPr="007A4471">
              <w:t>Intereses</w:t>
            </w:r>
          </w:p>
          <w:p w:rsidR="00F5488A" w:rsidRPr="007A4471" w:rsidRDefault="00F5488A" w:rsidP="00F5488A">
            <w:pPr>
              <w:pStyle w:val="cuadroCabe"/>
              <w:jc w:val="right"/>
            </w:pPr>
            <w:r>
              <w:t>liquidados</w:t>
            </w:r>
          </w:p>
        </w:tc>
      </w:tr>
      <w:tr w:rsidR="006944BB" w:rsidRPr="00F5488A" w:rsidTr="00DA1F9F">
        <w:trPr>
          <w:trHeight w:val="255"/>
        </w:trPr>
        <w:tc>
          <w:tcPr>
            <w:tcW w:w="2086" w:type="dxa"/>
            <w:tcBorders>
              <w:top w:val="single" w:sz="4" w:space="0" w:color="auto"/>
              <w:left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Cuenta crédito</w:t>
            </w:r>
          </w:p>
        </w:tc>
        <w:tc>
          <w:tcPr>
            <w:tcW w:w="1581" w:type="dxa"/>
            <w:tcBorders>
              <w:top w:val="single" w:sz="4" w:space="0" w:color="auto"/>
              <w:left w:val="nil"/>
              <w:right w:val="nil"/>
            </w:tcBorders>
            <w:shd w:val="clear" w:color="auto" w:fill="auto"/>
            <w:noWrap/>
            <w:vAlign w:val="center"/>
            <w:hideMark/>
          </w:tcPr>
          <w:p w:rsidR="006944BB" w:rsidRPr="00F5488A" w:rsidRDefault="008263EB" w:rsidP="00F5488A">
            <w:pPr>
              <w:spacing w:after="0"/>
              <w:ind w:firstLine="0"/>
              <w:jc w:val="right"/>
              <w:rPr>
                <w:rFonts w:ascii="Arial Narrow" w:hAnsi="Arial Narrow"/>
                <w:b/>
                <w:bCs/>
                <w:color w:val="000000"/>
                <w:lang w:val="es-ES" w:eastAsia="es-ES"/>
              </w:rPr>
            </w:pPr>
            <w:r>
              <w:rPr>
                <w:rFonts w:ascii="Arial Narrow" w:hAnsi="Arial Narrow"/>
                <w:b/>
                <w:bCs/>
                <w:color w:val="000000"/>
                <w:lang w:val="es-ES" w:eastAsia="es-ES"/>
              </w:rPr>
              <w:t>9.634.551</w:t>
            </w:r>
          </w:p>
        </w:tc>
        <w:tc>
          <w:tcPr>
            <w:tcW w:w="1693" w:type="dxa"/>
            <w:tcBorders>
              <w:top w:val="single" w:sz="4" w:space="0" w:color="auto"/>
              <w:left w:val="nil"/>
              <w:right w:val="nil"/>
            </w:tcBorders>
            <w:shd w:val="clear" w:color="auto" w:fill="auto"/>
            <w:noWrap/>
            <w:vAlign w:val="center"/>
            <w:hideMark/>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9.634.551</w:t>
            </w:r>
          </w:p>
        </w:tc>
        <w:tc>
          <w:tcPr>
            <w:tcW w:w="1513" w:type="dxa"/>
            <w:tcBorders>
              <w:top w:val="single" w:sz="4" w:space="0" w:color="auto"/>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31/03/2014</w:t>
            </w:r>
          </w:p>
        </w:tc>
        <w:tc>
          <w:tcPr>
            <w:tcW w:w="1450" w:type="dxa"/>
            <w:tcBorders>
              <w:top w:val="single" w:sz="4" w:space="0" w:color="auto"/>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4,335%</w:t>
            </w:r>
          </w:p>
        </w:tc>
        <w:tc>
          <w:tcPr>
            <w:tcW w:w="1619" w:type="dxa"/>
            <w:tcBorders>
              <w:top w:val="single" w:sz="4" w:space="0" w:color="auto"/>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01/04/2014</w:t>
            </w:r>
          </w:p>
        </w:tc>
        <w:tc>
          <w:tcPr>
            <w:tcW w:w="1763" w:type="dxa"/>
            <w:tcBorders>
              <w:top w:val="single" w:sz="4" w:space="0" w:color="auto"/>
              <w:left w:val="nil"/>
              <w:right w:val="nil"/>
            </w:tcBorders>
            <w:shd w:val="clear" w:color="auto" w:fill="auto"/>
            <w:noWrap/>
            <w:vAlign w:val="center"/>
            <w:hideMark/>
          </w:tcPr>
          <w:p w:rsidR="006944BB" w:rsidRPr="00F5488A" w:rsidRDefault="006944BB" w:rsidP="008263EB">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1</w:t>
            </w:r>
            <w:r w:rsidR="008263EB">
              <w:rPr>
                <w:rFonts w:ascii="Arial Narrow" w:hAnsi="Arial Narrow"/>
                <w:color w:val="000000"/>
                <w:lang w:val="es-ES" w:eastAsia="es-ES"/>
              </w:rPr>
              <w:t>.160</w:t>
            </w:r>
          </w:p>
        </w:tc>
        <w:tc>
          <w:tcPr>
            <w:tcW w:w="1442" w:type="dxa"/>
            <w:tcBorders>
              <w:top w:val="single" w:sz="4" w:space="0" w:color="auto"/>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DA1F9F">
        <w:trPr>
          <w:trHeight w:val="255"/>
        </w:trPr>
        <w:tc>
          <w:tcPr>
            <w:tcW w:w="2086"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Cancelación</w:t>
            </w:r>
          </w:p>
        </w:tc>
        <w:tc>
          <w:tcPr>
            <w:tcW w:w="1581"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-9.</w:t>
            </w:r>
            <w:r w:rsidR="008263EB">
              <w:rPr>
                <w:rFonts w:ascii="Arial Narrow" w:hAnsi="Arial Narrow"/>
                <w:color w:val="000000"/>
                <w:lang w:val="es-ES" w:eastAsia="es-ES"/>
              </w:rPr>
              <w:t>634.551</w:t>
            </w:r>
          </w:p>
        </w:tc>
        <w:tc>
          <w:tcPr>
            <w:tcW w:w="1693"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w:t>
            </w:r>
          </w:p>
        </w:tc>
        <w:tc>
          <w:tcPr>
            <w:tcW w:w="1513"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01/04/2014</w:t>
            </w:r>
          </w:p>
        </w:tc>
        <w:tc>
          <w:tcPr>
            <w:tcW w:w="1450"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619"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763"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442" w:type="dxa"/>
            <w:tcBorders>
              <w:top w:val="nil"/>
              <w:left w:val="nil"/>
              <w:bottom w:val="single" w:sz="4" w:space="0" w:color="auto"/>
              <w:right w:val="nil"/>
            </w:tcBorders>
            <w:shd w:val="clear" w:color="auto" w:fill="auto"/>
            <w:noWrap/>
            <w:vAlign w:val="center"/>
            <w:hideMark/>
          </w:tcPr>
          <w:p w:rsidR="006944BB" w:rsidRPr="00F5488A" w:rsidRDefault="008263EB" w:rsidP="00F5488A">
            <w:pPr>
              <w:spacing w:after="0"/>
              <w:ind w:firstLine="0"/>
              <w:jc w:val="right"/>
              <w:rPr>
                <w:rFonts w:ascii="Arial Narrow" w:hAnsi="Arial Narrow"/>
                <w:b/>
                <w:bCs/>
                <w:color w:val="000000"/>
                <w:lang w:val="es-ES" w:eastAsia="es-ES"/>
              </w:rPr>
            </w:pPr>
            <w:r>
              <w:rPr>
                <w:rFonts w:ascii="Arial Narrow" w:hAnsi="Arial Narrow"/>
                <w:b/>
                <w:bCs/>
                <w:color w:val="000000"/>
                <w:lang w:val="es-ES" w:eastAsia="es-ES"/>
              </w:rPr>
              <w:t>1.160</w:t>
            </w:r>
          </w:p>
        </w:tc>
      </w:tr>
      <w:tr w:rsidR="006944BB" w:rsidRPr="00F5488A" w:rsidTr="00DA1F9F">
        <w:trPr>
          <w:trHeight w:val="255"/>
        </w:trPr>
        <w:tc>
          <w:tcPr>
            <w:tcW w:w="2086"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p>
        </w:tc>
        <w:tc>
          <w:tcPr>
            <w:tcW w:w="1581"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69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51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450"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619"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76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442"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8263EB">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Préstamo</w:t>
            </w:r>
          </w:p>
        </w:tc>
        <w:tc>
          <w:tcPr>
            <w:tcW w:w="1581" w:type="dxa"/>
            <w:tcBorders>
              <w:top w:val="nil"/>
              <w:left w:val="nil"/>
              <w:bottom w:val="nil"/>
              <w:right w:val="nil"/>
            </w:tcBorders>
            <w:shd w:val="clear" w:color="auto" w:fill="auto"/>
            <w:noWrap/>
            <w:vAlign w:val="center"/>
            <w:hideMark/>
          </w:tcPr>
          <w:p w:rsidR="006944BB" w:rsidRPr="00F5488A" w:rsidRDefault="008263EB" w:rsidP="00F5488A">
            <w:pPr>
              <w:spacing w:after="0"/>
              <w:ind w:firstLine="0"/>
              <w:jc w:val="right"/>
              <w:rPr>
                <w:rFonts w:ascii="Arial Narrow" w:hAnsi="Arial Narrow"/>
                <w:b/>
                <w:bCs/>
                <w:color w:val="000000"/>
                <w:lang w:val="es-ES" w:eastAsia="es-ES"/>
              </w:rPr>
            </w:pPr>
            <w:r>
              <w:rPr>
                <w:rFonts w:ascii="Arial Narrow" w:hAnsi="Arial Narrow"/>
                <w:b/>
                <w:bCs/>
                <w:color w:val="000000"/>
                <w:lang w:val="es-ES" w:eastAsia="es-ES"/>
              </w:rPr>
              <w:t>30.387.123</w:t>
            </w:r>
          </w:p>
        </w:tc>
        <w:tc>
          <w:tcPr>
            <w:tcW w:w="1693" w:type="dxa"/>
            <w:tcBorders>
              <w:top w:val="nil"/>
              <w:left w:val="nil"/>
              <w:bottom w:val="nil"/>
              <w:right w:val="nil"/>
            </w:tcBorders>
            <w:shd w:val="clear" w:color="auto" w:fill="auto"/>
            <w:noWrap/>
            <w:vAlign w:val="center"/>
            <w:hideMark/>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30.387.123</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31/03/2014</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2,1966%</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05/04/2014</w:t>
            </w:r>
          </w:p>
        </w:tc>
        <w:tc>
          <w:tcPr>
            <w:tcW w:w="176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9.271</w:t>
            </w:r>
          </w:p>
        </w:tc>
        <w:tc>
          <w:tcPr>
            <w:tcW w:w="1442"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8263EB">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Amortización</w:t>
            </w:r>
          </w:p>
        </w:tc>
        <w:tc>
          <w:tcPr>
            <w:tcW w:w="1581"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-5.463.668</w:t>
            </w:r>
          </w:p>
        </w:tc>
        <w:tc>
          <w:tcPr>
            <w:tcW w:w="169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24.923.455</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05/04/2014</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2,1966%</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07/06/2014</w:t>
            </w:r>
          </w:p>
        </w:tc>
        <w:tc>
          <w:tcPr>
            <w:tcW w:w="176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95.807</w:t>
            </w:r>
          </w:p>
        </w:tc>
        <w:tc>
          <w:tcPr>
            <w:tcW w:w="1442"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8263EB">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Amortización</w:t>
            </w:r>
          </w:p>
        </w:tc>
        <w:tc>
          <w:tcPr>
            <w:tcW w:w="1581"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-6.882.301</w:t>
            </w:r>
          </w:p>
        </w:tc>
        <w:tc>
          <w:tcPr>
            <w:tcW w:w="169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18.041.154</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07/06/2014</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2,1966%</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23/06/2014</w:t>
            </w:r>
          </w:p>
        </w:tc>
        <w:tc>
          <w:tcPr>
            <w:tcW w:w="176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17.613</w:t>
            </w:r>
          </w:p>
        </w:tc>
        <w:tc>
          <w:tcPr>
            <w:tcW w:w="1442"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8263EB">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Amortización</w:t>
            </w:r>
          </w:p>
        </w:tc>
        <w:tc>
          <w:tcPr>
            <w:tcW w:w="1581"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-6.198.534</w:t>
            </w:r>
          </w:p>
        </w:tc>
        <w:tc>
          <w:tcPr>
            <w:tcW w:w="169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11.842.620</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23/06/2014</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2,1966%</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05/09/2014</w:t>
            </w:r>
          </w:p>
        </w:tc>
        <w:tc>
          <w:tcPr>
            <w:tcW w:w="176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53.472</w:t>
            </w:r>
          </w:p>
        </w:tc>
        <w:tc>
          <w:tcPr>
            <w:tcW w:w="1442"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8263EB">
        <w:trPr>
          <w:trHeight w:val="255"/>
        </w:trPr>
        <w:tc>
          <w:tcPr>
            <w:tcW w:w="2086" w:type="dxa"/>
            <w:tcBorders>
              <w:top w:val="nil"/>
              <w:left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Amortización</w:t>
            </w:r>
          </w:p>
        </w:tc>
        <w:tc>
          <w:tcPr>
            <w:tcW w:w="1581"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-6.198.534</w:t>
            </w:r>
          </w:p>
        </w:tc>
        <w:tc>
          <w:tcPr>
            <w:tcW w:w="1693" w:type="dxa"/>
            <w:tcBorders>
              <w:top w:val="nil"/>
              <w:left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5.644.086</w:t>
            </w:r>
          </w:p>
        </w:tc>
        <w:tc>
          <w:tcPr>
            <w:tcW w:w="1513"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05/09/2014</w:t>
            </w:r>
          </w:p>
        </w:tc>
        <w:tc>
          <w:tcPr>
            <w:tcW w:w="1450"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2,1966%</w:t>
            </w:r>
          </w:p>
        </w:tc>
        <w:tc>
          <w:tcPr>
            <w:tcW w:w="1619"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29/10/2014</w:t>
            </w:r>
          </w:p>
        </w:tc>
        <w:tc>
          <w:tcPr>
            <w:tcW w:w="1763" w:type="dxa"/>
            <w:tcBorders>
              <w:top w:val="nil"/>
              <w:left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18.597</w:t>
            </w:r>
          </w:p>
        </w:tc>
        <w:tc>
          <w:tcPr>
            <w:tcW w:w="1442"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8263EB">
        <w:trPr>
          <w:trHeight w:val="255"/>
        </w:trPr>
        <w:tc>
          <w:tcPr>
            <w:tcW w:w="2086"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Amortización</w:t>
            </w:r>
          </w:p>
        </w:tc>
        <w:tc>
          <w:tcPr>
            <w:tcW w:w="1581" w:type="dxa"/>
            <w:tcBorders>
              <w:top w:val="nil"/>
              <w:left w:val="nil"/>
              <w:bottom w:val="single" w:sz="4" w:space="0" w:color="auto"/>
              <w:right w:val="nil"/>
            </w:tcBorders>
            <w:shd w:val="clear" w:color="auto" w:fill="auto"/>
            <w:noWrap/>
            <w:vAlign w:val="center"/>
            <w:hideMark/>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-5.644.086</w:t>
            </w:r>
          </w:p>
        </w:tc>
        <w:tc>
          <w:tcPr>
            <w:tcW w:w="1693" w:type="dxa"/>
            <w:tcBorders>
              <w:top w:val="nil"/>
              <w:left w:val="nil"/>
              <w:bottom w:val="single" w:sz="4" w:space="0" w:color="auto"/>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513"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29/10/2014</w:t>
            </w:r>
          </w:p>
        </w:tc>
        <w:tc>
          <w:tcPr>
            <w:tcW w:w="1450"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619"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763"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442" w:type="dxa"/>
            <w:tcBorders>
              <w:top w:val="nil"/>
              <w:left w:val="nil"/>
              <w:bottom w:val="single" w:sz="4" w:space="0" w:color="auto"/>
              <w:right w:val="nil"/>
            </w:tcBorders>
            <w:shd w:val="clear" w:color="auto" w:fill="auto"/>
            <w:noWrap/>
            <w:vAlign w:val="center"/>
            <w:hideMark/>
          </w:tcPr>
          <w:p w:rsidR="006944BB" w:rsidRPr="00F5488A" w:rsidRDefault="008263EB" w:rsidP="00F5488A">
            <w:pPr>
              <w:spacing w:after="0"/>
              <w:ind w:firstLine="0"/>
              <w:jc w:val="right"/>
              <w:rPr>
                <w:rFonts w:ascii="Arial Narrow" w:hAnsi="Arial Narrow"/>
                <w:b/>
                <w:bCs/>
                <w:color w:val="000000"/>
                <w:lang w:val="es-ES" w:eastAsia="es-ES"/>
              </w:rPr>
            </w:pPr>
            <w:r>
              <w:rPr>
                <w:rFonts w:ascii="Arial Narrow" w:hAnsi="Arial Narrow"/>
                <w:b/>
                <w:bCs/>
                <w:color w:val="000000"/>
                <w:lang w:val="es-ES" w:eastAsia="es-ES"/>
              </w:rPr>
              <w:t>194.759</w:t>
            </w:r>
          </w:p>
        </w:tc>
      </w:tr>
      <w:tr w:rsidR="006944BB" w:rsidRPr="00F5488A" w:rsidTr="00DA1F9F">
        <w:trPr>
          <w:trHeight w:val="255"/>
        </w:trPr>
        <w:tc>
          <w:tcPr>
            <w:tcW w:w="2086"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p>
        </w:tc>
        <w:tc>
          <w:tcPr>
            <w:tcW w:w="1581"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69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51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450"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619"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76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442"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8263EB">
        <w:trPr>
          <w:trHeight w:val="255"/>
        </w:trPr>
        <w:tc>
          <w:tcPr>
            <w:tcW w:w="2086" w:type="dxa"/>
            <w:tcBorders>
              <w:top w:val="nil"/>
              <w:left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Cuenta crédito</w:t>
            </w:r>
          </w:p>
        </w:tc>
        <w:tc>
          <w:tcPr>
            <w:tcW w:w="1581" w:type="dxa"/>
            <w:tcBorders>
              <w:top w:val="nil"/>
              <w:left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b/>
                <w:bCs/>
                <w:color w:val="000000"/>
                <w:lang w:val="es-ES" w:eastAsia="es-ES"/>
              </w:rPr>
            </w:pPr>
            <w:r>
              <w:rPr>
                <w:rFonts w:ascii="Arial Narrow" w:hAnsi="Arial Narrow"/>
                <w:b/>
                <w:bCs/>
                <w:color w:val="000000"/>
                <w:lang w:val="es-ES" w:eastAsia="es-ES"/>
              </w:rPr>
              <w:t>4.437.070</w:t>
            </w:r>
          </w:p>
        </w:tc>
        <w:tc>
          <w:tcPr>
            <w:tcW w:w="1693" w:type="dxa"/>
            <w:tcBorders>
              <w:top w:val="nil"/>
              <w:left w:val="nil"/>
              <w:right w:val="nil"/>
            </w:tcBorders>
            <w:shd w:val="clear" w:color="auto" w:fill="auto"/>
            <w:noWrap/>
            <w:vAlign w:val="center"/>
            <w:hideMark/>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4.437.070</w:t>
            </w:r>
          </w:p>
        </w:tc>
        <w:tc>
          <w:tcPr>
            <w:tcW w:w="1513"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31/03/2014</w:t>
            </w:r>
          </w:p>
        </w:tc>
        <w:tc>
          <w:tcPr>
            <w:tcW w:w="1450"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4,350%</w:t>
            </w:r>
          </w:p>
        </w:tc>
        <w:tc>
          <w:tcPr>
            <w:tcW w:w="1619"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08/04/2014</w:t>
            </w:r>
          </w:p>
        </w:tc>
        <w:tc>
          <w:tcPr>
            <w:tcW w:w="1763" w:type="dxa"/>
            <w:tcBorders>
              <w:top w:val="nil"/>
              <w:left w:val="nil"/>
              <w:right w:val="nil"/>
            </w:tcBorders>
            <w:shd w:val="clear" w:color="auto" w:fill="auto"/>
            <w:noWrap/>
            <w:vAlign w:val="center"/>
            <w:hideMark/>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4.289</w:t>
            </w:r>
          </w:p>
        </w:tc>
        <w:tc>
          <w:tcPr>
            <w:tcW w:w="1442"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8263EB">
        <w:trPr>
          <w:trHeight w:val="255"/>
        </w:trPr>
        <w:tc>
          <w:tcPr>
            <w:tcW w:w="2086"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Cancelación</w:t>
            </w:r>
          </w:p>
        </w:tc>
        <w:tc>
          <w:tcPr>
            <w:tcW w:w="1581" w:type="dxa"/>
            <w:tcBorders>
              <w:top w:val="nil"/>
              <w:left w:val="nil"/>
              <w:bottom w:val="single" w:sz="4" w:space="0" w:color="auto"/>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-4.437.070</w:t>
            </w:r>
          </w:p>
        </w:tc>
        <w:tc>
          <w:tcPr>
            <w:tcW w:w="1693"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w:t>
            </w:r>
          </w:p>
        </w:tc>
        <w:tc>
          <w:tcPr>
            <w:tcW w:w="1513"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08/04/2014</w:t>
            </w:r>
          </w:p>
        </w:tc>
        <w:tc>
          <w:tcPr>
            <w:tcW w:w="1450"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619"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763"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442" w:type="dxa"/>
            <w:tcBorders>
              <w:top w:val="nil"/>
              <w:left w:val="nil"/>
              <w:bottom w:val="single" w:sz="4" w:space="0" w:color="auto"/>
              <w:right w:val="nil"/>
            </w:tcBorders>
            <w:shd w:val="clear" w:color="auto" w:fill="auto"/>
            <w:noWrap/>
            <w:vAlign w:val="center"/>
            <w:hideMark/>
          </w:tcPr>
          <w:p w:rsidR="006944BB" w:rsidRPr="00F5488A" w:rsidRDefault="008263EB" w:rsidP="00F5488A">
            <w:pPr>
              <w:spacing w:after="0"/>
              <w:ind w:firstLine="0"/>
              <w:jc w:val="right"/>
              <w:rPr>
                <w:rFonts w:ascii="Arial Narrow" w:hAnsi="Arial Narrow"/>
                <w:b/>
                <w:bCs/>
                <w:color w:val="000000"/>
                <w:lang w:val="es-ES" w:eastAsia="es-ES"/>
              </w:rPr>
            </w:pPr>
            <w:r>
              <w:rPr>
                <w:rFonts w:ascii="Arial Narrow" w:hAnsi="Arial Narrow"/>
                <w:b/>
                <w:bCs/>
                <w:color w:val="000000"/>
                <w:lang w:val="es-ES" w:eastAsia="es-ES"/>
              </w:rPr>
              <w:t>4.289</w:t>
            </w:r>
          </w:p>
        </w:tc>
      </w:tr>
      <w:tr w:rsidR="006944BB" w:rsidRPr="00F5488A" w:rsidTr="00DA1F9F">
        <w:trPr>
          <w:trHeight w:val="255"/>
        </w:trPr>
        <w:tc>
          <w:tcPr>
            <w:tcW w:w="2086"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p>
        </w:tc>
        <w:tc>
          <w:tcPr>
            <w:tcW w:w="1581"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69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51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450"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619"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76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442"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8263EB">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Préstamo</w:t>
            </w:r>
          </w:p>
        </w:tc>
        <w:tc>
          <w:tcPr>
            <w:tcW w:w="1581"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b/>
                <w:bCs/>
                <w:color w:val="000000"/>
                <w:lang w:val="es-ES" w:eastAsia="es-ES"/>
              </w:rPr>
            </w:pPr>
            <w:r>
              <w:rPr>
                <w:rFonts w:ascii="Arial Narrow" w:hAnsi="Arial Narrow"/>
                <w:b/>
                <w:bCs/>
                <w:color w:val="000000"/>
                <w:lang w:val="es-ES" w:eastAsia="es-ES"/>
              </w:rPr>
              <w:t>13.994.246</w:t>
            </w:r>
          </w:p>
        </w:tc>
        <w:tc>
          <w:tcPr>
            <w:tcW w:w="169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13.994.246</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31/03/2014</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2,0470%</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08/04/2014</w:t>
            </w:r>
          </w:p>
        </w:tc>
        <w:tc>
          <w:tcPr>
            <w:tcW w:w="176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6.366</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b/>
                <w:bCs/>
                <w:color w:val="000000"/>
                <w:lang w:val="es-ES" w:eastAsia="es-ES"/>
              </w:rPr>
            </w:pPr>
          </w:p>
        </w:tc>
      </w:tr>
      <w:tr w:rsidR="006944BB" w:rsidRPr="00F5488A" w:rsidTr="008263EB">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Amortización</w:t>
            </w:r>
          </w:p>
        </w:tc>
        <w:tc>
          <w:tcPr>
            <w:tcW w:w="1581"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-1.092.039</w:t>
            </w:r>
          </w:p>
        </w:tc>
        <w:tc>
          <w:tcPr>
            <w:tcW w:w="169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12.902.206</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08/04/2014</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2,0470%</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07/05/2014</w:t>
            </w:r>
          </w:p>
        </w:tc>
        <w:tc>
          <w:tcPr>
            <w:tcW w:w="176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21.275</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8263EB">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Amortización</w:t>
            </w:r>
          </w:p>
        </w:tc>
        <w:tc>
          <w:tcPr>
            <w:tcW w:w="1581"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-2.939.755</w:t>
            </w:r>
          </w:p>
        </w:tc>
        <w:tc>
          <w:tcPr>
            <w:tcW w:w="169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9.962.451</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07/05/2014</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2,0470%</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02/06/2014</w:t>
            </w:r>
          </w:p>
        </w:tc>
        <w:tc>
          <w:tcPr>
            <w:tcW w:w="176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14.728</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8263EB">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Amortización</w:t>
            </w:r>
          </w:p>
        </w:tc>
        <w:tc>
          <w:tcPr>
            <w:tcW w:w="1581"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-3.015.782</w:t>
            </w:r>
          </w:p>
        </w:tc>
        <w:tc>
          <w:tcPr>
            <w:tcW w:w="169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6.946.669</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02/06/2014</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2,0470%</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19/06/2014</w:t>
            </w:r>
          </w:p>
        </w:tc>
        <w:tc>
          <w:tcPr>
            <w:tcW w:w="176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6.715</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8263EB">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Amortización</w:t>
            </w:r>
          </w:p>
        </w:tc>
        <w:tc>
          <w:tcPr>
            <w:tcW w:w="1581"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-.2.711.858</w:t>
            </w:r>
          </w:p>
        </w:tc>
        <w:tc>
          <w:tcPr>
            <w:tcW w:w="169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4.234.811</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19/06/2014</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2,0470%</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09/09/2014</w:t>
            </w:r>
          </w:p>
        </w:tc>
        <w:tc>
          <w:tcPr>
            <w:tcW w:w="176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19.745</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8263EB">
        <w:trPr>
          <w:trHeight w:val="255"/>
        </w:trPr>
        <w:tc>
          <w:tcPr>
            <w:tcW w:w="2086" w:type="dxa"/>
            <w:tcBorders>
              <w:top w:val="nil"/>
              <w:left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Amortización</w:t>
            </w:r>
          </w:p>
        </w:tc>
        <w:tc>
          <w:tcPr>
            <w:tcW w:w="1581" w:type="dxa"/>
            <w:tcBorders>
              <w:top w:val="nil"/>
              <w:left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-2.711.858</w:t>
            </w:r>
          </w:p>
        </w:tc>
        <w:tc>
          <w:tcPr>
            <w:tcW w:w="1693" w:type="dxa"/>
            <w:tcBorders>
              <w:top w:val="nil"/>
              <w:left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1.522.953</w:t>
            </w:r>
          </w:p>
        </w:tc>
        <w:tc>
          <w:tcPr>
            <w:tcW w:w="1513"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09/09/2014</w:t>
            </w:r>
          </w:p>
        </w:tc>
        <w:tc>
          <w:tcPr>
            <w:tcW w:w="1450"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2,0470%</w:t>
            </w:r>
          </w:p>
        </w:tc>
        <w:tc>
          <w:tcPr>
            <w:tcW w:w="1619"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29/10/2014</w:t>
            </w:r>
          </w:p>
        </w:tc>
        <w:tc>
          <w:tcPr>
            <w:tcW w:w="1763" w:type="dxa"/>
            <w:tcBorders>
              <w:top w:val="nil"/>
              <w:left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4.330</w:t>
            </w:r>
          </w:p>
        </w:tc>
        <w:tc>
          <w:tcPr>
            <w:tcW w:w="1442" w:type="dxa"/>
            <w:tcBorders>
              <w:top w:val="nil"/>
              <w:left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8263EB">
        <w:trPr>
          <w:trHeight w:val="255"/>
        </w:trPr>
        <w:tc>
          <w:tcPr>
            <w:tcW w:w="2086"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Amortización</w:t>
            </w:r>
          </w:p>
        </w:tc>
        <w:tc>
          <w:tcPr>
            <w:tcW w:w="1581" w:type="dxa"/>
            <w:tcBorders>
              <w:top w:val="nil"/>
              <w:left w:val="nil"/>
              <w:bottom w:val="single" w:sz="4" w:space="0" w:color="auto"/>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-1.522.953</w:t>
            </w:r>
          </w:p>
        </w:tc>
        <w:tc>
          <w:tcPr>
            <w:tcW w:w="1693" w:type="dxa"/>
            <w:tcBorders>
              <w:top w:val="nil"/>
              <w:left w:val="nil"/>
              <w:bottom w:val="single" w:sz="4" w:space="0" w:color="auto"/>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513"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29/10/2014</w:t>
            </w:r>
          </w:p>
        </w:tc>
        <w:tc>
          <w:tcPr>
            <w:tcW w:w="1450"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619"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763" w:type="dxa"/>
            <w:tcBorders>
              <w:top w:val="nil"/>
              <w:left w:val="nil"/>
              <w:bottom w:val="single" w:sz="4" w:space="0" w:color="auto"/>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lang w:val="es-ES" w:eastAsia="es-ES"/>
              </w:rPr>
            </w:pPr>
          </w:p>
        </w:tc>
        <w:tc>
          <w:tcPr>
            <w:tcW w:w="1442" w:type="dxa"/>
            <w:tcBorders>
              <w:top w:val="nil"/>
              <w:left w:val="nil"/>
              <w:bottom w:val="single" w:sz="4" w:space="0" w:color="auto"/>
              <w:right w:val="nil"/>
            </w:tcBorders>
            <w:shd w:val="clear" w:color="auto" w:fill="auto"/>
            <w:noWrap/>
            <w:vAlign w:val="center"/>
          </w:tcPr>
          <w:p w:rsidR="006944BB" w:rsidRPr="00F5488A" w:rsidRDefault="008263EB" w:rsidP="00F5488A">
            <w:pPr>
              <w:spacing w:after="0"/>
              <w:ind w:firstLine="0"/>
              <w:jc w:val="right"/>
              <w:rPr>
                <w:rFonts w:ascii="Arial Narrow" w:hAnsi="Arial Narrow"/>
                <w:b/>
                <w:bCs/>
                <w:color w:val="000000"/>
                <w:lang w:val="es-ES" w:eastAsia="es-ES"/>
              </w:rPr>
            </w:pPr>
            <w:r>
              <w:rPr>
                <w:rFonts w:ascii="Arial Narrow" w:hAnsi="Arial Narrow"/>
                <w:b/>
                <w:bCs/>
                <w:color w:val="000000"/>
                <w:lang w:val="es-ES" w:eastAsia="es-ES"/>
              </w:rPr>
              <w:t>73.160</w:t>
            </w:r>
          </w:p>
        </w:tc>
      </w:tr>
      <w:tr w:rsidR="006944BB" w:rsidRPr="00F5488A" w:rsidTr="00DA1F9F">
        <w:trPr>
          <w:trHeight w:val="255"/>
        </w:trPr>
        <w:tc>
          <w:tcPr>
            <w:tcW w:w="2086"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p>
        </w:tc>
        <w:tc>
          <w:tcPr>
            <w:tcW w:w="1581"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69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51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450"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619"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76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442"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8263EB">
        <w:trPr>
          <w:trHeight w:val="255"/>
        </w:trPr>
        <w:tc>
          <w:tcPr>
            <w:tcW w:w="2086" w:type="dxa"/>
            <w:tcBorders>
              <w:top w:val="nil"/>
              <w:left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Cuenta crédito</w:t>
            </w:r>
          </w:p>
        </w:tc>
        <w:tc>
          <w:tcPr>
            <w:tcW w:w="1581" w:type="dxa"/>
            <w:tcBorders>
              <w:top w:val="nil"/>
              <w:left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b/>
                <w:bCs/>
                <w:color w:val="000000"/>
                <w:lang w:val="es-ES" w:eastAsia="es-ES"/>
              </w:rPr>
            </w:pPr>
            <w:r>
              <w:rPr>
                <w:rFonts w:ascii="Arial Narrow" w:hAnsi="Arial Narrow"/>
                <w:b/>
                <w:bCs/>
                <w:color w:val="000000"/>
                <w:lang w:val="es-ES" w:eastAsia="es-ES"/>
              </w:rPr>
              <w:t>3.803.393</w:t>
            </w:r>
          </w:p>
        </w:tc>
        <w:tc>
          <w:tcPr>
            <w:tcW w:w="1693" w:type="dxa"/>
            <w:tcBorders>
              <w:top w:val="nil"/>
              <w:left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3.803.393</w:t>
            </w:r>
          </w:p>
        </w:tc>
        <w:tc>
          <w:tcPr>
            <w:tcW w:w="1513"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31/03/2014</w:t>
            </w:r>
          </w:p>
        </w:tc>
        <w:tc>
          <w:tcPr>
            <w:tcW w:w="1450"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4,3490%</w:t>
            </w:r>
          </w:p>
        </w:tc>
        <w:tc>
          <w:tcPr>
            <w:tcW w:w="1619"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15/04/2014</w:t>
            </w:r>
          </w:p>
        </w:tc>
        <w:tc>
          <w:tcPr>
            <w:tcW w:w="1763" w:type="dxa"/>
            <w:tcBorders>
              <w:top w:val="nil"/>
              <w:left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6.892</w:t>
            </w:r>
          </w:p>
        </w:tc>
        <w:tc>
          <w:tcPr>
            <w:tcW w:w="1442" w:type="dxa"/>
            <w:tcBorders>
              <w:top w:val="nil"/>
              <w:left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8263EB">
        <w:trPr>
          <w:trHeight w:val="255"/>
        </w:trPr>
        <w:tc>
          <w:tcPr>
            <w:tcW w:w="2086"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Cancelación</w:t>
            </w:r>
          </w:p>
        </w:tc>
        <w:tc>
          <w:tcPr>
            <w:tcW w:w="1581" w:type="dxa"/>
            <w:tcBorders>
              <w:top w:val="nil"/>
              <w:left w:val="nil"/>
              <w:bottom w:val="single" w:sz="4" w:space="0" w:color="auto"/>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-3.803.393</w:t>
            </w:r>
          </w:p>
        </w:tc>
        <w:tc>
          <w:tcPr>
            <w:tcW w:w="1693" w:type="dxa"/>
            <w:tcBorders>
              <w:top w:val="nil"/>
              <w:left w:val="nil"/>
              <w:bottom w:val="single" w:sz="4" w:space="0" w:color="auto"/>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513"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15/04/2014</w:t>
            </w:r>
          </w:p>
        </w:tc>
        <w:tc>
          <w:tcPr>
            <w:tcW w:w="1450"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619"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763" w:type="dxa"/>
            <w:tcBorders>
              <w:top w:val="nil"/>
              <w:left w:val="nil"/>
              <w:bottom w:val="single" w:sz="4" w:space="0" w:color="auto"/>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lang w:val="es-ES" w:eastAsia="es-ES"/>
              </w:rPr>
            </w:pPr>
          </w:p>
        </w:tc>
        <w:tc>
          <w:tcPr>
            <w:tcW w:w="1442" w:type="dxa"/>
            <w:tcBorders>
              <w:top w:val="nil"/>
              <w:left w:val="nil"/>
              <w:bottom w:val="single" w:sz="4" w:space="0" w:color="auto"/>
              <w:right w:val="nil"/>
            </w:tcBorders>
            <w:shd w:val="clear" w:color="auto" w:fill="auto"/>
            <w:noWrap/>
            <w:vAlign w:val="center"/>
          </w:tcPr>
          <w:p w:rsidR="006944BB" w:rsidRPr="00F5488A" w:rsidRDefault="008263EB" w:rsidP="00F5488A">
            <w:pPr>
              <w:spacing w:after="0"/>
              <w:ind w:firstLine="0"/>
              <w:jc w:val="right"/>
              <w:rPr>
                <w:rFonts w:ascii="Arial Narrow" w:hAnsi="Arial Narrow"/>
                <w:b/>
                <w:bCs/>
                <w:color w:val="000000"/>
                <w:lang w:val="es-ES" w:eastAsia="es-ES"/>
              </w:rPr>
            </w:pPr>
            <w:r>
              <w:rPr>
                <w:rFonts w:ascii="Arial Narrow" w:hAnsi="Arial Narrow"/>
                <w:b/>
                <w:bCs/>
                <w:color w:val="000000"/>
                <w:lang w:val="es-ES" w:eastAsia="es-ES"/>
              </w:rPr>
              <w:t>6.892</w:t>
            </w:r>
          </w:p>
        </w:tc>
      </w:tr>
      <w:tr w:rsidR="006944BB" w:rsidRPr="00F5488A" w:rsidTr="00DA1F9F">
        <w:trPr>
          <w:trHeight w:val="255"/>
        </w:trPr>
        <w:tc>
          <w:tcPr>
            <w:tcW w:w="2086" w:type="dxa"/>
            <w:tcBorders>
              <w:top w:val="single" w:sz="4" w:space="0" w:color="auto"/>
              <w:left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p>
        </w:tc>
        <w:tc>
          <w:tcPr>
            <w:tcW w:w="1581" w:type="dxa"/>
            <w:tcBorders>
              <w:top w:val="single" w:sz="4" w:space="0" w:color="auto"/>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693" w:type="dxa"/>
            <w:tcBorders>
              <w:top w:val="single" w:sz="4" w:space="0" w:color="auto"/>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513" w:type="dxa"/>
            <w:tcBorders>
              <w:top w:val="single" w:sz="4" w:space="0" w:color="auto"/>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450" w:type="dxa"/>
            <w:tcBorders>
              <w:top w:val="single" w:sz="4" w:space="0" w:color="auto"/>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619" w:type="dxa"/>
            <w:tcBorders>
              <w:top w:val="single" w:sz="4" w:space="0" w:color="auto"/>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763" w:type="dxa"/>
            <w:tcBorders>
              <w:top w:val="single" w:sz="4" w:space="0" w:color="auto"/>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442" w:type="dxa"/>
            <w:tcBorders>
              <w:top w:val="single" w:sz="4" w:space="0" w:color="auto"/>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r>
      <w:tr w:rsidR="00F5488A" w:rsidRPr="00F5488A" w:rsidTr="00DA1F9F">
        <w:trPr>
          <w:trHeight w:val="255"/>
        </w:trPr>
        <w:tc>
          <w:tcPr>
            <w:tcW w:w="2086" w:type="dxa"/>
            <w:tcBorders>
              <w:left w:val="nil"/>
              <w:right w:val="nil"/>
            </w:tcBorders>
            <w:shd w:val="clear" w:color="auto" w:fill="auto"/>
            <w:noWrap/>
            <w:vAlign w:val="center"/>
          </w:tcPr>
          <w:p w:rsidR="00F5488A" w:rsidRPr="00F5488A" w:rsidRDefault="00F5488A" w:rsidP="00F5488A">
            <w:pPr>
              <w:spacing w:after="0"/>
              <w:ind w:firstLine="0"/>
              <w:jc w:val="left"/>
              <w:rPr>
                <w:rFonts w:ascii="Arial Narrow" w:hAnsi="Arial Narrow"/>
                <w:color w:val="000000"/>
                <w:lang w:val="es-ES" w:eastAsia="es-ES"/>
              </w:rPr>
            </w:pPr>
          </w:p>
        </w:tc>
        <w:tc>
          <w:tcPr>
            <w:tcW w:w="1581"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lang w:val="es-ES" w:eastAsia="es-ES"/>
              </w:rPr>
            </w:pPr>
          </w:p>
        </w:tc>
        <w:tc>
          <w:tcPr>
            <w:tcW w:w="1693"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lang w:val="es-ES" w:eastAsia="es-ES"/>
              </w:rPr>
            </w:pPr>
          </w:p>
        </w:tc>
        <w:tc>
          <w:tcPr>
            <w:tcW w:w="1513"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lang w:val="es-ES" w:eastAsia="es-ES"/>
              </w:rPr>
            </w:pPr>
          </w:p>
        </w:tc>
        <w:tc>
          <w:tcPr>
            <w:tcW w:w="1450"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lang w:val="es-ES" w:eastAsia="es-ES"/>
              </w:rPr>
            </w:pPr>
          </w:p>
        </w:tc>
        <w:tc>
          <w:tcPr>
            <w:tcW w:w="1619"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lang w:val="es-ES" w:eastAsia="es-ES"/>
              </w:rPr>
            </w:pPr>
          </w:p>
        </w:tc>
        <w:tc>
          <w:tcPr>
            <w:tcW w:w="1763"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lang w:val="es-ES" w:eastAsia="es-ES"/>
              </w:rPr>
            </w:pPr>
          </w:p>
        </w:tc>
        <w:tc>
          <w:tcPr>
            <w:tcW w:w="1442"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lang w:val="es-ES" w:eastAsia="es-ES"/>
              </w:rPr>
            </w:pPr>
          </w:p>
        </w:tc>
      </w:tr>
      <w:tr w:rsidR="00F5488A" w:rsidRPr="00F5488A" w:rsidTr="00DA1F9F">
        <w:trPr>
          <w:trHeight w:val="255"/>
        </w:trPr>
        <w:tc>
          <w:tcPr>
            <w:tcW w:w="2086" w:type="dxa"/>
            <w:tcBorders>
              <w:left w:val="nil"/>
              <w:right w:val="nil"/>
            </w:tcBorders>
            <w:shd w:val="clear" w:color="auto" w:fill="auto"/>
            <w:noWrap/>
            <w:vAlign w:val="center"/>
          </w:tcPr>
          <w:p w:rsidR="00F5488A" w:rsidRPr="00F5488A" w:rsidRDefault="00F5488A" w:rsidP="00F5488A">
            <w:pPr>
              <w:spacing w:after="0"/>
              <w:ind w:firstLine="0"/>
              <w:jc w:val="left"/>
              <w:rPr>
                <w:rFonts w:ascii="Arial Narrow" w:hAnsi="Arial Narrow"/>
                <w:color w:val="000000"/>
                <w:lang w:val="es-ES" w:eastAsia="es-ES"/>
              </w:rPr>
            </w:pPr>
          </w:p>
        </w:tc>
        <w:tc>
          <w:tcPr>
            <w:tcW w:w="1581"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lang w:val="es-ES" w:eastAsia="es-ES"/>
              </w:rPr>
            </w:pPr>
          </w:p>
        </w:tc>
        <w:tc>
          <w:tcPr>
            <w:tcW w:w="1693"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lang w:val="es-ES" w:eastAsia="es-ES"/>
              </w:rPr>
            </w:pPr>
          </w:p>
        </w:tc>
        <w:tc>
          <w:tcPr>
            <w:tcW w:w="1513"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lang w:val="es-ES" w:eastAsia="es-ES"/>
              </w:rPr>
            </w:pPr>
          </w:p>
        </w:tc>
        <w:tc>
          <w:tcPr>
            <w:tcW w:w="1450"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lang w:val="es-ES" w:eastAsia="es-ES"/>
              </w:rPr>
            </w:pPr>
          </w:p>
        </w:tc>
        <w:tc>
          <w:tcPr>
            <w:tcW w:w="1619"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lang w:val="es-ES" w:eastAsia="es-ES"/>
              </w:rPr>
            </w:pPr>
          </w:p>
        </w:tc>
        <w:tc>
          <w:tcPr>
            <w:tcW w:w="1763"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lang w:val="es-ES" w:eastAsia="es-ES"/>
              </w:rPr>
            </w:pPr>
          </w:p>
        </w:tc>
        <w:tc>
          <w:tcPr>
            <w:tcW w:w="1442"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lang w:val="es-ES" w:eastAsia="es-ES"/>
              </w:rPr>
            </w:pPr>
          </w:p>
        </w:tc>
      </w:tr>
      <w:tr w:rsidR="00F5488A" w:rsidRPr="00F5488A" w:rsidTr="00DA1F9F">
        <w:trPr>
          <w:trHeight w:val="255"/>
        </w:trPr>
        <w:tc>
          <w:tcPr>
            <w:tcW w:w="2086" w:type="dxa"/>
            <w:tcBorders>
              <w:left w:val="nil"/>
              <w:right w:val="nil"/>
            </w:tcBorders>
            <w:shd w:val="clear" w:color="auto" w:fill="auto"/>
            <w:noWrap/>
            <w:vAlign w:val="center"/>
          </w:tcPr>
          <w:p w:rsidR="00F5488A" w:rsidRPr="00F5488A" w:rsidRDefault="00F5488A" w:rsidP="00F5488A">
            <w:pPr>
              <w:spacing w:after="0"/>
              <w:ind w:firstLine="0"/>
              <w:jc w:val="left"/>
              <w:rPr>
                <w:rFonts w:ascii="Arial Narrow" w:hAnsi="Arial Narrow"/>
                <w:color w:val="000000"/>
                <w:lang w:val="es-ES" w:eastAsia="es-ES"/>
              </w:rPr>
            </w:pPr>
          </w:p>
        </w:tc>
        <w:tc>
          <w:tcPr>
            <w:tcW w:w="1581"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lang w:val="es-ES" w:eastAsia="es-ES"/>
              </w:rPr>
            </w:pPr>
          </w:p>
        </w:tc>
        <w:tc>
          <w:tcPr>
            <w:tcW w:w="1693"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lang w:val="es-ES" w:eastAsia="es-ES"/>
              </w:rPr>
            </w:pPr>
          </w:p>
        </w:tc>
        <w:tc>
          <w:tcPr>
            <w:tcW w:w="1513"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lang w:val="es-ES" w:eastAsia="es-ES"/>
              </w:rPr>
            </w:pPr>
          </w:p>
        </w:tc>
        <w:tc>
          <w:tcPr>
            <w:tcW w:w="1450"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lang w:val="es-ES" w:eastAsia="es-ES"/>
              </w:rPr>
            </w:pPr>
          </w:p>
        </w:tc>
        <w:tc>
          <w:tcPr>
            <w:tcW w:w="1619"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lang w:val="es-ES" w:eastAsia="es-ES"/>
              </w:rPr>
            </w:pPr>
          </w:p>
        </w:tc>
        <w:tc>
          <w:tcPr>
            <w:tcW w:w="1763"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lang w:val="es-ES" w:eastAsia="es-ES"/>
              </w:rPr>
            </w:pPr>
          </w:p>
        </w:tc>
        <w:tc>
          <w:tcPr>
            <w:tcW w:w="1442"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lang w:val="es-ES" w:eastAsia="es-ES"/>
              </w:rPr>
            </w:pPr>
          </w:p>
        </w:tc>
      </w:tr>
      <w:tr w:rsidR="00F5488A" w:rsidRPr="00F5488A" w:rsidTr="00DA1F9F">
        <w:trPr>
          <w:trHeight w:val="454"/>
        </w:trPr>
        <w:tc>
          <w:tcPr>
            <w:tcW w:w="2086" w:type="dxa"/>
            <w:tcBorders>
              <w:left w:val="nil"/>
              <w:bottom w:val="single" w:sz="4" w:space="0" w:color="auto"/>
              <w:right w:val="nil"/>
            </w:tcBorders>
            <w:shd w:val="clear" w:color="auto" w:fill="auto"/>
            <w:noWrap/>
            <w:vAlign w:val="center"/>
          </w:tcPr>
          <w:p w:rsidR="00F5488A" w:rsidRPr="00F5488A" w:rsidRDefault="00F5488A" w:rsidP="00F5488A">
            <w:pPr>
              <w:spacing w:after="0"/>
              <w:ind w:firstLine="0"/>
              <w:jc w:val="left"/>
              <w:rPr>
                <w:rFonts w:ascii="Arial Narrow" w:hAnsi="Arial Narrow"/>
                <w:color w:val="000000"/>
                <w:lang w:val="es-ES" w:eastAsia="es-ES"/>
              </w:rPr>
            </w:pPr>
          </w:p>
        </w:tc>
        <w:tc>
          <w:tcPr>
            <w:tcW w:w="1581" w:type="dxa"/>
            <w:tcBorders>
              <w:left w:val="nil"/>
              <w:bottom w:val="single" w:sz="4" w:space="0" w:color="auto"/>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lang w:val="es-ES" w:eastAsia="es-ES"/>
              </w:rPr>
            </w:pPr>
          </w:p>
        </w:tc>
        <w:tc>
          <w:tcPr>
            <w:tcW w:w="1693" w:type="dxa"/>
            <w:tcBorders>
              <w:left w:val="nil"/>
              <w:bottom w:val="single" w:sz="4" w:space="0" w:color="auto"/>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lang w:val="es-ES" w:eastAsia="es-ES"/>
              </w:rPr>
            </w:pPr>
          </w:p>
        </w:tc>
        <w:tc>
          <w:tcPr>
            <w:tcW w:w="1513" w:type="dxa"/>
            <w:tcBorders>
              <w:left w:val="nil"/>
              <w:bottom w:val="single" w:sz="4" w:space="0" w:color="auto"/>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lang w:val="es-ES" w:eastAsia="es-ES"/>
              </w:rPr>
            </w:pPr>
          </w:p>
        </w:tc>
        <w:tc>
          <w:tcPr>
            <w:tcW w:w="1450" w:type="dxa"/>
            <w:tcBorders>
              <w:left w:val="nil"/>
              <w:bottom w:val="single" w:sz="4" w:space="0" w:color="auto"/>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lang w:val="es-ES" w:eastAsia="es-ES"/>
              </w:rPr>
            </w:pPr>
          </w:p>
        </w:tc>
        <w:tc>
          <w:tcPr>
            <w:tcW w:w="1619" w:type="dxa"/>
            <w:tcBorders>
              <w:left w:val="nil"/>
              <w:bottom w:val="single" w:sz="4" w:space="0" w:color="auto"/>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lang w:val="es-ES" w:eastAsia="es-ES"/>
              </w:rPr>
            </w:pPr>
          </w:p>
        </w:tc>
        <w:tc>
          <w:tcPr>
            <w:tcW w:w="1763" w:type="dxa"/>
            <w:tcBorders>
              <w:left w:val="nil"/>
              <w:bottom w:val="single" w:sz="4" w:space="0" w:color="auto"/>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lang w:val="es-ES" w:eastAsia="es-ES"/>
              </w:rPr>
            </w:pPr>
          </w:p>
        </w:tc>
        <w:tc>
          <w:tcPr>
            <w:tcW w:w="1442" w:type="dxa"/>
            <w:tcBorders>
              <w:left w:val="nil"/>
              <w:bottom w:val="single" w:sz="4" w:space="0" w:color="auto"/>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lang w:val="es-ES" w:eastAsia="es-ES"/>
              </w:rPr>
            </w:pPr>
          </w:p>
        </w:tc>
      </w:tr>
      <w:tr w:rsidR="00F5488A" w:rsidRPr="00553D3F" w:rsidTr="00DA1F9F">
        <w:trPr>
          <w:trHeight w:val="300"/>
        </w:trPr>
        <w:tc>
          <w:tcPr>
            <w:tcW w:w="2086" w:type="dxa"/>
            <w:tcBorders>
              <w:top w:val="single" w:sz="4" w:space="0" w:color="auto"/>
              <w:bottom w:val="single" w:sz="4" w:space="0" w:color="auto"/>
            </w:tcBorders>
            <w:shd w:val="clear" w:color="auto" w:fill="8DB3E2" w:themeFill="text2" w:themeFillTint="66"/>
            <w:noWrap/>
            <w:vAlign w:val="center"/>
            <w:hideMark/>
          </w:tcPr>
          <w:p w:rsidR="00F5488A" w:rsidRPr="007A4471" w:rsidRDefault="00F5488A" w:rsidP="00F5488A">
            <w:pPr>
              <w:pStyle w:val="cuadroCabe"/>
              <w:jc w:val="left"/>
            </w:pPr>
            <w:r>
              <w:t>Concepto</w:t>
            </w:r>
          </w:p>
        </w:tc>
        <w:tc>
          <w:tcPr>
            <w:tcW w:w="1581" w:type="dxa"/>
            <w:tcBorders>
              <w:top w:val="single" w:sz="4" w:space="0" w:color="auto"/>
              <w:bottom w:val="single" w:sz="4" w:space="0" w:color="auto"/>
            </w:tcBorders>
            <w:shd w:val="clear" w:color="auto" w:fill="8DB3E2" w:themeFill="text2" w:themeFillTint="66"/>
            <w:noWrap/>
            <w:vAlign w:val="center"/>
            <w:hideMark/>
          </w:tcPr>
          <w:p w:rsidR="00F5488A" w:rsidRPr="007A4471" w:rsidRDefault="00F5488A" w:rsidP="00F5488A">
            <w:pPr>
              <w:pStyle w:val="cuadroCabe"/>
              <w:jc w:val="right"/>
            </w:pPr>
            <w:r>
              <w:t>Importe</w:t>
            </w:r>
          </w:p>
        </w:tc>
        <w:tc>
          <w:tcPr>
            <w:tcW w:w="1693" w:type="dxa"/>
            <w:tcBorders>
              <w:top w:val="single" w:sz="4" w:space="0" w:color="auto"/>
              <w:bottom w:val="single" w:sz="4" w:space="0" w:color="auto"/>
            </w:tcBorders>
            <w:shd w:val="clear" w:color="auto" w:fill="8DB3E2" w:themeFill="text2" w:themeFillTint="66"/>
            <w:noWrap/>
            <w:vAlign w:val="center"/>
            <w:hideMark/>
          </w:tcPr>
          <w:p w:rsidR="00F5488A" w:rsidRDefault="00F5488A" w:rsidP="00F5488A">
            <w:pPr>
              <w:pStyle w:val="cuadroCabe"/>
              <w:jc w:val="right"/>
            </w:pPr>
            <w:r w:rsidRPr="007A4471">
              <w:t>Saldo</w:t>
            </w:r>
            <w:r>
              <w:t xml:space="preserve"> </w:t>
            </w:r>
          </w:p>
          <w:p w:rsidR="00F5488A" w:rsidRPr="007A4471" w:rsidRDefault="00F5488A" w:rsidP="00F5488A">
            <w:pPr>
              <w:pStyle w:val="cuadroCabe"/>
              <w:jc w:val="right"/>
            </w:pPr>
            <w:r>
              <w:t>pendiente</w:t>
            </w:r>
          </w:p>
        </w:tc>
        <w:tc>
          <w:tcPr>
            <w:tcW w:w="1513" w:type="dxa"/>
            <w:tcBorders>
              <w:top w:val="single" w:sz="4" w:space="0" w:color="auto"/>
              <w:bottom w:val="single" w:sz="4" w:space="0" w:color="auto"/>
            </w:tcBorders>
            <w:shd w:val="clear" w:color="auto" w:fill="8DB3E2" w:themeFill="text2" w:themeFillTint="66"/>
            <w:noWrap/>
            <w:vAlign w:val="center"/>
          </w:tcPr>
          <w:p w:rsidR="00F5488A" w:rsidRPr="007A4471" w:rsidRDefault="00F5488A" w:rsidP="00F5488A">
            <w:pPr>
              <w:pStyle w:val="cuadroCabe"/>
              <w:jc w:val="right"/>
            </w:pPr>
            <w:r>
              <w:t>Fecha</w:t>
            </w:r>
          </w:p>
        </w:tc>
        <w:tc>
          <w:tcPr>
            <w:tcW w:w="1450" w:type="dxa"/>
            <w:tcBorders>
              <w:top w:val="single" w:sz="4" w:space="0" w:color="auto"/>
              <w:bottom w:val="single" w:sz="4" w:space="0" w:color="auto"/>
            </w:tcBorders>
            <w:shd w:val="clear" w:color="auto" w:fill="8DB3E2" w:themeFill="text2" w:themeFillTint="66"/>
            <w:noWrap/>
            <w:vAlign w:val="center"/>
          </w:tcPr>
          <w:p w:rsidR="00F5488A" w:rsidRDefault="00F5488A" w:rsidP="00F5488A">
            <w:pPr>
              <w:pStyle w:val="cuadroCabe"/>
              <w:jc w:val="right"/>
            </w:pPr>
            <w:r w:rsidRPr="007A4471">
              <w:t>Tipo</w:t>
            </w:r>
          </w:p>
          <w:p w:rsidR="00F5488A" w:rsidRPr="007A4471" w:rsidRDefault="00F5488A" w:rsidP="00F5488A">
            <w:pPr>
              <w:pStyle w:val="cuadroCabe"/>
              <w:jc w:val="right"/>
            </w:pPr>
            <w:r>
              <w:t>interés</w:t>
            </w:r>
          </w:p>
        </w:tc>
        <w:tc>
          <w:tcPr>
            <w:tcW w:w="1619" w:type="dxa"/>
            <w:tcBorders>
              <w:top w:val="single" w:sz="4" w:space="0" w:color="auto"/>
              <w:bottom w:val="single" w:sz="4" w:space="0" w:color="auto"/>
            </w:tcBorders>
            <w:shd w:val="clear" w:color="auto" w:fill="8DB3E2" w:themeFill="text2" w:themeFillTint="66"/>
            <w:noWrap/>
            <w:vAlign w:val="center"/>
          </w:tcPr>
          <w:p w:rsidR="00F5488A" w:rsidRDefault="00F5488A" w:rsidP="00F5488A">
            <w:pPr>
              <w:pStyle w:val="cuadroCabe"/>
              <w:jc w:val="right"/>
            </w:pPr>
            <w:r w:rsidRPr="007A4471">
              <w:t xml:space="preserve">Fecha </w:t>
            </w:r>
          </w:p>
          <w:p w:rsidR="00F5488A" w:rsidRPr="007A4471" w:rsidRDefault="00F5488A" w:rsidP="00F5488A">
            <w:pPr>
              <w:pStyle w:val="cuadroCabe"/>
              <w:jc w:val="right"/>
            </w:pPr>
            <w:r>
              <w:t>liquidación</w:t>
            </w:r>
          </w:p>
        </w:tc>
        <w:tc>
          <w:tcPr>
            <w:tcW w:w="1763" w:type="dxa"/>
            <w:tcBorders>
              <w:top w:val="single" w:sz="4" w:space="0" w:color="auto"/>
              <w:bottom w:val="single" w:sz="4" w:space="0" w:color="auto"/>
            </w:tcBorders>
            <w:shd w:val="clear" w:color="auto" w:fill="8DB3E2" w:themeFill="text2" w:themeFillTint="66"/>
            <w:noWrap/>
            <w:vAlign w:val="center"/>
          </w:tcPr>
          <w:p w:rsidR="00F5488A" w:rsidRDefault="00F5488A" w:rsidP="00F5488A">
            <w:pPr>
              <w:pStyle w:val="cuadroCabe"/>
              <w:jc w:val="right"/>
            </w:pPr>
            <w:r w:rsidRPr="007A4471">
              <w:t>Intereses</w:t>
            </w:r>
          </w:p>
          <w:p w:rsidR="00F5488A" w:rsidRPr="007A4471" w:rsidRDefault="00F5488A" w:rsidP="00F5488A">
            <w:pPr>
              <w:pStyle w:val="cuadroCabe"/>
              <w:jc w:val="right"/>
            </w:pPr>
            <w:r>
              <w:t>devengados</w:t>
            </w:r>
          </w:p>
        </w:tc>
        <w:tc>
          <w:tcPr>
            <w:tcW w:w="1442" w:type="dxa"/>
            <w:tcBorders>
              <w:top w:val="single" w:sz="4" w:space="0" w:color="auto"/>
              <w:bottom w:val="single" w:sz="4" w:space="0" w:color="auto"/>
            </w:tcBorders>
            <w:shd w:val="clear" w:color="auto" w:fill="8DB3E2" w:themeFill="text2" w:themeFillTint="66"/>
            <w:noWrap/>
            <w:vAlign w:val="center"/>
          </w:tcPr>
          <w:p w:rsidR="00F5488A" w:rsidRDefault="00F5488A" w:rsidP="00F5488A">
            <w:pPr>
              <w:pStyle w:val="cuadroCabe"/>
              <w:jc w:val="right"/>
            </w:pPr>
            <w:r w:rsidRPr="007A4471">
              <w:t>Intereses</w:t>
            </w:r>
          </w:p>
          <w:p w:rsidR="00F5488A" w:rsidRPr="007A4471" w:rsidRDefault="00F5488A" w:rsidP="00F5488A">
            <w:pPr>
              <w:pStyle w:val="cuadroCabe"/>
              <w:jc w:val="right"/>
            </w:pPr>
            <w:r>
              <w:t>liquidados</w:t>
            </w:r>
          </w:p>
        </w:tc>
      </w:tr>
      <w:tr w:rsidR="006944BB" w:rsidRPr="00F5488A" w:rsidTr="00B30F92">
        <w:trPr>
          <w:trHeight w:val="255"/>
        </w:trPr>
        <w:tc>
          <w:tcPr>
            <w:tcW w:w="2086"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Préstamo</w:t>
            </w:r>
          </w:p>
        </w:tc>
        <w:tc>
          <w:tcPr>
            <w:tcW w:w="1581" w:type="dxa"/>
            <w:tcBorders>
              <w:top w:val="single" w:sz="4" w:space="0" w:color="auto"/>
              <w:left w:val="nil"/>
              <w:bottom w:val="nil"/>
              <w:right w:val="nil"/>
            </w:tcBorders>
            <w:shd w:val="clear" w:color="auto" w:fill="auto"/>
            <w:noWrap/>
            <w:vAlign w:val="center"/>
          </w:tcPr>
          <w:p w:rsidR="006944BB" w:rsidRPr="00F5488A" w:rsidRDefault="00B30F92" w:rsidP="00F5488A">
            <w:pPr>
              <w:spacing w:after="0"/>
              <w:ind w:firstLine="0"/>
              <w:jc w:val="right"/>
              <w:rPr>
                <w:rFonts w:ascii="Arial Narrow" w:hAnsi="Arial Narrow"/>
                <w:b/>
                <w:bCs/>
                <w:color w:val="000000"/>
                <w:lang w:val="es-ES" w:eastAsia="es-ES"/>
              </w:rPr>
            </w:pPr>
            <w:r>
              <w:rPr>
                <w:rFonts w:ascii="Arial Narrow" w:hAnsi="Arial Narrow"/>
                <w:b/>
                <w:bCs/>
                <w:color w:val="000000"/>
                <w:lang w:val="es-ES" w:eastAsia="es-ES"/>
              </w:rPr>
              <w:t>11.994.496</w:t>
            </w:r>
          </w:p>
        </w:tc>
        <w:tc>
          <w:tcPr>
            <w:tcW w:w="1693" w:type="dxa"/>
            <w:tcBorders>
              <w:top w:val="single" w:sz="4" w:space="0" w:color="auto"/>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11.994.496</w:t>
            </w:r>
          </w:p>
        </w:tc>
        <w:tc>
          <w:tcPr>
            <w:tcW w:w="151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31/03/2014</w:t>
            </w:r>
          </w:p>
        </w:tc>
        <w:tc>
          <w:tcPr>
            <w:tcW w:w="1450"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2,0480%</w:t>
            </w:r>
          </w:p>
        </w:tc>
        <w:tc>
          <w:tcPr>
            <w:tcW w:w="1619"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15/04/2014</w:t>
            </w:r>
          </w:p>
        </w:tc>
        <w:tc>
          <w:tcPr>
            <w:tcW w:w="1763" w:type="dxa"/>
            <w:tcBorders>
              <w:top w:val="single" w:sz="4" w:space="0" w:color="auto"/>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10.235</w:t>
            </w:r>
          </w:p>
        </w:tc>
        <w:tc>
          <w:tcPr>
            <w:tcW w:w="1442" w:type="dxa"/>
            <w:tcBorders>
              <w:top w:val="single" w:sz="4" w:space="0" w:color="auto"/>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B30F92">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Amortización</w:t>
            </w:r>
          </w:p>
        </w:tc>
        <w:tc>
          <w:tcPr>
            <w:tcW w:w="1581"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-926.301</w:t>
            </w:r>
          </w:p>
        </w:tc>
        <w:tc>
          <w:tcPr>
            <w:tcW w:w="169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11.068.195</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15/04/2014</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2,0480%</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12/05/2014</w:t>
            </w:r>
          </w:p>
        </w:tc>
        <w:tc>
          <w:tcPr>
            <w:tcW w:w="176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17.001</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B30F92">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Amortización</w:t>
            </w:r>
          </w:p>
        </w:tc>
        <w:tc>
          <w:tcPr>
            <w:tcW w:w="1581"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-2.416.769</w:t>
            </w:r>
          </w:p>
        </w:tc>
        <w:tc>
          <w:tcPr>
            <w:tcW w:w="169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8.651.426</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12/05/2014</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2,0480%</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03/06/2014</w:t>
            </w:r>
          </w:p>
        </w:tc>
        <w:tc>
          <w:tcPr>
            <w:tcW w:w="176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10.828</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b/>
                <w:bCs/>
                <w:color w:val="000000"/>
                <w:lang w:val="es-ES" w:eastAsia="es-ES"/>
              </w:rPr>
            </w:pPr>
          </w:p>
        </w:tc>
      </w:tr>
      <w:tr w:rsidR="006944BB" w:rsidRPr="00F5488A" w:rsidTr="00B30F92">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Amortización</w:t>
            </w:r>
          </w:p>
        </w:tc>
        <w:tc>
          <w:tcPr>
            <w:tcW w:w="1581"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-2.579.550</w:t>
            </w:r>
          </w:p>
        </w:tc>
        <w:tc>
          <w:tcPr>
            <w:tcW w:w="169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6.071.876</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03/06/2014</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2,0480%</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24/06/2014</w:t>
            </w:r>
          </w:p>
        </w:tc>
        <w:tc>
          <w:tcPr>
            <w:tcW w:w="176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7.254</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B30F92">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Amortización</w:t>
            </w:r>
          </w:p>
        </w:tc>
        <w:tc>
          <w:tcPr>
            <w:tcW w:w="1581"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-2.324.451</w:t>
            </w:r>
          </w:p>
        </w:tc>
        <w:tc>
          <w:tcPr>
            <w:tcW w:w="169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3.747.425</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24/06/2014</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2,0480%</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08/09/2014</w:t>
            </w:r>
          </w:p>
        </w:tc>
        <w:tc>
          <w:tcPr>
            <w:tcW w:w="176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16.202</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B30F92">
        <w:trPr>
          <w:trHeight w:val="255"/>
        </w:trPr>
        <w:tc>
          <w:tcPr>
            <w:tcW w:w="2086" w:type="dxa"/>
            <w:tcBorders>
              <w:top w:val="nil"/>
              <w:left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Amortización</w:t>
            </w:r>
          </w:p>
        </w:tc>
        <w:tc>
          <w:tcPr>
            <w:tcW w:w="1581" w:type="dxa"/>
            <w:tcBorders>
              <w:top w:val="nil"/>
              <w:left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-2.324.451</w:t>
            </w:r>
          </w:p>
        </w:tc>
        <w:tc>
          <w:tcPr>
            <w:tcW w:w="1693" w:type="dxa"/>
            <w:tcBorders>
              <w:top w:val="nil"/>
              <w:left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1.422.974</w:t>
            </w:r>
          </w:p>
        </w:tc>
        <w:tc>
          <w:tcPr>
            <w:tcW w:w="1513"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08/09/2014</w:t>
            </w:r>
          </w:p>
        </w:tc>
        <w:tc>
          <w:tcPr>
            <w:tcW w:w="1450"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2,0480%</w:t>
            </w:r>
          </w:p>
        </w:tc>
        <w:tc>
          <w:tcPr>
            <w:tcW w:w="1619"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29/10/2014</w:t>
            </w:r>
          </w:p>
        </w:tc>
        <w:tc>
          <w:tcPr>
            <w:tcW w:w="1763" w:type="dxa"/>
            <w:tcBorders>
              <w:top w:val="nil"/>
              <w:left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4.129</w:t>
            </w:r>
          </w:p>
        </w:tc>
        <w:tc>
          <w:tcPr>
            <w:tcW w:w="1442" w:type="dxa"/>
            <w:tcBorders>
              <w:top w:val="nil"/>
              <w:left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B30F92">
        <w:trPr>
          <w:trHeight w:val="255"/>
        </w:trPr>
        <w:tc>
          <w:tcPr>
            <w:tcW w:w="2086"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Amortización</w:t>
            </w:r>
          </w:p>
        </w:tc>
        <w:tc>
          <w:tcPr>
            <w:tcW w:w="1581" w:type="dxa"/>
            <w:tcBorders>
              <w:top w:val="nil"/>
              <w:left w:val="nil"/>
              <w:bottom w:val="single" w:sz="4" w:space="0" w:color="auto"/>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-1.422.974</w:t>
            </w:r>
          </w:p>
        </w:tc>
        <w:tc>
          <w:tcPr>
            <w:tcW w:w="1693" w:type="dxa"/>
            <w:tcBorders>
              <w:top w:val="nil"/>
              <w:left w:val="nil"/>
              <w:bottom w:val="single" w:sz="4" w:space="0" w:color="auto"/>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513"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29/10/2014</w:t>
            </w:r>
          </w:p>
        </w:tc>
        <w:tc>
          <w:tcPr>
            <w:tcW w:w="1450"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619"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763" w:type="dxa"/>
            <w:tcBorders>
              <w:top w:val="nil"/>
              <w:left w:val="nil"/>
              <w:bottom w:val="single" w:sz="4" w:space="0" w:color="auto"/>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lang w:val="es-ES" w:eastAsia="es-ES"/>
              </w:rPr>
            </w:pPr>
          </w:p>
        </w:tc>
        <w:tc>
          <w:tcPr>
            <w:tcW w:w="1442" w:type="dxa"/>
            <w:tcBorders>
              <w:top w:val="nil"/>
              <w:left w:val="nil"/>
              <w:bottom w:val="single" w:sz="4" w:space="0" w:color="auto"/>
              <w:right w:val="nil"/>
            </w:tcBorders>
            <w:shd w:val="clear" w:color="auto" w:fill="auto"/>
            <w:noWrap/>
            <w:vAlign w:val="center"/>
          </w:tcPr>
          <w:p w:rsidR="006944BB" w:rsidRPr="00F5488A" w:rsidRDefault="009C4F69" w:rsidP="00F5488A">
            <w:pPr>
              <w:spacing w:after="0"/>
              <w:ind w:firstLine="0"/>
              <w:jc w:val="right"/>
              <w:rPr>
                <w:rFonts w:ascii="Arial Narrow" w:hAnsi="Arial Narrow"/>
                <w:b/>
                <w:bCs/>
                <w:color w:val="000000"/>
                <w:lang w:val="es-ES" w:eastAsia="es-ES"/>
              </w:rPr>
            </w:pPr>
            <w:r>
              <w:rPr>
                <w:rFonts w:ascii="Arial Narrow" w:hAnsi="Arial Narrow"/>
                <w:b/>
                <w:bCs/>
                <w:color w:val="000000"/>
                <w:lang w:val="es-ES" w:eastAsia="es-ES"/>
              </w:rPr>
              <w:t>65.648</w:t>
            </w:r>
          </w:p>
        </w:tc>
      </w:tr>
      <w:tr w:rsidR="006944BB" w:rsidRPr="00F5488A" w:rsidTr="00DA1F9F">
        <w:trPr>
          <w:trHeight w:val="255"/>
        </w:trPr>
        <w:tc>
          <w:tcPr>
            <w:tcW w:w="2086"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p>
        </w:tc>
        <w:tc>
          <w:tcPr>
            <w:tcW w:w="1581"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69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51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450"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619"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76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442"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B30F92">
        <w:trPr>
          <w:trHeight w:val="255"/>
        </w:trPr>
        <w:tc>
          <w:tcPr>
            <w:tcW w:w="2086" w:type="dxa"/>
            <w:tcBorders>
              <w:top w:val="nil"/>
              <w:left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Cuenta crédito</w:t>
            </w:r>
          </w:p>
        </w:tc>
        <w:tc>
          <w:tcPr>
            <w:tcW w:w="1581" w:type="dxa"/>
            <w:tcBorders>
              <w:top w:val="nil"/>
              <w:left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b/>
                <w:bCs/>
                <w:color w:val="000000"/>
                <w:lang w:val="es-ES" w:eastAsia="es-ES"/>
              </w:rPr>
            </w:pPr>
            <w:r>
              <w:rPr>
                <w:rFonts w:ascii="Arial Narrow" w:hAnsi="Arial Narrow"/>
                <w:b/>
                <w:bCs/>
                <w:color w:val="000000"/>
                <w:lang w:val="es-ES" w:eastAsia="es-ES"/>
              </w:rPr>
              <w:t>2.535.373</w:t>
            </w:r>
          </w:p>
        </w:tc>
        <w:tc>
          <w:tcPr>
            <w:tcW w:w="1693" w:type="dxa"/>
            <w:tcBorders>
              <w:top w:val="nil"/>
              <w:left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2.535.373</w:t>
            </w:r>
          </w:p>
        </w:tc>
        <w:tc>
          <w:tcPr>
            <w:tcW w:w="1513"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31/03/2014</w:t>
            </w:r>
          </w:p>
        </w:tc>
        <w:tc>
          <w:tcPr>
            <w:tcW w:w="1450"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4,3670%</w:t>
            </w:r>
          </w:p>
        </w:tc>
        <w:tc>
          <w:tcPr>
            <w:tcW w:w="1619"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13/05/2014</w:t>
            </w:r>
          </w:p>
        </w:tc>
        <w:tc>
          <w:tcPr>
            <w:tcW w:w="1763" w:type="dxa"/>
            <w:tcBorders>
              <w:top w:val="nil"/>
              <w:left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13.225</w:t>
            </w:r>
          </w:p>
        </w:tc>
        <w:tc>
          <w:tcPr>
            <w:tcW w:w="1442" w:type="dxa"/>
            <w:tcBorders>
              <w:top w:val="nil"/>
              <w:left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B30F92">
        <w:trPr>
          <w:trHeight w:val="255"/>
        </w:trPr>
        <w:tc>
          <w:tcPr>
            <w:tcW w:w="2086"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Cancelación</w:t>
            </w:r>
          </w:p>
        </w:tc>
        <w:tc>
          <w:tcPr>
            <w:tcW w:w="1581" w:type="dxa"/>
            <w:tcBorders>
              <w:top w:val="nil"/>
              <w:left w:val="nil"/>
              <w:bottom w:val="single" w:sz="4" w:space="0" w:color="auto"/>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-2.535.373</w:t>
            </w:r>
          </w:p>
        </w:tc>
        <w:tc>
          <w:tcPr>
            <w:tcW w:w="1693" w:type="dxa"/>
            <w:tcBorders>
              <w:top w:val="nil"/>
              <w:left w:val="nil"/>
              <w:bottom w:val="single" w:sz="4" w:space="0" w:color="auto"/>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513"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13/05/2014</w:t>
            </w:r>
          </w:p>
        </w:tc>
        <w:tc>
          <w:tcPr>
            <w:tcW w:w="1450"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619"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763" w:type="dxa"/>
            <w:tcBorders>
              <w:top w:val="nil"/>
              <w:left w:val="nil"/>
              <w:bottom w:val="single" w:sz="4" w:space="0" w:color="auto"/>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lang w:val="es-ES" w:eastAsia="es-ES"/>
              </w:rPr>
            </w:pPr>
          </w:p>
        </w:tc>
        <w:tc>
          <w:tcPr>
            <w:tcW w:w="1442" w:type="dxa"/>
            <w:tcBorders>
              <w:top w:val="nil"/>
              <w:left w:val="nil"/>
              <w:bottom w:val="single" w:sz="4" w:space="0" w:color="auto"/>
              <w:right w:val="nil"/>
            </w:tcBorders>
            <w:shd w:val="clear" w:color="auto" w:fill="auto"/>
            <w:noWrap/>
            <w:vAlign w:val="center"/>
          </w:tcPr>
          <w:p w:rsidR="006944BB" w:rsidRPr="00F5488A" w:rsidRDefault="009C4F69" w:rsidP="00F5488A">
            <w:pPr>
              <w:spacing w:after="0"/>
              <w:ind w:firstLine="0"/>
              <w:jc w:val="right"/>
              <w:rPr>
                <w:rFonts w:ascii="Arial Narrow" w:hAnsi="Arial Narrow"/>
                <w:b/>
                <w:bCs/>
                <w:color w:val="000000"/>
                <w:lang w:val="es-ES" w:eastAsia="es-ES"/>
              </w:rPr>
            </w:pPr>
            <w:r>
              <w:rPr>
                <w:rFonts w:ascii="Arial Narrow" w:hAnsi="Arial Narrow"/>
                <w:b/>
                <w:bCs/>
                <w:color w:val="000000"/>
                <w:lang w:val="es-ES" w:eastAsia="es-ES"/>
              </w:rPr>
              <w:t>13.225</w:t>
            </w:r>
          </w:p>
        </w:tc>
      </w:tr>
      <w:tr w:rsidR="006944BB" w:rsidRPr="00F5488A" w:rsidTr="00DA1F9F">
        <w:trPr>
          <w:trHeight w:val="255"/>
        </w:trPr>
        <w:tc>
          <w:tcPr>
            <w:tcW w:w="2086"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p>
        </w:tc>
        <w:tc>
          <w:tcPr>
            <w:tcW w:w="1581"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69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51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450"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619"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76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442"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b/>
                <w:bCs/>
                <w:color w:val="000000"/>
                <w:lang w:val="es-ES" w:eastAsia="es-ES"/>
              </w:rPr>
            </w:pPr>
          </w:p>
        </w:tc>
      </w:tr>
      <w:tr w:rsidR="006944BB" w:rsidRPr="00F5488A" w:rsidTr="00B30F92">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Préstamo</w:t>
            </w:r>
          </w:p>
        </w:tc>
        <w:tc>
          <w:tcPr>
            <w:tcW w:w="1581"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b/>
                <w:bCs/>
                <w:color w:val="000000"/>
                <w:lang w:val="es-ES" w:eastAsia="es-ES"/>
              </w:rPr>
            </w:pPr>
            <w:r>
              <w:rPr>
                <w:rFonts w:ascii="Arial Narrow" w:hAnsi="Arial Narrow"/>
                <w:b/>
                <w:bCs/>
                <w:color w:val="000000"/>
                <w:lang w:val="es-ES" w:eastAsia="es-ES"/>
              </w:rPr>
              <w:t>7.996.331</w:t>
            </w:r>
          </w:p>
        </w:tc>
        <w:tc>
          <w:tcPr>
            <w:tcW w:w="169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7.996.331</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31/03/2014</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1,9520%</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13/05/2014</w:t>
            </w:r>
          </w:p>
        </w:tc>
        <w:tc>
          <w:tcPr>
            <w:tcW w:w="176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18.644</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B30F92">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Amortización</w:t>
            </w:r>
          </w:p>
        </w:tc>
        <w:tc>
          <w:tcPr>
            <w:tcW w:w="1581"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-2.544.186</w:t>
            </w:r>
          </w:p>
        </w:tc>
        <w:tc>
          <w:tcPr>
            <w:tcW w:w="169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5.452.145</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13/05/2014</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1,9520%</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02/06/2014</w:t>
            </w:r>
          </w:p>
        </w:tc>
        <w:tc>
          <w:tcPr>
            <w:tcW w:w="176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5.913</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B30F92">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Amortización</w:t>
            </w:r>
          </w:p>
        </w:tc>
        <w:tc>
          <w:tcPr>
            <w:tcW w:w="1581"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-1.736.305</w:t>
            </w:r>
          </w:p>
        </w:tc>
        <w:tc>
          <w:tcPr>
            <w:tcW w:w="169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3.715.840</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02/06/2014</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1,9520%</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20/06/2014</w:t>
            </w:r>
          </w:p>
        </w:tc>
        <w:tc>
          <w:tcPr>
            <w:tcW w:w="176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3.627</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B30F92">
        <w:trPr>
          <w:trHeight w:val="255"/>
        </w:trPr>
        <w:tc>
          <w:tcPr>
            <w:tcW w:w="2086" w:type="dxa"/>
            <w:tcBorders>
              <w:top w:val="nil"/>
              <w:left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Amortización</w:t>
            </w:r>
          </w:p>
        </w:tc>
        <w:tc>
          <w:tcPr>
            <w:tcW w:w="1581" w:type="dxa"/>
            <w:tcBorders>
              <w:top w:val="nil"/>
              <w:left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-1.549.632</w:t>
            </w:r>
          </w:p>
        </w:tc>
        <w:tc>
          <w:tcPr>
            <w:tcW w:w="1693" w:type="dxa"/>
            <w:tcBorders>
              <w:top w:val="nil"/>
              <w:left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2.166.208</w:t>
            </w:r>
          </w:p>
        </w:tc>
        <w:tc>
          <w:tcPr>
            <w:tcW w:w="1513"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20/06/2014</w:t>
            </w:r>
          </w:p>
        </w:tc>
        <w:tc>
          <w:tcPr>
            <w:tcW w:w="1450"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1,9520%</w:t>
            </w:r>
          </w:p>
        </w:tc>
        <w:tc>
          <w:tcPr>
            <w:tcW w:w="1619"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29/10/2014</w:t>
            </w:r>
          </w:p>
        </w:tc>
        <w:tc>
          <w:tcPr>
            <w:tcW w:w="1763" w:type="dxa"/>
            <w:tcBorders>
              <w:top w:val="nil"/>
              <w:left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15.387</w:t>
            </w:r>
          </w:p>
        </w:tc>
        <w:tc>
          <w:tcPr>
            <w:tcW w:w="1442" w:type="dxa"/>
            <w:tcBorders>
              <w:top w:val="nil"/>
              <w:left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B30F92">
        <w:trPr>
          <w:trHeight w:val="255"/>
        </w:trPr>
        <w:tc>
          <w:tcPr>
            <w:tcW w:w="2086"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Amortización</w:t>
            </w:r>
          </w:p>
        </w:tc>
        <w:tc>
          <w:tcPr>
            <w:tcW w:w="1581" w:type="dxa"/>
            <w:tcBorders>
              <w:top w:val="nil"/>
              <w:left w:val="nil"/>
              <w:bottom w:val="single" w:sz="4" w:space="0" w:color="auto"/>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-2.166.208</w:t>
            </w:r>
          </w:p>
        </w:tc>
        <w:tc>
          <w:tcPr>
            <w:tcW w:w="1693" w:type="dxa"/>
            <w:tcBorders>
              <w:top w:val="nil"/>
              <w:left w:val="nil"/>
              <w:bottom w:val="single" w:sz="4" w:space="0" w:color="auto"/>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513"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29/10/2014</w:t>
            </w:r>
          </w:p>
        </w:tc>
        <w:tc>
          <w:tcPr>
            <w:tcW w:w="1450"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619"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763" w:type="dxa"/>
            <w:tcBorders>
              <w:top w:val="nil"/>
              <w:left w:val="nil"/>
              <w:bottom w:val="single" w:sz="4" w:space="0" w:color="auto"/>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lang w:val="es-ES" w:eastAsia="es-ES"/>
              </w:rPr>
            </w:pPr>
          </w:p>
        </w:tc>
        <w:tc>
          <w:tcPr>
            <w:tcW w:w="1442" w:type="dxa"/>
            <w:tcBorders>
              <w:top w:val="nil"/>
              <w:left w:val="nil"/>
              <w:bottom w:val="single" w:sz="4" w:space="0" w:color="auto"/>
              <w:right w:val="nil"/>
            </w:tcBorders>
            <w:shd w:val="clear" w:color="auto" w:fill="auto"/>
            <w:noWrap/>
            <w:vAlign w:val="center"/>
          </w:tcPr>
          <w:p w:rsidR="006944BB" w:rsidRPr="00F5488A" w:rsidRDefault="009C4F69" w:rsidP="00F5488A">
            <w:pPr>
              <w:spacing w:after="0"/>
              <w:ind w:firstLine="0"/>
              <w:jc w:val="right"/>
              <w:rPr>
                <w:rFonts w:ascii="Arial Narrow" w:hAnsi="Arial Narrow"/>
                <w:b/>
                <w:bCs/>
                <w:color w:val="000000"/>
                <w:lang w:val="es-ES" w:eastAsia="es-ES"/>
              </w:rPr>
            </w:pPr>
            <w:r>
              <w:rPr>
                <w:rFonts w:ascii="Arial Narrow" w:hAnsi="Arial Narrow"/>
                <w:b/>
                <w:bCs/>
                <w:color w:val="000000"/>
                <w:lang w:val="es-ES" w:eastAsia="es-ES"/>
              </w:rPr>
              <w:t>43.570</w:t>
            </w:r>
          </w:p>
        </w:tc>
      </w:tr>
      <w:tr w:rsidR="006944BB" w:rsidRPr="00F5488A" w:rsidTr="00DA1F9F">
        <w:trPr>
          <w:trHeight w:val="255"/>
        </w:trPr>
        <w:tc>
          <w:tcPr>
            <w:tcW w:w="2086"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p>
        </w:tc>
        <w:tc>
          <w:tcPr>
            <w:tcW w:w="1581"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69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51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450"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619"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76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442"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B30F92">
        <w:trPr>
          <w:trHeight w:val="255"/>
        </w:trPr>
        <w:tc>
          <w:tcPr>
            <w:tcW w:w="2086" w:type="dxa"/>
            <w:tcBorders>
              <w:top w:val="nil"/>
              <w:left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Cuenta crédito</w:t>
            </w:r>
          </w:p>
        </w:tc>
        <w:tc>
          <w:tcPr>
            <w:tcW w:w="1581" w:type="dxa"/>
            <w:tcBorders>
              <w:top w:val="nil"/>
              <w:left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b/>
                <w:bCs/>
                <w:color w:val="000000"/>
                <w:lang w:val="es-ES" w:eastAsia="es-ES"/>
              </w:rPr>
            </w:pPr>
            <w:r>
              <w:rPr>
                <w:rFonts w:ascii="Arial Narrow" w:hAnsi="Arial Narrow"/>
                <w:b/>
                <w:bCs/>
                <w:color w:val="000000"/>
                <w:lang w:val="es-ES" w:eastAsia="es-ES"/>
              </w:rPr>
              <w:t>1.268.020</w:t>
            </w:r>
          </w:p>
        </w:tc>
        <w:tc>
          <w:tcPr>
            <w:tcW w:w="1693" w:type="dxa"/>
            <w:tcBorders>
              <w:top w:val="nil"/>
              <w:left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1.268.020</w:t>
            </w:r>
          </w:p>
        </w:tc>
        <w:tc>
          <w:tcPr>
            <w:tcW w:w="1513"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31/03/2014</w:t>
            </w:r>
          </w:p>
        </w:tc>
        <w:tc>
          <w:tcPr>
            <w:tcW w:w="1450"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4,335%</w:t>
            </w:r>
          </w:p>
        </w:tc>
        <w:tc>
          <w:tcPr>
            <w:tcW w:w="1619"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02/04/2014</w:t>
            </w:r>
          </w:p>
        </w:tc>
        <w:tc>
          <w:tcPr>
            <w:tcW w:w="1763" w:type="dxa"/>
            <w:tcBorders>
              <w:top w:val="nil"/>
              <w:left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305</w:t>
            </w:r>
          </w:p>
        </w:tc>
        <w:tc>
          <w:tcPr>
            <w:tcW w:w="1442" w:type="dxa"/>
            <w:tcBorders>
              <w:top w:val="nil"/>
              <w:left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B30F92">
        <w:trPr>
          <w:trHeight w:val="255"/>
        </w:trPr>
        <w:tc>
          <w:tcPr>
            <w:tcW w:w="2086"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Cancelación</w:t>
            </w:r>
          </w:p>
        </w:tc>
        <w:tc>
          <w:tcPr>
            <w:tcW w:w="1581" w:type="dxa"/>
            <w:tcBorders>
              <w:top w:val="nil"/>
              <w:left w:val="nil"/>
              <w:bottom w:val="single" w:sz="4" w:space="0" w:color="auto"/>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-1.268.020</w:t>
            </w:r>
          </w:p>
        </w:tc>
        <w:tc>
          <w:tcPr>
            <w:tcW w:w="1693" w:type="dxa"/>
            <w:tcBorders>
              <w:top w:val="nil"/>
              <w:left w:val="nil"/>
              <w:bottom w:val="single" w:sz="4" w:space="0" w:color="auto"/>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513"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01/04/2014</w:t>
            </w:r>
          </w:p>
        </w:tc>
        <w:tc>
          <w:tcPr>
            <w:tcW w:w="1450"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619"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b/>
                <w:bCs/>
                <w:color w:val="000000"/>
                <w:lang w:val="es-ES" w:eastAsia="es-ES"/>
              </w:rPr>
            </w:pPr>
          </w:p>
        </w:tc>
        <w:tc>
          <w:tcPr>
            <w:tcW w:w="1763" w:type="dxa"/>
            <w:tcBorders>
              <w:top w:val="nil"/>
              <w:left w:val="nil"/>
              <w:bottom w:val="single" w:sz="4" w:space="0" w:color="auto"/>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lang w:val="es-ES" w:eastAsia="es-ES"/>
              </w:rPr>
            </w:pPr>
          </w:p>
        </w:tc>
        <w:tc>
          <w:tcPr>
            <w:tcW w:w="1442" w:type="dxa"/>
            <w:tcBorders>
              <w:top w:val="nil"/>
              <w:left w:val="nil"/>
              <w:bottom w:val="single" w:sz="4" w:space="0" w:color="auto"/>
              <w:right w:val="nil"/>
            </w:tcBorders>
            <w:shd w:val="clear" w:color="auto" w:fill="auto"/>
            <w:noWrap/>
            <w:vAlign w:val="center"/>
          </w:tcPr>
          <w:p w:rsidR="006944BB" w:rsidRPr="00F5488A" w:rsidRDefault="009C4F69" w:rsidP="00F5488A">
            <w:pPr>
              <w:spacing w:after="0"/>
              <w:ind w:firstLine="0"/>
              <w:jc w:val="right"/>
              <w:rPr>
                <w:rFonts w:ascii="Arial Narrow" w:hAnsi="Arial Narrow"/>
                <w:b/>
                <w:bCs/>
                <w:color w:val="000000"/>
                <w:lang w:val="es-ES" w:eastAsia="es-ES"/>
              </w:rPr>
            </w:pPr>
            <w:r>
              <w:rPr>
                <w:rFonts w:ascii="Arial Narrow" w:hAnsi="Arial Narrow"/>
                <w:b/>
                <w:bCs/>
                <w:color w:val="000000"/>
                <w:lang w:val="es-ES" w:eastAsia="es-ES"/>
              </w:rPr>
              <w:t>305</w:t>
            </w:r>
          </w:p>
        </w:tc>
      </w:tr>
      <w:tr w:rsidR="006944BB" w:rsidRPr="00F5488A" w:rsidTr="00B30F92">
        <w:trPr>
          <w:trHeight w:val="255"/>
        </w:trPr>
        <w:tc>
          <w:tcPr>
            <w:tcW w:w="2086"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p>
        </w:tc>
        <w:tc>
          <w:tcPr>
            <w:tcW w:w="1581"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69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51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450"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619"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763" w:type="dxa"/>
            <w:tcBorders>
              <w:top w:val="single" w:sz="4" w:space="0" w:color="auto"/>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lang w:val="es-ES" w:eastAsia="es-ES"/>
              </w:rPr>
            </w:pPr>
          </w:p>
        </w:tc>
        <w:tc>
          <w:tcPr>
            <w:tcW w:w="1442" w:type="dxa"/>
            <w:tcBorders>
              <w:top w:val="single" w:sz="4" w:space="0" w:color="auto"/>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B30F92">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Préstamo</w:t>
            </w:r>
          </w:p>
        </w:tc>
        <w:tc>
          <w:tcPr>
            <w:tcW w:w="1581"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b/>
                <w:bCs/>
                <w:color w:val="000000"/>
                <w:lang w:val="es-ES" w:eastAsia="es-ES"/>
              </w:rPr>
            </w:pPr>
            <w:r>
              <w:rPr>
                <w:rFonts w:ascii="Arial Narrow" w:hAnsi="Arial Narrow"/>
                <w:b/>
                <w:bCs/>
                <w:color w:val="000000"/>
                <w:lang w:val="es-ES" w:eastAsia="es-ES"/>
              </w:rPr>
              <w:t>3.998.165</w:t>
            </w:r>
          </w:p>
        </w:tc>
        <w:tc>
          <w:tcPr>
            <w:tcW w:w="169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3.998.165</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31/03/2014</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2,1966%</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02/04/2014</w:t>
            </w:r>
          </w:p>
        </w:tc>
        <w:tc>
          <w:tcPr>
            <w:tcW w:w="176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488</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B30F92">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Amortización</w:t>
            </w:r>
          </w:p>
        </w:tc>
        <w:tc>
          <w:tcPr>
            <w:tcW w:w="1581"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-1.223.613</w:t>
            </w:r>
          </w:p>
        </w:tc>
        <w:tc>
          <w:tcPr>
            <w:tcW w:w="169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2.774.552</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01/04/2014</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2,1966%</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28/05/2014</w:t>
            </w:r>
          </w:p>
        </w:tc>
        <w:tc>
          <w:tcPr>
            <w:tcW w:w="176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9.650</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B30F92">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Amortización</w:t>
            </w:r>
          </w:p>
        </w:tc>
        <w:tc>
          <w:tcPr>
            <w:tcW w:w="1581"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-288.011</w:t>
            </w:r>
          </w:p>
        </w:tc>
        <w:tc>
          <w:tcPr>
            <w:tcW w:w="169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2.486.541</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28/05/2014</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2,1966%</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02/06/2014</w:t>
            </w:r>
          </w:p>
        </w:tc>
        <w:tc>
          <w:tcPr>
            <w:tcW w:w="176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759</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B30F92">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Amortización</w:t>
            </w:r>
          </w:p>
        </w:tc>
        <w:tc>
          <w:tcPr>
            <w:tcW w:w="1581"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-575.280</w:t>
            </w:r>
          </w:p>
        </w:tc>
        <w:tc>
          <w:tcPr>
            <w:tcW w:w="169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1.911.261</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02/06/2014</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2,1966%</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19/06/2014</w:t>
            </w:r>
          </w:p>
        </w:tc>
        <w:tc>
          <w:tcPr>
            <w:tcW w:w="176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1.983</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B30F92">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Amortización</w:t>
            </w:r>
          </w:p>
        </w:tc>
        <w:tc>
          <w:tcPr>
            <w:tcW w:w="1581"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-772.826</w:t>
            </w:r>
          </w:p>
        </w:tc>
        <w:tc>
          <w:tcPr>
            <w:tcW w:w="169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1.138.435</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19/06/2014</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2,1966%</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08/09/2014</w:t>
            </w:r>
          </w:p>
        </w:tc>
        <w:tc>
          <w:tcPr>
            <w:tcW w:w="176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5.627</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B30F92">
        <w:trPr>
          <w:trHeight w:val="255"/>
        </w:trPr>
        <w:tc>
          <w:tcPr>
            <w:tcW w:w="2086" w:type="dxa"/>
            <w:tcBorders>
              <w:top w:val="nil"/>
              <w:left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Amortización</w:t>
            </w:r>
          </w:p>
        </w:tc>
        <w:tc>
          <w:tcPr>
            <w:tcW w:w="1581" w:type="dxa"/>
            <w:tcBorders>
              <w:top w:val="nil"/>
              <w:left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-774.818</w:t>
            </w:r>
          </w:p>
        </w:tc>
        <w:tc>
          <w:tcPr>
            <w:tcW w:w="1693" w:type="dxa"/>
            <w:tcBorders>
              <w:top w:val="nil"/>
              <w:left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363.617</w:t>
            </w:r>
          </w:p>
        </w:tc>
        <w:tc>
          <w:tcPr>
            <w:tcW w:w="1513"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08/09/2014</w:t>
            </w:r>
          </w:p>
        </w:tc>
        <w:tc>
          <w:tcPr>
            <w:tcW w:w="1450"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2,1966%</w:t>
            </w:r>
          </w:p>
        </w:tc>
        <w:tc>
          <w:tcPr>
            <w:tcW w:w="1619"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27/10/2014</w:t>
            </w:r>
          </w:p>
        </w:tc>
        <w:tc>
          <w:tcPr>
            <w:tcW w:w="1763" w:type="dxa"/>
            <w:tcBorders>
              <w:top w:val="nil"/>
              <w:left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1.087</w:t>
            </w:r>
          </w:p>
        </w:tc>
        <w:tc>
          <w:tcPr>
            <w:tcW w:w="1442" w:type="dxa"/>
            <w:tcBorders>
              <w:top w:val="nil"/>
              <w:left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lang w:val="es-ES" w:eastAsia="es-ES"/>
              </w:rPr>
            </w:pPr>
          </w:p>
        </w:tc>
      </w:tr>
      <w:tr w:rsidR="006944BB" w:rsidRPr="00F5488A" w:rsidTr="00B30F92">
        <w:trPr>
          <w:trHeight w:val="255"/>
        </w:trPr>
        <w:tc>
          <w:tcPr>
            <w:tcW w:w="2086"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lang w:val="es-ES" w:eastAsia="es-ES"/>
              </w:rPr>
            </w:pPr>
            <w:r w:rsidRPr="00F5488A">
              <w:rPr>
                <w:rFonts w:ascii="Arial Narrow" w:hAnsi="Arial Narrow"/>
                <w:color w:val="000000"/>
                <w:lang w:val="es-ES" w:eastAsia="es-ES"/>
              </w:rPr>
              <w:t>Amortización</w:t>
            </w:r>
          </w:p>
        </w:tc>
        <w:tc>
          <w:tcPr>
            <w:tcW w:w="1581" w:type="dxa"/>
            <w:tcBorders>
              <w:top w:val="nil"/>
              <w:left w:val="nil"/>
              <w:bottom w:val="single" w:sz="4" w:space="0" w:color="auto"/>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-363.617</w:t>
            </w:r>
          </w:p>
        </w:tc>
        <w:tc>
          <w:tcPr>
            <w:tcW w:w="1693" w:type="dxa"/>
            <w:tcBorders>
              <w:top w:val="nil"/>
              <w:left w:val="nil"/>
              <w:bottom w:val="single" w:sz="4" w:space="0" w:color="auto"/>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513"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r w:rsidRPr="00F5488A">
              <w:rPr>
                <w:rFonts w:ascii="Arial Narrow" w:hAnsi="Arial Narrow"/>
                <w:color w:val="000000"/>
                <w:lang w:val="es-ES" w:eastAsia="es-ES"/>
              </w:rPr>
              <w:t>27/10/2014</w:t>
            </w:r>
          </w:p>
        </w:tc>
        <w:tc>
          <w:tcPr>
            <w:tcW w:w="1450"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lang w:val="es-ES" w:eastAsia="es-ES"/>
              </w:rPr>
            </w:pPr>
          </w:p>
        </w:tc>
        <w:tc>
          <w:tcPr>
            <w:tcW w:w="1619"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b/>
                <w:bCs/>
                <w:color w:val="000000"/>
                <w:lang w:val="es-ES" w:eastAsia="es-ES"/>
              </w:rPr>
            </w:pPr>
          </w:p>
        </w:tc>
        <w:tc>
          <w:tcPr>
            <w:tcW w:w="1763" w:type="dxa"/>
            <w:tcBorders>
              <w:top w:val="nil"/>
              <w:left w:val="nil"/>
              <w:bottom w:val="single" w:sz="4" w:space="0" w:color="auto"/>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lang w:val="es-ES" w:eastAsia="es-ES"/>
              </w:rPr>
            </w:pPr>
          </w:p>
        </w:tc>
        <w:tc>
          <w:tcPr>
            <w:tcW w:w="1442" w:type="dxa"/>
            <w:tcBorders>
              <w:top w:val="nil"/>
              <w:left w:val="nil"/>
              <w:bottom w:val="single" w:sz="4" w:space="0" w:color="auto"/>
              <w:right w:val="nil"/>
            </w:tcBorders>
            <w:shd w:val="clear" w:color="auto" w:fill="auto"/>
            <w:noWrap/>
            <w:vAlign w:val="center"/>
          </w:tcPr>
          <w:p w:rsidR="006944BB" w:rsidRPr="00F5488A" w:rsidRDefault="009C4F69" w:rsidP="00F5488A">
            <w:pPr>
              <w:spacing w:after="0"/>
              <w:ind w:firstLine="0"/>
              <w:jc w:val="right"/>
              <w:rPr>
                <w:rFonts w:ascii="Arial Narrow" w:hAnsi="Arial Narrow"/>
                <w:b/>
                <w:bCs/>
                <w:color w:val="000000"/>
                <w:lang w:val="es-ES" w:eastAsia="es-ES"/>
              </w:rPr>
            </w:pPr>
            <w:r>
              <w:rPr>
                <w:rFonts w:ascii="Arial Narrow" w:hAnsi="Arial Narrow"/>
                <w:b/>
                <w:bCs/>
                <w:color w:val="000000"/>
                <w:lang w:val="es-ES" w:eastAsia="es-ES"/>
              </w:rPr>
              <w:t>19.592</w:t>
            </w:r>
          </w:p>
        </w:tc>
      </w:tr>
    </w:tbl>
    <w:p w:rsidR="004D1898" w:rsidRDefault="004D1898" w:rsidP="00875F62">
      <w:pPr>
        <w:pStyle w:val="texto"/>
        <w:tabs>
          <w:tab w:val="clear" w:pos="2835"/>
          <w:tab w:val="clear" w:pos="3969"/>
          <w:tab w:val="clear" w:pos="5103"/>
          <w:tab w:val="clear" w:pos="6237"/>
          <w:tab w:val="clear" w:pos="7371"/>
        </w:tabs>
        <w:spacing w:after="240"/>
        <w:ind w:firstLine="0"/>
        <w:rPr>
          <w:rFonts w:eastAsia="Calibri"/>
          <w:lang w:eastAsia="es-ES"/>
        </w:rPr>
        <w:sectPr w:rsidR="004D1898" w:rsidSect="005302D8">
          <w:footerReference w:type="default" r:id="rId16"/>
          <w:pgSz w:w="16840" w:h="11907" w:orient="landscape" w:code="9"/>
          <w:pgMar w:top="1559" w:right="2109" w:bottom="1559" w:left="1644" w:header="369" w:footer="136" w:gutter="0"/>
          <w:cols w:space="720"/>
          <w:docGrid w:linePitch="360"/>
        </w:sectPr>
      </w:pPr>
    </w:p>
    <w:p w:rsidR="00564F2D" w:rsidRDefault="00564F2D" w:rsidP="00875F62">
      <w:pPr>
        <w:pStyle w:val="texto"/>
        <w:tabs>
          <w:tab w:val="clear" w:pos="2835"/>
          <w:tab w:val="clear" w:pos="3969"/>
          <w:tab w:val="clear" w:pos="5103"/>
          <w:tab w:val="clear" w:pos="6237"/>
          <w:tab w:val="clear" w:pos="7371"/>
        </w:tabs>
        <w:spacing w:after="240"/>
        <w:ind w:firstLine="0"/>
        <w:rPr>
          <w:rFonts w:eastAsia="Calibri"/>
          <w:lang w:eastAsia="es-ES"/>
        </w:rPr>
      </w:pPr>
    </w:p>
    <w:p w:rsidR="004D1898" w:rsidRDefault="004D1898" w:rsidP="00875F62">
      <w:pPr>
        <w:pStyle w:val="texto"/>
        <w:tabs>
          <w:tab w:val="clear" w:pos="2835"/>
          <w:tab w:val="clear" w:pos="3969"/>
          <w:tab w:val="clear" w:pos="5103"/>
          <w:tab w:val="clear" w:pos="6237"/>
          <w:tab w:val="clear" w:pos="7371"/>
        </w:tabs>
        <w:spacing w:after="240"/>
        <w:ind w:firstLine="0"/>
        <w:rPr>
          <w:rFonts w:eastAsia="Calibri"/>
          <w:lang w:eastAsia="es-ES"/>
        </w:rPr>
      </w:pPr>
    </w:p>
    <w:p w:rsidR="004D1898" w:rsidRDefault="004D1898" w:rsidP="00875F62">
      <w:pPr>
        <w:pStyle w:val="texto"/>
        <w:tabs>
          <w:tab w:val="clear" w:pos="2835"/>
          <w:tab w:val="clear" w:pos="3969"/>
          <w:tab w:val="clear" w:pos="5103"/>
          <w:tab w:val="clear" w:pos="6237"/>
          <w:tab w:val="clear" w:pos="7371"/>
        </w:tabs>
        <w:spacing w:after="240"/>
        <w:ind w:firstLine="0"/>
        <w:rPr>
          <w:rFonts w:eastAsia="Calibri"/>
          <w:lang w:eastAsia="es-ES"/>
        </w:rPr>
      </w:pPr>
    </w:p>
    <w:p w:rsidR="004D1898" w:rsidRDefault="004D1898" w:rsidP="00875F62">
      <w:pPr>
        <w:pStyle w:val="texto"/>
        <w:tabs>
          <w:tab w:val="clear" w:pos="2835"/>
          <w:tab w:val="clear" w:pos="3969"/>
          <w:tab w:val="clear" w:pos="5103"/>
          <w:tab w:val="clear" w:pos="6237"/>
          <w:tab w:val="clear" w:pos="7371"/>
        </w:tabs>
        <w:spacing w:after="240"/>
        <w:ind w:firstLine="0"/>
        <w:rPr>
          <w:rFonts w:eastAsia="Calibri"/>
          <w:lang w:eastAsia="es-ES"/>
        </w:rPr>
      </w:pPr>
    </w:p>
    <w:p w:rsidR="004D1898" w:rsidRDefault="004D1898" w:rsidP="00875F62">
      <w:pPr>
        <w:pStyle w:val="texto"/>
        <w:tabs>
          <w:tab w:val="clear" w:pos="2835"/>
          <w:tab w:val="clear" w:pos="3969"/>
          <w:tab w:val="clear" w:pos="5103"/>
          <w:tab w:val="clear" w:pos="6237"/>
          <w:tab w:val="clear" w:pos="7371"/>
        </w:tabs>
        <w:spacing w:after="240"/>
        <w:ind w:firstLine="0"/>
        <w:rPr>
          <w:rFonts w:eastAsia="Calibri"/>
          <w:lang w:eastAsia="es-ES"/>
        </w:rPr>
      </w:pPr>
    </w:p>
    <w:p w:rsidR="00C05004" w:rsidRDefault="004D1898" w:rsidP="004D1898">
      <w:pPr>
        <w:pStyle w:val="atitulo1"/>
        <w:ind w:left="1512" w:right="29"/>
        <w:rPr>
          <w:rFonts w:ascii="Arial (W1)" w:hAnsi="Arial (W1)"/>
          <w:spacing w:val="-2"/>
          <w:sz w:val="32"/>
          <w:szCs w:val="32"/>
        </w:rPr>
      </w:pPr>
      <w:bookmarkStart w:id="28" w:name="_Toc441141972"/>
      <w:r w:rsidRPr="00561D26">
        <w:rPr>
          <w:rFonts w:ascii="Arial (W1)" w:hAnsi="Arial (W1)"/>
          <w:spacing w:val="-2"/>
          <w:sz w:val="32"/>
          <w:szCs w:val="32"/>
        </w:rPr>
        <w:t>Alegaciones formuladas al informe provisional</w:t>
      </w:r>
      <w:bookmarkEnd w:id="28"/>
    </w:p>
    <w:p w:rsidR="00E130D8" w:rsidRPr="004E6132" w:rsidRDefault="00E130D8" w:rsidP="00E130D8">
      <w:pPr>
        <w:spacing w:before="75" w:line="341" w:lineRule="auto"/>
        <w:ind w:left="2935" w:right="797" w:hanging="2678"/>
        <w:rPr>
          <w:rFonts w:ascii="Helvetica LT Std" w:eastAsia="Arial" w:hAnsi="Helvetica LT Std" w:cs="Arial"/>
          <w:sz w:val="19"/>
          <w:szCs w:val="19"/>
          <w:lang w:val="es-ES"/>
        </w:rPr>
      </w:pPr>
      <w:r w:rsidRPr="004E6132">
        <w:rPr>
          <w:rFonts w:ascii="Helvetica LT Std" w:hAnsi="Helvetica LT Std"/>
          <w:b/>
          <w:color w:val="181818"/>
          <w:sz w:val="19"/>
          <w:szCs w:val="19"/>
          <w:lang w:val="es-ES"/>
        </w:rPr>
        <w:t>Alegación/Explicación Informe provisional sobre resultados de la operación de co</w:t>
      </w:r>
      <w:r w:rsidRPr="004E6132">
        <w:rPr>
          <w:rFonts w:ascii="Helvetica LT Std" w:hAnsi="Helvetica LT Std"/>
          <w:b/>
          <w:color w:val="181818"/>
          <w:sz w:val="19"/>
          <w:szCs w:val="19"/>
          <w:lang w:val="es-ES"/>
        </w:rPr>
        <w:t>m</w:t>
      </w:r>
      <w:r w:rsidRPr="004E6132">
        <w:rPr>
          <w:rFonts w:ascii="Helvetica LT Std" w:hAnsi="Helvetica LT Std"/>
          <w:b/>
          <w:color w:val="181818"/>
          <w:sz w:val="19"/>
          <w:szCs w:val="19"/>
          <w:lang w:val="es-ES"/>
        </w:rPr>
        <w:t xml:space="preserve">pra-venta de acciones de </w:t>
      </w:r>
      <w:proofErr w:type="spellStart"/>
      <w:r w:rsidRPr="004E6132">
        <w:rPr>
          <w:rFonts w:ascii="Helvetica LT Std" w:hAnsi="Helvetica LT Std"/>
          <w:b/>
          <w:color w:val="181818"/>
          <w:sz w:val="19"/>
          <w:szCs w:val="19"/>
          <w:lang w:val="es-ES"/>
        </w:rPr>
        <w:t>lberdrola</w:t>
      </w:r>
      <w:proofErr w:type="spellEnd"/>
      <w:r w:rsidRPr="004E6132">
        <w:rPr>
          <w:rFonts w:ascii="Helvetica LT Std" w:hAnsi="Helvetica LT Std"/>
          <w:b/>
          <w:color w:val="181818"/>
          <w:sz w:val="19"/>
          <w:szCs w:val="19"/>
          <w:lang w:val="es-ES"/>
        </w:rPr>
        <w:t xml:space="preserve"> 2005-2014</w:t>
      </w:r>
    </w:p>
    <w:p w:rsidR="00E130D8" w:rsidRPr="004E6132" w:rsidRDefault="00E130D8" w:rsidP="00E130D8">
      <w:pPr>
        <w:pStyle w:val="Textoindependiente"/>
        <w:spacing w:line="276" w:lineRule="auto"/>
        <w:ind w:right="729"/>
        <w:rPr>
          <w:rFonts w:ascii="Helvetica LT Std" w:hAnsi="Helvetica LT Std"/>
          <w:lang w:val="es-ES"/>
        </w:rPr>
      </w:pPr>
      <w:r w:rsidRPr="004E6132">
        <w:rPr>
          <w:rFonts w:ascii="Helvetica LT Std" w:hAnsi="Helvetica LT Std"/>
          <w:color w:val="181818"/>
          <w:sz w:val="19"/>
          <w:szCs w:val="19"/>
          <w:lang w:val="es-ES"/>
        </w:rPr>
        <w:t>Una vez leído el Informe de referencia me parece de interés</w:t>
      </w:r>
      <w:r w:rsidRPr="004E6132">
        <w:rPr>
          <w:rFonts w:ascii="Helvetica LT Std" w:hAnsi="Helvetica LT Std"/>
          <w:color w:val="181818"/>
          <w:lang w:val="es-ES"/>
        </w:rPr>
        <w:t xml:space="preserve"> </w:t>
      </w:r>
      <w:r w:rsidRPr="004E6132">
        <w:rPr>
          <w:rFonts w:ascii="Helvetica LT Std" w:hAnsi="Helvetica LT Std"/>
          <w:color w:val="181818"/>
          <w:sz w:val="19"/>
          <w:szCs w:val="19"/>
          <w:lang w:val="es-ES"/>
        </w:rPr>
        <w:t>realizar</w:t>
      </w:r>
      <w:r w:rsidRPr="004E6132">
        <w:rPr>
          <w:rFonts w:ascii="Helvetica LT Std" w:hAnsi="Helvetica LT Std"/>
          <w:color w:val="181818"/>
          <w:lang w:val="es-ES"/>
        </w:rPr>
        <w:t xml:space="preserve"> </w:t>
      </w:r>
      <w:r w:rsidRPr="004E6132">
        <w:rPr>
          <w:rFonts w:ascii="Helvetica LT Std" w:hAnsi="Helvetica LT Std"/>
          <w:color w:val="181818"/>
          <w:sz w:val="19"/>
          <w:szCs w:val="19"/>
          <w:lang w:val="es-ES"/>
        </w:rPr>
        <w:t>las</w:t>
      </w:r>
      <w:r w:rsidRPr="004E6132">
        <w:rPr>
          <w:rFonts w:ascii="Helvetica LT Std" w:hAnsi="Helvetica LT Std"/>
          <w:color w:val="181818"/>
          <w:lang w:val="es-ES"/>
        </w:rPr>
        <w:t xml:space="preserve"> </w:t>
      </w:r>
      <w:r w:rsidRPr="004E6132">
        <w:rPr>
          <w:rFonts w:ascii="Helvetica LT Std" w:hAnsi="Helvetica LT Std"/>
          <w:color w:val="181818"/>
          <w:sz w:val="19"/>
          <w:szCs w:val="19"/>
          <w:lang w:val="es-ES"/>
        </w:rPr>
        <w:t>siguientes matizaci</w:t>
      </w:r>
      <w:r w:rsidRPr="004E6132">
        <w:rPr>
          <w:rFonts w:ascii="Helvetica LT Std" w:hAnsi="Helvetica LT Std"/>
          <w:color w:val="181818"/>
          <w:sz w:val="19"/>
          <w:szCs w:val="19"/>
          <w:lang w:val="es-ES"/>
        </w:rPr>
        <w:t>o</w:t>
      </w:r>
      <w:r w:rsidRPr="004E6132">
        <w:rPr>
          <w:rFonts w:ascii="Helvetica LT Std" w:hAnsi="Helvetica LT Std"/>
          <w:color w:val="181818"/>
          <w:sz w:val="19"/>
          <w:szCs w:val="19"/>
          <w:lang w:val="es-ES"/>
        </w:rPr>
        <w:t>nes:</w:t>
      </w:r>
    </w:p>
    <w:p w:rsidR="00E130D8" w:rsidRPr="00E130D8" w:rsidRDefault="00E130D8" w:rsidP="00E130D8">
      <w:pPr>
        <w:pStyle w:val="Textoindependiente"/>
        <w:spacing w:line="276" w:lineRule="auto"/>
        <w:rPr>
          <w:rFonts w:ascii="Helvetica LT Std" w:hAnsi="Helvetica LT Std"/>
          <w:color w:val="181818"/>
          <w:sz w:val="19"/>
          <w:szCs w:val="19"/>
          <w:lang w:val="es-ES"/>
        </w:rPr>
      </w:pPr>
      <w:r w:rsidRPr="004E6132">
        <w:rPr>
          <w:rFonts w:ascii="Helvetica LT Std" w:hAnsi="Helvetica LT Std"/>
          <w:color w:val="181818"/>
          <w:sz w:val="19"/>
          <w:szCs w:val="19"/>
          <w:lang w:val="es-ES"/>
        </w:rPr>
        <w:t>1º.- El coste de la cobertura de la operación explicitada en la página 4 del informe era NULO.</w:t>
      </w:r>
    </w:p>
    <w:p w:rsidR="00E130D8" w:rsidRPr="00E130D8" w:rsidRDefault="00E130D8" w:rsidP="00E130D8">
      <w:pPr>
        <w:pStyle w:val="Textoindependiente"/>
        <w:spacing w:line="276" w:lineRule="auto"/>
        <w:ind w:left="157" w:right="714" w:firstLine="23"/>
        <w:rPr>
          <w:rFonts w:ascii="Helvetica LT Std" w:hAnsi="Helvetica LT Std"/>
          <w:color w:val="181818"/>
          <w:sz w:val="19"/>
          <w:szCs w:val="19"/>
          <w:lang w:val="es-ES"/>
        </w:rPr>
      </w:pPr>
      <w:r w:rsidRPr="004E6132">
        <w:rPr>
          <w:rFonts w:ascii="Helvetica LT Std" w:hAnsi="Helvetica LT Std"/>
          <w:color w:val="181818"/>
          <w:sz w:val="19"/>
          <w:szCs w:val="19"/>
          <w:lang w:val="es-ES"/>
        </w:rPr>
        <w:t xml:space="preserve">El importe que </w:t>
      </w:r>
      <w:proofErr w:type="spellStart"/>
      <w:r w:rsidRPr="004E6132">
        <w:rPr>
          <w:rFonts w:ascii="Helvetica LT Std" w:hAnsi="Helvetica LT Std"/>
          <w:color w:val="181818"/>
          <w:sz w:val="19"/>
          <w:szCs w:val="19"/>
          <w:lang w:val="es-ES"/>
        </w:rPr>
        <w:t>Sodena</w:t>
      </w:r>
      <w:proofErr w:type="spellEnd"/>
      <w:r w:rsidRPr="004E6132">
        <w:rPr>
          <w:rFonts w:ascii="Helvetica LT Std" w:hAnsi="Helvetica LT Std"/>
          <w:color w:val="181818"/>
          <w:sz w:val="19"/>
          <w:szCs w:val="19"/>
          <w:lang w:val="es-ES"/>
        </w:rPr>
        <w:t xml:space="preserve"> tendría que haber pagado por la compra de 9.015.492 opciones de venta (</w:t>
      </w:r>
      <w:proofErr w:type="spellStart"/>
      <w:r w:rsidRPr="004E6132">
        <w:rPr>
          <w:rFonts w:ascii="Helvetica LT Std" w:hAnsi="Helvetica LT Std"/>
          <w:color w:val="181818"/>
          <w:sz w:val="19"/>
          <w:szCs w:val="19"/>
          <w:lang w:val="es-ES"/>
        </w:rPr>
        <w:t>put</w:t>
      </w:r>
      <w:proofErr w:type="spellEnd"/>
      <w:r w:rsidRPr="004E6132">
        <w:rPr>
          <w:rFonts w:ascii="Helvetica LT Std" w:hAnsi="Helvetica LT Std"/>
          <w:color w:val="181818"/>
          <w:sz w:val="19"/>
          <w:szCs w:val="19"/>
          <w:lang w:val="es-ES"/>
        </w:rPr>
        <w:t>) a un precio de 19,25</w:t>
      </w:r>
      <w:r w:rsidRPr="00E130D8">
        <w:rPr>
          <w:rFonts w:ascii="Helvetica LT Std" w:hAnsi="Helvetica LT Std"/>
          <w:color w:val="181818"/>
          <w:sz w:val="19"/>
          <w:szCs w:val="19"/>
          <w:lang w:val="es-ES"/>
        </w:rPr>
        <w:t>€</w:t>
      </w:r>
      <w:r w:rsidRPr="004E6132">
        <w:rPr>
          <w:rFonts w:ascii="Helvetica LT Std" w:hAnsi="Helvetica LT Std"/>
          <w:color w:val="181818"/>
          <w:sz w:val="19"/>
          <w:szCs w:val="19"/>
          <w:lang w:val="es-ES"/>
        </w:rPr>
        <w:t xml:space="preserve"> la acción y vencimiento 18 de mayo de 2007, o lo que es lo mismo asegurarse en poder vender el 100% de las acciones compradas al precio de compra dos años más tarde </w:t>
      </w:r>
      <w:r w:rsidRPr="00E130D8">
        <w:rPr>
          <w:rFonts w:ascii="Helvetica LT Std" w:hAnsi="Helvetica LT Std"/>
          <w:color w:val="181818"/>
          <w:sz w:val="19"/>
          <w:szCs w:val="19"/>
          <w:lang w:val="es-ES"/>
        </w:rPr>
        <w:t>(19,25€</w:t>
      </w:r>
      <w:r w:rsidRPr="004E6132">
        <w:rPr>
          <w:rFonts w:ascii="Helvetica LT Std" w:hAnsi="Helvetica LT Std"/>
          <w:color w:val="181818"/>
          <w:sz w:val="19"/>
          <w:szCs w:val="19"/>
          <w:lang w:val="es-ES"/>
        </w:rPr>
        <w:t xml:space="preserve"> la acción) era el mismo que el importe a percibir por la venta de 5.011.712 opciones de compra (</w:t>
      </w:r>
      <w:proofErr w:type="spellStart"/>
      <w:r w:rsidRPr="004E6132">
        <w:rPr>
          <w:rFonts w:ascii="Helvetica LT Std" w:hAnsi="Helvetica LT Std"/>
          <w:color w:val="181818"/>
          <w:sz w:val="19"/>
          <w:szCs w:val="19"/>
          <w:lang w:val="es-ES"/>
        </w:rPr>
        <w:t>call</w:t>
      </w:r>
      <w:proofErr w:type="spellEnd"/>
      <w:r w:rsidRPr="004E6132">
        <w:rPr>
          <w:rFonts w:ascii="Helvetica LT Std" w:hAnsi="Helvetica LT Std"/>
          <w:color w:val="181818"/>
          <w:sz w:val="19"/>
          <w:szCs w:val="19"/>
          <w:lang w:val="es-ES"/>
        </w:rPr>
        <w:t>) a un precio de 20,67 euros la acción con el mismo ve</w:t>
      </w:r>
      <w:r w:rsidRPr="004E6132">
        <w:rPr>
          <w:rFonts w:ascii="Helvetica LT Std" w:hAnsi="Helvetica LT Std"/>
          <w:color w:val="181818"/>
          <w:sz w:val="19"/>
          <w:szCs w:val="19"/>
          <w:lang w:val="es-ES"/>
        </w:rPr>
        <w:t>n</w:t>
      </w:r>
      <w:r w:rsidRPr="004E6132">
        <w:rPr>
          <w:rFonts w:ascii="Helvetica LT Std" w:hAnsi="Helvetica LT Std"/>
          <w:color w:val="181818"/>
          <w:sz w:val="19"/>
          <w:szCs w:val="19"/>
          <w:lang w:val="es-ES"/>
        </w:rPr>
        <w:t>cimiento de 18 de mayo de 2007.</w:t>
      </w:r>
    </w:p>
    <w:p w:rsidR="00E130D8" w:rsidRPr="00E130D8" w:rsidRDefault="00E130D8" w:rsidP="00E130D8">
      <w:pPr>
        <w:pStyle w:val="Textoindependiente"/>
        <w:spacing w:line="276" w:lineRule="auto"/>
        <w:ind w:left="157" w:right="714" w:firstLine="23"/>
        <w:rPr>
          <w:rFonts w:ascii="Helvetica LT Std" w:hAnsi="Helvetica LT Std"/>
          <w:color w:val="181818"/>
          <w:sz w:val="19"/>
          <w:szCs w:val="19"/>
          <w:lang w:val="es-ES"/>
        </w:rPr>
      </w:pPr>
      <w:r w:rsidRPr="004E6132">
        <w:rPr>
          <w:rFonts w:ascii="Helvetica LT Std" w:hAnsi="Helvetica LT Std"/>
          <w:color w:val="181818"/>
          <w:sz w:val="19"/>
          <w:szCs w:val="19"/>
          <w:lang w:val="es-ES"/>
        </w:rPr>
        <w:t>20,67</w:t>
      </w:r>
      <w:r w:rsidRPr="00E130D8">
        <w:rPr>
          <w:rFonts w:ascii="Helvetica LT Std" w:hAnsi="Helvetica LT Std"/>
          <w:color w:val="181818"/>
          <w:sz w:val="19"/>
          <w:szCs w:val="19"/>
          <w:lang w:val="es-ES"/>
        </w:rPr>
        <w:t>€</w:t>
      </w:r>
      <w:r w:rsidRPr="004E6132">
        <w:rPr>
          <w:rFonts w:ascii="Helvetica LT Std" w:hAnsi="Helvetica LT Std"/>
          <w:color w:val="181818"/>
          <w:sz w:val="19"/>
          <w:szCs w:val="19"/>
          <w:lang w:val="es-ES"/>
        </w:rPr>
        <w:t xml:space="preserve"> la acción era el precio de cotización el día de la cobertura, 26 de mayo de 2005 19,25</w:t>
      </w:r>
      <w:r w:rsidRPr="00E130D8">
        <w:rPr>
          <w:rFonts w:ascii="Helvetica LT Std" w:hAnsi="Helvetica LT Std"/>
          <w:color w:val="181818"/>
          <w:sz w:val="19"/>
          <w:szCs w:val="19"/>
          <w:lang w:val="es-ES"/>
        </w:rPr>
        <w:t>€</w:t>
      </w:r>
      <w:r w:rsidRPr="004E6132">
        <w:rPr>
          <w:rFonts w:ascii="Helvetica LT Std" w:hAnsi="Helvetica LT Std"/>
          <w:color w:val="181818"/>
          <w:sz w:val="19"/>
          <w:szCs w:val="19"/>
          <w:lang w:val="es-ES"/>
        </w:rPr>
        <w:t xml:space="preserve"> la acción fue el precio de compra de las acciones el 10 de febrero de 2005</w:t>
      </w:r>
    </w:p>
    <w:p w:rsidR="00E130D8" w:rsidRPr="00E130D8" w:rsidRDefault="00E130D8" w:rsidP="00E130D8">
      <w:pPr>
        <w:pStyle w:val="Textoindependiente"/>
        <w:spacing w:before="9" w:line="276" w:lineRule="auto"/>
        <w:ind w:left="162"/>
        <w:rPr>
          <w:rFonts w:ascii="Helvetica LT Std" w:hAnsi="Helvetica LT Std"/>
          <w:color w:val="181818"/>
          <w:sz w:val="19"/>
          <w:szCs w:val="19"/>
          <w:lang w:val="es-ES"/>
        </w:rPr>
      </w:pPr>
      <w:r w:rsidRPr="004E6132">
        <w:rPr>
          <w:rFonts w:ascii="Helvetica LT Std" w:hAnsi="Helvetica LT Std"/>
          <w:color w:val="181818"/>
          <w:sz w:val="19"/>
          <w:szCs w:val="19"/>
          <w:lang w:val="es-ES"/>
        </w:rPr>
        <w:t xml:space="preserve">De esta forma se aseguraba la operación al 100% sin coste para </w:t>
      </w:r>
      <w:proofErr w:type="spellStart"/>
      <w:r w:rsidRPr="004E6132">
        <w:rPr>
          <w:rFonts w:ascii="Helvetica LT Std" w:hAnsi="Helvetica LT Std"/>
          <w:color w:val="181818"/>
          <w:sz w:val="19"/>
          <w:szCs w:val="19"/>
          <w:lang w:val="es-ES"/>
        </w:rPr>
        <w:t>Sodena</w:t>
      </w:r>
      <w:proofErr w:type="spellEnd"/>
      <w:r w:rsidRPr="004E6132">
        <w:rPr>
          <w:rFonts w:ascii="Helvetica LT Std" w:hAnsi="Helvetica LT Std"/>
          <w:color w:val="181818"/>
          <w:sz w:val="19"/>
          <w:szCs w:val="19"/>
          <w:lang w:val="es-ES"/>
        </w:rPr>
        <w:t>.</w:t>
      </w:r>
    </w:p>
    <w:p w:rsidR="00E130D8" w:rsidRPr="00E130D8" w:rsidRDefault="00E130D8" w:rsidP="00E130D8">
      <w:pPr>
        <w:pStyle w:val="Textoindependiente"/>
        <w:spacing w:line="276" w:lineRule="auto"/>
        <w:ind w:left="143" w:right="733"/>
        <w:rPr>
          <w:rFonts w:ascii="Helvetica LT Std" w:hAnsi="Helvetica LT Std"/>
          <w:color w:val="181818"/>
          <w:sz w:val="19"/>
          <w:szCs w:val="19"/>
          <w:lang w:val="es-ES"/>
        </w:rPr>
      </w:pPr>
      <w:r w:rsidRPr="004E6132">
        <w:rPr>
          <w:rFonts w:ascii="Helvetica LT Std" w:hAnsi="Helvetica LT Std"/>
          <w:color w:val="181818"/>
          <w:sz w:val="19"/>
          <w:szCs w:val="19"/>
          <w:lang w:val="es-ES"/>
        </w:rPr>
        <w:t>Si al vencimiento, 18 de mayo de 2007, la acción cotizase por encima de 20,67€, como rea</w:t>
      </w:r>
      <w:r w:rsidRPr="004E6132">
        <w:rPr>
          <w:rFonts w:ascii="Helvetica LT Std" w:hAnsi="Helvetica LT Std"/>
          <w:color w:val="181818"/>
          <w:sz w:val="19"/>
          <w:szCs w:val="19"/>
          <w:lang w:val="es-ES"/>
        </w:rPr>
        <w:t>l</w:t>
      </w:r>
      <w:r w:rsidRPr="004E6132">
        <w:rPr>
          <w:rFonts w:ascii="Helvetica LT Std" w:hAnsi="Helvetica LT Std"/>
          <w:color w:val="181818"/>
          <w:sz w:val="19"/>
          <w:szCs w:val="19"/>
          <w:lang w:val="es-ES"/>
        </w:rPr>
        <w:t xml:space="preserve">mente ocurrió, la entidad financiera aseguradora ejercería la </w:t>
      </w:r>
      <w:proofErr w:type="spellStart"/>
      <w:r w:rsidRPr="004E6132">
        <w:rPr>
          <w:rFonts w:ascii="Helvetica LT Std" w:hAnsi="Helvetica LT Std"/>
          <w:color w:val="181818"/>
          <w:sz w:val="19"/>
          <w:szCs w:val="19"/>
          <w:lang w:val="es-ES"/>
        </w:rPr>
        <w:t>call</w:t>
      </w:r>
      <w:proofErr w:type="spellEnd"/>
      <w:r w:rsidRPr="004E6132">
        <w:rPr>
          <w:rFonts w:ascii="Helvetica LT Std" w:hAnsi="Helvetica LT Std"/>
          <w:color w:val="181818"/>
          <w:sz w:val="19"/>
          <w:szCs w:val="19"/>
          <w:lang w:val="es-ES"/>
        </w:rPr>
        <w:t xml:space="preserve"> al precio de</w:t>
      </w:r>
      <w:r w:rsidRPr="00E130D8">
        <w:rPr>
          <w:rFonts w:ascii="Helvetica LT Std" w:hAnsi="Helvetica LT Std"/>
          <w:color w:val="181818"/>
          <w:sz w:val="19"/>
          <w:szCs w:val="19"/>
          <w:lang w:val="es-ES"/>
        </w:rPr>
        <w:t xml:space="preserve"> </w:t>
      </w:r>
      <w:r w:rsidRPr="004E6132">
        <w:rPr>
          <w:rFonts w:ascii="Helvetica LT Std" w:hAnsi="Helvetica LT Std"/>
          <w:color w:val="181818"/>
          <w:sz w:val="19"/>
          <w:szCs w:val="19"/>
          <w:lang w:val="es-ES"/>
        </w:rPr>
        <w:t>20,67</w:t>
      </w:r>
      <w:r w:rsidRPr="00E130D8">
        <w:rPr>
          <w:rFonts w:ascii="Helvetica LT Std" w:hAnsi="Helvetica LT Std"/>
          <w:color w:val="181818"/>
          <w:sz w:val="19"/>
          <w:szCs w:val="19"/>
          <w:lang w:val="es-ES"/>
        </w:rPr>
        <w:t xml:space="preserve"> </w:t>
      </w:r>
      <w:r w:rsidRPr="004E6132">
        <w:rPr>
          <w:rFonts w:ascii="Helvetica LT Std" w:hAnsi="Helvetica LT Std"/>
          <w:color w:val="181818"/>
          <w:sz w:val="19"/>
          <w:szCs w:val="19"/>
          <w:lang w:val="es-ES"/>
        </w:rPr>
        <w:t xml:space="preserve">y </w:t>
      </w:r>
      <w:proofErr w:type="spellStart"/>
      <w:r w:rsidRPr="004E6132">
        <w:rPr>
          <w:rFonts w:ascii="Helvetica LT Std" w:hAnsi="Helvetica LT Std"/>
          <w:color w:val="181818"/>
          <w:sz w:val="19"/>
          <w:szCs w:val="19"/>
          <w:lang w:val="es-ES"/>
        </w:rPr>
        <w:t>Sodena</w:t>
      </w:r>
      <w:proofErr w:type="spellEnd"/>
      <w:r w:rsidRPr="004E6132">
        <w:rPr>
          <w:rFonts w:ascii="Helvetica LT Std" w:hAnsi="Helvetica LT Std"/>
          <w:color w:val="181818"/>
          <w:sz w:val="19"/>
          <w:szCs w:val="19"/>
          <w:lang w:val="es-ES"/>
        </w:rPr>
        <w:t xml:space="preserve"> tendría las acciones valoradas 5</w:t>
      </w:r>
      <w:r w:rsidRPr="00E130D8">
        <w:rPr>
          <w:rFonts w:ascii="Helvetica LT Std" w:hAnsi="Helvetica LT Std"/>
          <w:color w:val="181818"/>
          <w:sz w:val="19"/>
          <w:szCs w:val="19"/>
          <w:lang w:val="es-ES"/>
        </w:rPr>
        <w:t>.</w:t>
      </w:r>
      <w:r w:rsidRPr="004E6132">
        <w:rPr>
          <w:rFonts w:ascii="Helvetica LT Std" w:hAnsi="Helvetica LT Std"/>
          <w:color w:val="181818"/>
          <w:sz w:val="19"/>
          <w:szCs w:val="19"/>
          <w:lang w:val="es-ES"/>
        </w:rPr>
        <w:t>011.712 acciones a 20,67</w:t>
      </w:r>
      <w:r w:rsidRPr="00E130D8">
        <w:rPr>
          <w:rFonts w:ascii="Helvetica LT Std" w:hAnsi="Helvetica LT Std"/>
          <w:color w:val="181818"/>
          <w:sz w:val="19"/>
          <w:szCs w:val="19"/>
          <w:lang w:val="es-ES"/>
        </w:rPr>
        <w:t>€</w:t>
      </w:r>
      <w:r w:rsidRPr="004E6132">
        <w:rPr>
          <w:rFonts w:ascii="Helvetica LT Std" w:hAnsi="Helvetica LT Std"/>
          <w:color w:val="181818"/>
          <w:sz w:val="19"/>
          <w:szCs w:val="19"/>
          <w:lang w:val="es-ES"/>
        </w:rPr>
        <w:t xml:space="preserve"> y el resto, 4.003.780 acciones, al precio de mercado. Lógicamente si</w:t>
      </w:r>
      <w:r w:rsidRPr="00E130D8">
        <w:rPr>
          <w:rFonts w:ascii="Helvetica LT Std" w:hAnsi="Helvetica LT Std"/>
          <w:color w:val="181818"/>
          <w:sz w:val="19"/>
          <w:szCs w:val="19"/>
          <w:lang w:val="es-ES"/>
        </w:rPr>
        <w:t xml:space="preserve"> </w:t>
      </w:r>
      <w:r w:rsidRPr="004E6132">
        <w:rPr>
          <w:rFonts w:ascii="Helvetica LT Std" w:hAnsi="Helvetica LT Std"/>
          <w:color w:val="181818"/>
          <w:sz w:val="19"/>
          <w:szCs w:val="19"/>
          <w:lang w:val="es-ES"/>
        </w:rPr>
        <w:t>quisiera mantener</w:t>
      </w:r>
      <w:r w:rsidRPr="00E130D8">
        <w:rPr>
          <w:rFonts w:ascii="Helvetica LT Std" w:hAnsi="Helvetica LT Std"/>
          <w:color w:val="181818"/>
          <w:sz w:val="19"/>
          <w:szCs w:val="19"/>
          <w:lang w:val="es-ES"/>
        </w:rPr>
        <w:t xml:space="preserve"> </w:t>
      </w:r>
      <w:r w:rsidRPr="004E6132">
        <w:rPr>
          <w:rFonts w:ascii="Helvetica LT Std" w:hAnsi="Helvetica LT Std"/>
          <w:color w:val="181818"/>
          <w:sz w:val="19"/>
          <w:szCs w:val="19"/>
          <w:lang w:val="es-ES"/>
        </w:rPr>
        <w:t>el total</w:t>
      </w:r>
      <w:r w:rsidRPr="00E130D8">
        <w:rPr>
          <w:rFonts w:ascii="Helvetica LT Std" w:hAnsi="Helvetica LT Std"/>
          <w:color w:val="181818"/>
          <w:sz w:val="19"/>
          <w:szCs w:val="19"/>
          <w:lang w:val="es-ES"/>
        </w:rPr>
        <w:t xml:space="preserve"> </w:t>
      </w:r>
      <w:r w:rsidRPr="004E6132">
        <w:rPr>
          <w:rFonts w:ascii="Helvetica LT Std" w:hAnsi="Helvetica LT Std"/>
          <w:color w:val="181818"/>
          <w:sz w:val="19"/>
          <w:szCs w:val="19"/>
          <w:lang w:val="es-ES"/>
        </w:rPr>
        <w:t>de</w:t>
      </w:r>
      <w:r w:rsidRPr="00E130D8">
        <w:rPr>
          <w:rFonts w:ascii="Helvetica LT Std" w:hAnsi="Helvetica LT Std"/>
          <w:color w:val="181818"/>
          <w:sz w:val="19"/>
          <w:szCs w:val="19"/>
          <w:lang w:val="es-ES"/>
        </w:rPr>
        <w:t xml:space="preserve"> </w:t>
      </w:r>
      <w:r w:rsidRPr="004E6132">
        <w:rPr>
          <w:rFonts w:ascii="Helvetica LT Std" w:hAnsi="Helvetica LT Std"/>
          <w:color w:val="181818"/>
          <w:sz w:val="19"/>
          <w:szCs w:val="19"/>
          <w:lang w:val="es-ES"/>
        </w:rPr>
        <w:t>las acciones, como también fue, se tendría que pagar la diferencia entre el valor de cotización a la fecha y los 20,67</w:t>
      </w:r>
      <w:r w:rsidRPr="00E130D8">
        <w:rPr>
          <w:rFonts w:ascii="Helvetica LT Std" w:hAnsi="Helvetica LT Std"/>
          <w:color w:val="181818"/>
          <w:sz w:val="19"/>
          <w:szCs w:val="19"/>
          <w:lang w:val="es-ES"/>
        </w:rPr>
        <w:t>€</w:t>
      </w:r>
      <w:r w:rsidRPr="004E6132">
        <w:rPr>
          <w:rFonts w:ascii="Helvetica LT Std" w:hAnsi="Helvetica LT Std"/>
          <w:color w:val="181818"/>
          <w:sz w:val="19"/>
          <w:szCs w:val="19"/>
          <w:lang w:val="es-ES"/>
        </w:rPr>
        <w:t>. E</w:t>
      </w:r>
      <w:r w:rsidRPr="004E6132">
        <w:rPr>
          <w:rFonts w:ascii="Helvetica LT Std" w:hAnsi="Helvetica LT Std"/>
          <w:color w:val="181818"/>
          <w:sz w:val="19"/>
          <w:szCs w:val="19"/>
          <w:lang w:val="es-ES"/>
        </w:rPr>
        <w:t>s</w:t>
      </w:r>
      <w:r w:rsidRPr="004E6132">
        <w:rPr>
          <w:rFonts w:ascii="Helvetica LT Std" w:hAnsi="Helvetica LT Std"/>
          <w:color w:val="181818"/>
          <w:sz w:val="19"/>
          <w:szCs w:val="19"/>
          <w:lang w:val="es-ES"/>
        </w:rPr>
        <w:t>ta diferencia</w:t>
      </w:r>
      <w:r w:rsidRPr="00E130D8">
        <w:rPr>
          <w:rFonts w:ascii="Helvetica LT Std" w:hAnsi="Helvetica LT Std"/>
          <w:color w:val="181818"/>
          <w:sz w:val="19"/>
          <w:szCs w:val="19"/>
          <w:lang w:val="es-ES"/>
        </w:rPr>
        <w:t xml:space="preserve"> </w:t>
      </w:r>
      <w:r w:rsidRPr="004E6132">
        <w:rPr>
          <w:rFonts w:ascii="Helvetica LT Std" w:hAnsi="Helvetica LT Std"/>
          <w:color w:val="181818"/>
          <w:sz w:val="19"/>
          <w:szCs w:val="19"/>
          <w:lang w:val="es-ES"/>
        </w:rPr>
        <w:t>supuso el desembolso</w:t>
      </w:r>
      <w:r w:rsidRPr="00E130D8">
        <w:rPr>
          <w:rFonts w:ascii="Helvetica LT Std" w:hAnsi="Helvetica LT Std"/>
          <w:color w:val="181818"/>
          <w:sz w:val="19"/>
          <w:szCs w:val="19"/>
          <w:lang w:val="es-ES"/>
        </w:rPr>
        <w:t xml:space="preserve"> </w:t>
      </w:r>
      <w:r w:rsidRPr="004E6132">
        <w:rPr>
          <w:rFonts w:ascii="Helvetica LT Std" w:hAnsi="Helvetica LT Std"/>
          <w:color w:val="181818"/>
          <w:sz w:val="19"/>
          <w:szCs w:val="19"/>
          <w:lang w:val="es-ES"/>
        </w:rPr>
        <w:t>de 90.956.308</w:t>
      </w:r>
      <w:r w:rsidRPr="00E130D8">
        <w:rPr>
          <w:rFonts w:ascii="Helvetica LT Std" w:hAnsi="Helvetica LT Std"/>
          <w:color w:val="181818"/>
          <w:sz w:val="19"/>
          <w:szCs w:val="19"/>
          <w:lang w:val="es-ES"/>
        </w:rPr>
        <w:t>€</w:t>
      </w:r>
      <w:r w:rsidRPr="004E6132">
        <w:rPr>
          <w:rFonts w:ascii="Helvetica LT Std" w:hAnsi="Helvetica LT Std"/>
          <w:color w:val="181818"/>
          <w:sz w:val="19"/>
          <w:szCs w:val="19"/>
          <w:lang w:val="es-ES"/>
        </w:rPr>
        <w:t xml:space="preserve"> ya que la acción cotizaba</w:t>
      </w:r>
      <w:r w:rsidRPr="00E130D8">
        <w:rPr>
          <w:rFonts w:ascii="Helvetica LT Std" w:hAnsi="Helvetica LT Std"/>
          <w:color w:val="181818"/>
          <w:sz w:val="19"/>
          <w:szCs w:val="19"/>
          <w:lang w:val="es-ES"/>
        </w:rPr>
        <w:t xml:space="preserve"> </w:t>
      </w:r>
      <w:r w:rsidRPr="004E6132">
        <w:rPr>
          <w:rFonts w:ascii="Helvetica LT Std" w:hAnsi="Helvetica LT Std"/>
          <w:color w:val="181818"/>
          <w:sz w:val="19"/>
          <w:szCs w:val="19"/>
          <w:lang w:val="es-ES"/>
        </w:rPr>
        <w:t>a</w:t>
      </w:r>
      <w:r w:rsidRPr="00E130D8">
        <w:rPr>
          <w:rFonts w:ascii="Helvetica LT Std" w:hAnsi="Helvetica LT Std"/>
          <w:color w:val="181818"/>
          <w:sz w:val="19"/>
          <w:szCs w:val="19"/>
          <w:lang w:val="es-ES"/>
        </w:rPr>
        <w:t xml:space="preserve"> </w:t>
      </w:r>
      <w:r w:rsidRPr="004E6132">
        <w:rPr>
          <w:rFonts w:ascii="Helvetica LT Std" w:hAnsi="Helvetica LT Std"/>
          <w:color w:val="181818"/>
          <w:sz w:val="19"/>
          <w:szCs w:val="19"/>
          <w:lang w:val="es-ES"/>
        </w:rPr>
        <w:t>38,82</w:t>
      </w:r>
      <w:r w:rsidRPr="00E130D8">
        <w:rPr>
          <w:rFonts w:ascii="Helvetica LT Std" w:hAnsi="Helvetica LT Std"/>
          <w:color w:val="181818"/>
          <w:sz w:val="19"/>
          <w:szCs w:val="19"/>
          <w:lang w:val="es-ES"/>
        </w:rPr>
        <w:t>€</w:t>
      </w:r>
      <w:r w:rsidRPr="004E6132">
        <w:rPr>
          <w:rFonts w:ascii="Helvetica LT Std" w:hAnsi="Helvetica LT Std"/>
          <w:color w:val="181818"/>
          <w:sz w:val="19"/>
          <w:szCs w:val="19"/>
          <w:lang w:val="es-ES"/>
        </w:rPr>
        <w:t>.</w:t>
      </w:r>
    </w:p>
    <w:p w:rsidR="00E130D8" w:rsidRPr="00E130D8" w:rsidRDefault="00E130D8" w:rsidP="00E130D8">
      <w:pPr>
        <w:pStyle w:val="Textoindependiente"/>
        <w:spacing w:line="276" w:lineRule="auto"/>
        <w:ind w:left="138" w:right="735" w:firstLine="9"/>
        <w:rPr>
          <w:rFonts w:ascii="Helvetica LT Std" w:hAnsi="Helvetica LT Std"/>
          <w:color w:val="181818"/>
          <w:sz w:val="19"/>
          <w:szCs w:val="19"/>
          <w:lang w:val="es-ES"/>
        </w:rPr>
      </w:pPr>
      <w:r w:rsidRPr="004E6132">
        <w:rPr>
          <w:rFonts w:ascii="Helvetica LT Std" w:hAnsi="Helvetica LT Std"/>
          <w:color w:val="181818"/>
          <w:sz w:val="19"/>
          <w:szCs w:val="19"/>
          <w:lang w:val="es-ES"/>
        </w:rPr>
        <w:t xml:space="preserve">En este momento la plusvalía para </w:t>
      </w:r>
      <w:proofErr w:type="spellStart"/>
      <w:r w:rsidRPr="004E6132">
        <w:rPr>
          <w:rFonts w:ascii="Helvetica LT Std" w:hAnsi="Helvetica LT Std"/>
          <w:color w:val="181818"/>
          <w:sz w:val="19"/>
          <w:szCs w:val="19"/>
          <w:lang w:val="es-ES"/>
        </w:rPr>
        <w:t>Sodena</w:t>
      </w:r>
      <w:proofErr w:type="spellEnd"/>
      <w:r w:rsidRPr="004E6132">
        <w:rPr>
          <w:rFonts w:ascii="Helvetica LT Std" w:hAnsi="Helvetica LT Std"/>
          <w:color w:val="181818"/>
          <w:sz w:val="19"/>
          <w:szCs w:val="19"/>
          <w:lang w:val="es-ES"/>
        </w:rPr>
        <w:t>, caso de haber vendido todas las acciones hubi</w:t>
      </w:r>
      <w:r w:rsidRPr="004E6132">
        <w:rPr>
          <w:rFonts w:ascii="Helvetica LT Std" w:hAnsi="Helvetica LT Std"/>
          <w:color w:val="181818"/>
          <w:sz w:val="19"/>
          <w:szCs w:val="19"/>
          <w:lang w:val="es-ES"/>
        </w:rPr>
        <w:t>e</w:t>
      </w:r>
      <w:r w:rsidRPr="004E6132">
        <w:rPr>
          <w:rFonts w:ascii="Helvetica LT Std" w:hAnsi="Helvetica LT Std"/>
          <w:color w:val="181818"/>
          <w:sz w:val="19"/>
          <w:szCs w:val="19"/>
          <w:lang w:val="es-ES"/>
        </w:rPr>
        <w:t>ra sido 176.425.161</w:t>
      </w:r>
      <w:r w:rsidRPr="00E130D8">
        <w:rPr>
          <w:rFonts w:ascii="Helvetica LT Std" w:hAnsi="Helvetica LT Std"/>
          <w:color w:val="181818"/>
          <w:sz w:val="19"/>
          <w:szCs w:val="19"/>
          <w:lang w:val="es-ES"/>
        </w:rPr>
        <w:t>€</w:t>
      </w:r>
      <w:r w:rsidRPr="004E6132">
        <w:rPr>
          <w:rFonts w:ascii="Helvetica LT Std" w:hAnsi="Helvetica LT Std"/>
          <w:color w:val="181818"/>
          <w:sz w:val="19"/>
          <w:szCs w:val="19"/>
          <w:lang w:val="es-ES"/>
        </w:rPr>
        <w:t xml:space="preserve"> si no hubiera existido cobertura y 85.468.853</w:t>
      </w:r>
      <w:r w:rsidRPr="00E130D8">
        <w:rPr>
          <w:rFonts w:ascii="Helvetica LT Std" w:hAnsi="Helvetica LT Std"/>
          <w:color w:val="181818"/>
          <w:sz w:val="19"/>
          <w:szCs w:val="19"/>
          <w:lang w:val="es-ES"/>
        </w:rPr>
        <w:t>€</w:t>
      </w:r>
      <w:r w:rsidRPr="004E6132">
        <w:rPr>
          <w:rFonts w:ascii="Helvetica LT Std" w:hAnsi="Helvetica LT Std"/>
          <w:color w:val="181818"/>
          <w:sz w:val="19"/>
          <w:szCs w:val="19"/>
          <w:lang w:val="es-ES"/>
        </w:rPr>
        <w:t xml:space="preserve"> después de liquidar la cobertura indicada</w:t>
      </w:r>
      <w:r w:rsidRPr="00E130D8">
        <w:rPr>
          <w:rFonts w:ascii="Helvetica LT Std" w:hAnsi="Helvetica LT Std"/>
          <w:color w:val="181818"/>
          <w:sz w:val="19"/>
          <w:szCs w:val="19"/>
          <w:lang w:val="es-ES"/>
        </w:rPr>
        <w:t xml:space="preserve">. </w:t>
      </w:r>
      <w:r w:rsidRPr="004E6132">
        <w:rPr>
          <w:rFonts w:ascii="Helvetica LT Std" w:hAnsi="Helvetica LT Std"/>
          <w:color w:val="181818"/>
          <w:sz w:val="19"/>
          <w:szCs w:val="19"/>
          <w:lang w:val="es-ES"/>
        </w:rPr>
        <w:t>Con un coste de compra de 173</w:t>
      </w:r>
      <w:r w:rsidRPr="00E130D8">
        <w:rPr>
          <w:rFonts w:ascii="Helvetica LT Std" w:hAnsi="Helvetica LT Std"/>
          <w:color w:val="181818"/>
          <w:sz w:val="19"/>
          <w:szCs w:val="19"/>
          <w:lang w:val="es-ES"/>
        </w:rPr>
        <w:t>.</w:t>
      </w:r>
      <w:r w:rsidRPr="004E6132">
        <w:rPr>
          <w:rFonts w:ascii="Helvetica LT Std" w:hAnsi="Helvetica LT Std"/>
          <w:color w:val="181818"/>
          <w:sz w:val="19"/>
          <w:szCs w:val="19"/>
          <w:lang w:val="es-ES"/>
        </w:rPr>
        <w:t>556.238€.</w:t>
      </w:r>
    </w:p>
    <w:p w:rsidR="00E130D8" w:rsidRPr="00E130D8" w:rsidRDefault="00E130D8" w:rsidP="00E130D8">
      <w:pPr>
        <w:pStyle w:val="Textoindependiente"/>
        <w:spacing w:line="276" w:lineRule="auto"/>
        <w:ind w:left="128" w:right="738" w:firstLine="14"/>
        <w:rPr>
          <w:rFonts w:ascii="Helvetica LT Std" w:hAnsi="Helvetica LT Std"/>
          <w:color w:val="181818"/>
          <w:sz w:val="19"/>
          <w:szCs w:val="19"/>
          <w:lang w:val="es-ES"/>
        </w:rPr>
      </w:pPr>
      <w:r w:rsidRPr="004E6132">
        <w:rPr>
          <w:rFonts w:ascii="Helvetica LT Std" w:hAnsi="Helvetica LT Std"/>
          <w:color w:val="181818"/>
          <w:sz w:val="19"/>
          <w:szCs w:val="19"/>
          <w:lang w:val="es-ES"/>
        </w:rPr>
        <w:t xml:space="preserve">Por el contrario si al vencimiento, 18 de mayo de 2007, la acción hubiera cotizado por debajo de los 19,25€, </w:t>
      </w:r>
      <w:proofErr w:type="spellStart"/>
      <w:r w:rsidRPr="004E6132">
        <w:rPr>
          <w:rFonts w:ascii="Helvetica LT Std" w:hAnsi="Helvetica LT Std"/>
          <w:color w:val="181818"/>
          <w:sz w:val="19"/>
          <w:szCs w:val="19"/>
          <w:lang w:val="es-ES"/>
        </w:rPr>
        <w:t>Sodena</w:t>
      </w:r>
      <w:proofErr w:type="spellEnd"/>
      <w:r w:rsidRPr="004E6132">
        <w:rPr>
          <w:rFonts w:ascii="Helvetica LT Std" w:hAnsi="Helvetica LT Std"/>
          <w:color w:val="181818"/>
          <w:sz w:val="19"/>
          <w:szCs w:val="19"/>
          <w:lang w:val="es-ES"/>
        </w:rPr>
        <w:t xml:space="preserve"> es la que hubiera ejecutado las opciones </w:t>
      </w:r>
      <w:proofErr w:type="spellStart"/>
      <w:r w:rsidRPr="004E6132">
        <w:rPr>
          <w:rFonts w:ascii="Helvetica LT Std" w:hAnsi="Helvetica LT Std"/>
          <w:color w:val="181818"/>
          <w:sz w:val="19"/>
          <w:szCs w:val="19"/>
          <w:lang w:val="es-ES"/>
        </w:rPr>
        <w:t>put</w:t>
      </w:r>
      <w:proofErr w:type="spellEnd"/>
      <w:r w:rsidRPr="004E6132">
        <w:rPr>
          <w:rFonts w:ascii="Helvetica LT Std" w:hAnsi="Helvetica LT Std"/>
          <w:color w:val="181818"/>
          <w:sz w:val="19"/>
          <w:szCs w:val="19"/>
          <w:lang w:val="es-ES"/>
        </w:rPr>
        <w:t xml:space="preserve"> de venta de acciones al precio de compra de 1</w:t>
      </w:r>
      <w:r w:rsidRPr="00E130D8">
        <w:rPr>
          <w:rFonts w:ascii="Helvetica LT Std" w:hAnsi="Helvetica LT Std"/>
          <w:color w:val="181818"/>
          <w:sz w:val="19"/>
          <w:szCs w:val="19"/>
          <w:lang w:val="es-ES"/>
        </w:rPr>
        <w:t>9,25€</w:t>
      </w:r>
      <w:r w:rsidRPr="004E6132">
        <w:rPr>
          <w:rFonts w:ascii="Helvetica LT Std" w:hAnsi="Helvetica LT Std"/>
          <w:color w:val="181818"/>
          <w:sz w:val="19"/>
          <w:szCs w:val="19"/>
          <w:lang w:val="es-ES"/>
        </w:rPr>
        <w:t>, no ocasionándose perdida alguna. Igualmente si se hubiera querido mantener las acciones se hubiera cobrado la diferencia entre las 19,25€ y el precio de mercado, manteniendo las acciones valoradas a dicho precio de mercado.</w:t>
      </w:r>
    </w:p>
    <w:p w:rsidR="00E130D8" w:rsidRPr="004E6132" w:rsidRDefault="00E130D8" w:rsidP="00E130D8">
      <w:pPr>
        <w:pStyle w:val="Textoindependiente"/>
        <w:spacing w:line="276" w:lineRule="auto"/>
        <w:ind w:left="123" w:right="743" w:firstLine="14"/>
        <w:rPr>
          <w:rFonts w:ascii="Helvetica LT Std" w:hAnsi="Helvetica LT Std"/>
          <w:lang w:val="es-ES"/>
        </w:rPr>
      </w:pPr>
      <w:r w:rsidRPr="004E6132">
        <w:rPr>
          <w:rFonts w:ascii="Helvetica LT Std" w:hAnsi="Helvetica LT Std"/>
          <w:color w:val="181818"/>
          <w:sz w:val="19"/>
          <w:szCs w:val="19"/>
          <w:lang w:val="es-ES"/>
        </w:rPr>
        <w:t xml:space="preserve">No me extiendo a explicar cómo hubiera sido el funcionamiento para una cotización entre 19,25€ y 20,67, en la que ni </w:t>
      </w:r>
      <w:proofErr w:type="spellStart"/>
      <w:r w:rsidRPr="004E6132">
        <w:rPr>
          <w:rFonts w:ascii="Helvetica LT Std" w:hAnsi="Helvetica LT Std"/>
          <w:color w:val="181818"/>
          <w:sz w:val="19"/>
          <w:szCs w:val="19"/>
          <w:lang w:val="es-ES"/>
        </w:rPr>
        <w:t>Sodena</w:t>
      </w:r>
      <w:proofErr w:type="spellEnd"/>
      <w:r w:rsidRPr="004E6132">
        <w:rPr>
          <w:rFonts w:ascii="Helvetica LT Std" w:hAnsi="Helvetica LT Std"/>
          <w:color w:val="181818"/>
          <w:sz w:val="19"/>
          <w:szCs w:val="19"/>
          <w:lang w:val="es-ES"/>
        </w:rPr>
        <w:t xml:space="preserve"> ni la entidad financiera hubieran ejercitado sus opciones </w:t>
      </w:r>
      <w:proofErr w:type="spellStart"/>
      <w:r w:rsidRPr="004E6132">
        <w:rPr>
          <w:rFonts w:ascii="Helvetica LT Std" w:hAnsi="Helvetica LT Std"/>
          <w:color w:val="181818"/>
          <w:sz w:val="19"/>
          <w:szCs w:val="19"/>
          <w:lang w:val="es-ES"/>
        </w:rPr>
        <w:t>put</w:t>
      </w:r>
      <w:proofErr w:type="spellEnd"/>
      <w:r w:rsidRPr="004E6132">
        <w:rPr>
          <w:rFonts w:ascii="Helvetica LT Std" w:hAnsi="Helvetica LT Std"/>
          <w:color w:val="181818"/>
          <w:sz w:val="19"/>
          <w:szCs w:val="19"/>
          <w:lang w:val="es-ES"/>
        </w:rPr>
        <w:t xml:space="preserve"> y </w:t>
      </w:r>
      <w:proofErr w:type="spellStart"/>
      <w:r w:rsidRPr="004E6132">
        <w:rPr>
          <w:rFonts w:ascii="Helvetica LT Std" w:hAnsi="Helvetica LT Std"/>
          <w:color w:val="181818"/>
          <w:sz w:val="19"/>
          <w:szCs w:val="19"/>
          <w:lang w:val="es-ES"/>
        </w:rPr>
        <w:t>call</w:t>
      </w:r>
      <w:proofErr w:type="spellEnd"/>
      <w:r w:rsidRPr="004E6132">
        <w:rPr>
          <w:rFonts w:ascii="Helvetica LT Std" w:hAnsi="Helvetica LT Std"/>
          <w:color w:val="181818"/>
          <w:sz w:val="19"/>
          <w:szCs w:val="19"/>
          <w:lang w:val="es-ES"/>
        </w:rPr>
        <w:t xml:space="preserve">. La cartera de acciones de </w:t>
      </w:r>
      <w:proofErr w:type="spellStart"/>
      <w:r w:rsidRPr="004E6132">
        <w:rPr>
          <w:rFonts w:ascii="Helvetica LT Std" w:hAnsi="Helvetica LT Std"/>
          <w:color w:val="181818"/>
          <w:sz w:val="19"/>
          <w:szCs w:val="19"/>
          <w:lang w:val="es-ES"/>
        </w:rPr>
        <w:t>Sodena</w:t>
      </w:r>
      <w:proofErr w:type="spellEnd"/>
      <w:r w:rsidRPr="004E6132">
        <w:rPr>
          <w:rFonts w:ascii="Helvetica LT Std" w:hAnsi="Helvetica LT Std"/>
          <w:color w:val="181818"/>
          <w:sz w:val="19"/>
          <w:szCs w:val="19"/>
          <w:lang w:val="es-ES"/>
        </w:rPr>
        <w:t xml:space="preserve"> hubiera quedado valorada al precio de mercado en dicha fecha, 18 de mayo de 2007, con una pequeña plusvalía.</w:t>
      </w:r>
    </w:p>
    <w:p w:rsidR="00E130D8" w:rsidRPr="00E130D8" w:rsidRDefault="00E130D8" w:rsidP="00E130D8">
      <w:pPr>
        <w:pStyle w:val="Textoindependiente"/>
        <w:spacing w:line="276" w:lineRule="auto"/>
        <w:ind w:left="119" w:right="750"/>
        <w:rPr>
          <w:rFonts w:ascii="Helvetica LT Std" w:hAnsi="Helvetica LT Std"/>
          <w:color w:val="181818"/>
          <w:sz w:val="19"/>
          <w:szCs w:val="19"/>
          <w:lang w:val="es-ES"/>
        </w:rPr>
      </w:pPr>
      <w:r w:rsidRPr="004E6132">
        <w:rPr>
          <w:rFonts w:ascii="Helvetica LT Std" w:hAnsi="Helvetica LT Std"/>
          <w:color w:val="181818"/>
          <w:sz w:val="19"/>
          <w:szCs w:val="19"/>
          <w:lang w:val="es-ES"/>
        </w:rPr>
        <w:t xml:space="preserve">Con la cobertura contratada, </w:t>
      </w:r>
      <w:proofErr w:type="spellStart"/>
      <w:r w:rsidRPr="004E6132">
        <w:rPr>
          <w:rFonts w:ascii="Helvetica LT Std" w:hAnsi="Helvetica LT Std"/>
          <w:color w:val="181818"/>
          <w:sz w:val="19"/>
          <w:szCs w:val="19"/>
          <w:lang w:val="es-ES"/>
        </w:rPr>
        <w:t>Sodena</w:t>
      </w:r>
      <w:proofErr w:type="spellEnd"/>
      <w:r w:rsidRPr="004E6132">
        <w:rPr>
          <w:rFonts w:ascii="Helvetica LT Std" w:hAnsi="Helvetica LT Std"/>
          <w:color w:val="181818"/>
          <w:sz w:val="19"/>
          <w:szCs w:val="19"/>
          <w:lang w:val="es-ES"/>
        </w:rPr>
        <w:t xml:space="preserve"> se aseguraba el poder vender las acciones al 18 de mayo de 2007, como mínimo al precio de compra de 1</w:t>
      </w:r>
      <w:r w:rsidRPr="00E130D8">
        <w:rPr>
          <w:rFonts w:ascii="Helvetica LT Std" w:hAnsi="Helvetica LT Std"/>
          <w:color w:val="181818"/>
          <w:sz w:val="19"/>
          <w:szCs w:val="19"/>
          <w:lang w:val="es-ES"/>
        </w:rPr>
        <w:t>9,25€</w:t>
      </w:r>
      <w:r w:rsidRPr="004E6132">
        <w:rPr>
          <w:rFonts w:ascii="Helvetica LT Std" w:hAnsi="Helvetica LT Std"/>
          <w:color w:val="181818"/>
          <w:sz w:val="19"/>
          <w:szCs w:val="19"/>
          <w:lang w:val="es-ES"/>
        </w:rPr>
        <w:t xml:space="preserve"> y caso de cotizar por encima de dicho precio obtenía un beneficio equivalente al 45% de dicha diferencia (4.003.780 acciones a precio de mercado y 5.011.712 a 20,67€, contra 9.015.492 a 19,25€ de compra)</w:t>
      </w:r>
      <w:r w:rsidRPr="00E130D8">
        <w:rPr>
          <w:rFonts w:ascii="Helvetica LT Std" w:hAnsi="Helvetica LT Std"/>
          <w:color w:val="181818"/>
          <w:sz w:val="19"/>
          <w:szCs w:val="19"/>
          <w:lang w:val="es-ES"/>
        </w:rPr>
        <w:t>.</w:t>
      </w:r>
    </w:p>
    <w:p w:rsidR="00E130D8" w:rsidRPr="00E130D8" w:rsidRDefault="00E130D8" w:rsidP="00E130D8">
      <w:pPr>
        <w:pStyle w:val="Ttulo1"/>
        <w:spacing w:before="74" w:line="276" w:lineRule="auto"/>
        <w:ind w:left="134" w:right="655" w:firstLine="0"/>
        <w:rPr>
          <w:rFonts w:ascii="Helvetica LT Std" w:hAnsi="Helvetica LT Std" w:cs="Times New Roman"/>
          <w:b w:val="0"/>
          <w:bCs w:val="0"/>
          <w:color w:val="181818"/>
          <w:kern w:val="0"/>
          <w:sz w:val="19"/>
          <w:szCs w:val="19"/>
          <w:lang w:val="es-ES" w:eastAsia="es-ES"/>
        </w:rPr>
      </w:pPr>
      <w:r w:rsidRPr="00E130D8">
        <w:rPr>
          <w:rFonts w:ascii="Helvetica LT Std" w:hAnsi="Helvetica LT Std" w:cs="Times New Roman"/>
          <w:b w:val="0"/>
          <w:bCs w:val="0"/>
          <w:color w:val="181818"/>
          <w:kern w:val="0"/>
          <w:sz w:val="19"/>
          <w:szCs w:val="19"/>
          <w:lang w:val="es-ES" w:eastAsia="es-ES"/>
        </w:rPr>
        <w:lastRenderedPageBreak/>
        <w:t xml:space="preserve">Al no haber renovado la cobertura de aseguramiento, a partir de dicha fecha </w:t>
      </w:r>
      <w:proofErr w:type="spellStart"/>
      <w:r w:rsidRPr="00E130D8">
        <w:rPr>
          <w:rFonts w:ascii="Helvetica LT Std" w:hAnsi="Helvetica LT Std" w:cs="Times New Roman"/>
          <w:b w:val="0"/>
          <w:bCs w:val="0"/>
          <w:color w:val="181818"/>
          <w:kern w:val="0"/>
          <w:sz w:val="19"/>
          <w:szCs w:val="19"/>
          <w:lang w:val="es-ES" w:eastAsia="es-ES"/>
        </w:rPr>
        <w:t>Sodena</w:t>
      </w:r>
      <w:proofErr w:type="spellEnd"/>
      <w:r w:rsidRPr="00E130D8">
        <w:rPr>
          <w:rFonts w:ascii="Helvetica LT Std" w:hAnsi="Helvetica LT Std" w:cs="Times New Roman"/>
          <w:b w:val="0"/>
          <w:bCs w:val="0"/>
          <w:color w:val="181818"/>
          <w:kern w:val="0"/>
          <w:sz w:val="19"/>
          <w:szCs w:val="19"/>
          <w:lang w:val="es-ES" w:eastAsia="es-ES"/>
        </w:rPr>
        <w:t xml:space="preserve"> decidió mantener los 9.015.492 acciones a un precio medio de compra de 29,34</w:t>
      </w:r>
      <w:proofErr w:type="gramStart"/>
      <w:r w:rsidRPr="00E130D8">
        <w:rPr>
          <w:rFonts w:ascii="Helvetica LT Std" w:hAnsi="Helvetica LT Std" w:cs="Times New Roman"/>
          <w:b w:val="0"/>
          <w:bCs w:val="0"/>
          <w:color w:val="181818"/>
          <w:kern w:val="0"/>
          <w:sz w:val="19"/>
          <w:szCs w:val="19"/>
          <w:lang w:val="es-ES" w:eastAsia="es-ES"/>
        </w:rPr>
        <w:t>€ ,</w:t>
      </w:r>
      <w:proofErr w:type="gramEnd"/>
      <w:r w:rsidRPr="00E130D8">
        <w:rPr>
          <w:rFonts w:ascii="Helvetica LT Std" w:hAnsi="Helvetica LT Std" w:cs="Times New Roman"/>
          <w:b w:val="0"/>
          <w:bCs w:val="0"/>
          <w:color w:val="181818"/>
          <w:kern w:val="0"/>
          <w:sz w:val="19"/>
          <w:szCs w:val="19"/>
          <w:lang w:val="es-ES" w:eastAsia="es-ES"/>
        </w:rPr>
        <w:t xml:space="preserve"> cuando el precio de mercado era 38,82€, lo que significaba una plusvalía de 9,48€ por acción y sin ninguna c</w:t>
      </w:r>
      <w:r w:rsidRPr="00E130D8">
        <w:rPr>
          <w:rFonts w:ascii="Helvetica LT Std" w:hAnsi="Helvetica LT Std" w:cs="Times New Roman"/>
          <w:b w:val="0"/>
          <w:bCs w:val="0"/>
          <w:color w:val="181818"/>
          <w:kern w:val="0"/>
          <w:sz w:val="19"/>
          <w:szCs w:val="19"/>
          <w:lang w:val="es-ES" w:eastAsia="es-ES"/>
        </w:rPr>
        <w:t>o</w:t>
      </w:r>
      <w:r w:rsidRPr="00E130D8">
        <w:rPr>
          <w:rFonts w:ascii="Helvetica LT Std" w:hAnsi="Helvetica LT Std" w:cs="Times New Roman"/>
          <w:b w:val="0"/>
          <w:bCs w:val="0"/>
          <w:color w:val="181818"/>
          <w:kern w:val="0"/>
          <w:sz w:val="19"/>
          <w:szCs w:val="19"/>
          <w:lang w:val="es-ES" w:eastAsia="es-ES"/>
        </w:rPr>
        <w:t>bertura.</w:t>
      </w:r>
    </w:p>
    <w:p w:rsidR="00E130D8" w:rsidRPr="00E130D8" w:rsidRDefault="00E130D8" w:rsidP="00E130D8">
      <w:pPr>
        <w:spacing w:line="276" w:lineRule="auto"/>
        <w:ind w:left="130" w:right="645" w:firstLine="4"/>
        <w:rPr>
          <w:rFonts w:ascii="Helvetica LT Std" w:hAnsi="Helvetica LT Std"/>
          <w:color w:val="181818"/>
          <w:sz w:val="19"/>
          <w:szCs w:val="19"/>
          <w:lang w:val="es-ES" w:eastAsia="es-ES"/>
        </w:rPr>
      </w:pPr>
      <w:r w:rsidRPr="00E130D8">
        <w:rPr>
          <w:rFonts w:ascii="Helvetica LT Std" w:hAnsi="Helvetica LT Std"/>
          <w:color w:val="181818"/>
          <w:sz w:val="19"/>
          <w:szCs w:val="19"/>
          <w:lang w:val="es-ES" w:eastAsia="es-ES"/>
        </w:rPr>
        <w:t xml:space="preserve">2º </w:t>
      </w:r>
      <w:proofErr w:type="spellStart"/>
      <w:r w:rsidRPr="00E130D8">
        <w:rPr>
          <w:rFonts w:ascii="Helvetica LT Std" w:hAnsi="Helvetica LT Std"/>
          <w:color w:val="181818"/>
          <w:sz w:val="19"/>
          <w:szCs w:val="19"/>
          <w:lang w:val="es-ES" w:eastAsia="es-ES"/>
        </w:rPr>
        <w:t>Sodena</w:t>
      </w:r>
      <w:proofErr w:type="spellEnd"/>
      <w:r w:rsidRPr="00E130D8">
        <w:rPr>
          <w:rFonts w:ascii="Helvetica LT Std" w:hAnsi="Helvetica LT Std"/>
          <w:color w:val="181818"/>
          <w:sz w:val="19"/>
          <w:szCs w:val="19"/>
          <w:lang w:val="es-ES" w:eastAsia="es-ES"/>
        </w:rPr>
        <w:t xml:space="preserve"> no ha desatendido ninguna inversión durante todo el periodo de tenencia de las a</w:t>
      </w:r>
      <w:r w:rsidRPr="00E130D8">
        <w:rPr>
          <w:rFonts w:ascii="Helvetica LT Std" w:hAnsi="Helvetica LT Std"/>
          <w:color w:val="181818"/>
          <w:sz w:val="19"/>
          <w:szCs w:val="19"/>
          <w:lang w:val="es-ES" w:eastAsia="es-ES"/>
        </w:rPr>
        <w:t>c</w:t>
      </w:r>
      <w:r w:rsidRPr="00E130D8">
        <w:rPr>
          <w:rFonts w:ascii="Helvetica LT Std" w:hAnsi="Helvetica LT Std"/>
          <w:color w:val="181818"/>
          <w:sz w:val="19"/>
          <w:szCs w:val="19"/>
          <w:lang w:val="es-ES" w:eastAsia="es-ES"/>
        </w:rPr>
        <w:t xml:space="preserve">ciones de </w:t>
      </w:r>
      <w:proofErr w:type="spellStart"/>
      <w:r w:rsidRPr="00E130D8">
        <w:rPr>
          <w:rFonts w:ascii="Helvetica LT Std" w:hAnsi="Helvetica LT Std"/>
          <w:color w:val="181818"/>
          <w:sz w:val="19"/>
          <w:szCs w:val="19"/>
          <w:lang w:val="es-ES" w:eastAsia="es-ES"/>
        </w:rPr>
        <w:t>lberdrola</w:t>
      </w:r>
      <w:proofErr w:type="spellEnd"/>
      <w:r w:rsidRPr="00E130D8">
        <w:rPr>
          <w:rFonts w:ascii="Helvetica LT Std" w:hAnsi="Helvetica LT Std"/>
          <w:color w:val="181818"/>
          <w:sz w:val="19"/>
          <w:szCs w:val="19"/>
          <w:lang w:val="es-ES" w:eastAsia="es-ES"/>
        </w:rPr>
        <w:t>, debido a que en todo momento ha tenido liquidez suficiente para poderlas atender.</w:t>
      </w:r>
    </w:p>
    <w:p w:rsidR="00E130D8" w:rsidRPr="00E130D8" w:rsidRDefault="00E130D8" w:rsidP="00E130D8">
      <w:pPr>
        <w:spacing w:line="276" w:lineRule="auto"/>
        <w:ind w:left="130" w:right="653" w:hanging="10"/>
        <w:rPr>
          <w:rFonts w:ascii="Helvetica LT Std" w:hAnsi="Helvetica LT Std"/>
          <w:color w:val="181818"/>
          <w:sz w:val="19"/>
          <w:szCs w:val="19"/>
          <w:lang w:val="es-ES" w:eastAsia="es-ES"/>
        </w:rPr>
      </w:pPr>
      <w:r w:rsidRPr="00E130D8">
        <w:rPr>
          <w:rFonts w:ascii="Helvetica LT Std" w:hAnsi="Helvetica LT Std"/>
          <w:color w:val="181818"/>
          <w:sz w:val="19"/>
          <w:szCs w:val="19"/>
          <w:lang w:val="es-ES" w:eastAsia="es-ES"/>
        </w:rPr>
        <w:t xml:space="preserve">Si </w:t>
      </w:r>
      <w:proofErr w:type="spellStart"/>
      <w:r w:rsidRPr="00E130D8">
        <w:rPr>
          <w:rFonts w:ascii="Helvetica LT Std" w:hAnsi="Helvetica LT Std"/>
          <w:color w:val="181818"/>
          <w:sz w:val="19"/>
          <w:szCs w:val="19"/>
          <w:lang w:val="es-ES" w:eastAsia="es-ES"/>
        </w:rPr>
        <w:t>Sodena</w:t>
      </w:r>
      <w:proofErr w:type="spellEnd"/>
      <w:r w:rsidRPr="00E130D8">
        <w:rPr>
          <w:rFonts w:ascii="Helvetica LT Std" w:hAnsi="Helvetica LT Std"/>
          <w:color w:val="181818"/>
          <w:sz w:val="19"/>
          <w:szCs w:val="19"/>
          <w:lang w:val="es-ES" w:eastAsia="es-ES"/>
        </w:rPr>
        <w:t xml:space="preserve"> no hubiera invertido en acciones de </w:t>
      </w:r>
      <w:proofErr w:type="spellStart"/>
      <w:r w:rsidRPr="00E130D8">
        <w:rPr>
          <w:rFonts w:ascii="Helvetica LT Std" w:hAnsi="Helvetica LT Std"/>
          <w:color w:val="181818"/>
          <w:sz w:val="19"/>
          <w:szCs w:val="19"/>
          <w:lang w:val="es-ES" w:eastAsia="es-ES"/>
        </w:rPr>
        <w:t>lberdrola</w:t>
      </w:r>
      <w:proofErr w:type="spellEnd"/>
      <w:r w:rsidRPr="00E130D8">
        <w:rPr>
          <w:rFonts w:ascii="Helvetica LT Std" w:hAnsi="Helvetica LT Std"/>
          <w:color w:val="181818"/>
          <w:sz w:val="19"/>
          <w:szCs w:val="19"/>
          <w:lang w:val="es-ES" w:eastAsia="es-ES"/>
        </w:rPr>
        <w:t>, la alternativa hubiera sido la de repa</w:t>
      </w:r>
      <w:r w:rsidRPr="00E130D8">
        <w:rPr>
          <w:rFonts w:ascii="Helvetica LT Std" w:hAnsi="Helvetica LT Std"/>
          <w:color w:val="181818"/>
          <w:sz w:val="19"/>
          <w:szCs w:val="19"/>
          <w:lang w:val="es-ES" w:eastAsia="es-ES"/>
        </w:rPr>
        <w:t>r</w:t>
      </w:r>
      <w:r w:rsidRPr="00E130D8">
        <w:rPr>
          <w:rFonts w:ascii="Helvetica LT Std" w:hAnsi="Helvetica LT Std"/>
          <w:color w:val="181818"/>
          <w:sz w:val="19"/>
          <w:szCs w:val="19"/>
          <w:lang w:val="es-ES" w:eastAsia="es-ES"/>
        </w:rPr>
        <w:t>tir dividendos a sus accionistas, o bien tenerlo en cuenta corriente, con lo que la rentabilidad hubiera sido menor que la realmente se obtuvo.</w:t>
      </w:r>
    </w:p>
    <w:p w:rsidR="00E130D8" w:rsidRPr="00E130D8" w:rsidRDefault="00E130D8" w:rsidP="00E130D8">
      <w:pPr>
        <w:spacing w:line="276" w:lineRule="auto"/>
        <w:ind w:left="120" w:right="660" w:firstLine="4"/>
        <w:rPr>
          <w:rFonts w:ascii="Helvetica LT Std" w:hAnsi="Helvetica LT Std"/>
          <w:color w:val="181818"/>
          <w:sz w:val="19"/>
          <w:szCs w:val="19"/>
          <w:lang w:val="es-ES" w:eastAsia="es-ES"/>
        </w:rPr>
      </w:pPr>
      <w:r w:rsidRPr="00E130D8">
        <w:rPr>
          <w:rFonts w:ascii="Helvetica LT Std" w:hAnsi="Helvetica LT Std"/>
          <w:color w:val="181818"/>
          <w:sz w:val="19"/>
          <w:szCs w:val="19"/>
          <w:lang w:val="es-ES" w:eastAsia="es-ES"/>
        </w:rPr>
        <w:t xml:space="preserve">3º </w:t>
      </w:r>
      <w:proofErr w:type="spellStart"/>
      <w:r w:rsidRPr="00E130D8">
        <w:rPr>
          <w:rFonts w:ascii="Helvetica LT Std" w:hAnsi="Helvetica LT Std"/>
          <w:color w:val="181818"/>
          <w:sz w:val="19"/>
          <w:szCs w:val="19"/>
          <w:lang w:val="es-ES" w:eastAsia="es-ES"/>
        </w:rPr>
        <w:t>Sodena</w:t>
      </w:r>
      <w:proofErr w:type="spellEnd"/>
      <w:r w:rsidRPr="00E130D8">
        <w:rPr>
          <w:rFonts w:ascii="Helvetica LT Std" w:hAnsi="Helvetica LT Std"/>
          <w:color w:val="181818"/>
          <w:sz w:val="19"/>
          <w:szCs w:val="19"/>
          <w:lang w:val="es-ES" w:eastAsia="es-ES"/>
        </w:rPr>
        <w:t xml:space="preserve"> ha tenido posibilidad de vender las acciones de </w:t>
      </w:r>
      <w:proofErr w:type="spellStart"/>
      <w:r w:rsidRPr="00E130D8">
        <w:rPr>
          <w:rFonts w:ascii="Helvetica LT Std" w:hAnsi="Helvetica LT Std"/>
          <w:color w:val="181818"/>
          <w:sz w:val="19"/>
          <w:szCs w:val="19"/>
          <w:lang w:val="es-ES" w:eastAsia="es-ES"/>
        </w:rPr>
        <w:t>lberdrola</w:t>
      </w:r>
      <w:proofErr w:type="spellEnd"/>
      <w:r w:rsidRPr="00E130D8">
        <w:rPr>
          <w:rFonts w:ascii="Helvetica LT Std" w:hAnsi="Helvetica LT Std"/>
          <w:color w:val="181818"/>
          <w:sz w:val="19"/>
          <w:szCs w:val="19"/>
          <w:lang w:val="es-ES" w:eastAsia="es-ES"/>
        </w:rPr>
        <w:t xml:space="preserve"> en cualquier momento desde la fecha de compra en 2005 hasta la de venta de 2014, sin ninguna limitación.</w:t>
      </w:r>
    </w:p>
    <w:p w:rsidR="00E130D8" w:rsidRPr="00E130D8" w:rsidRDefault="00E130D8" w:rsidP="00E130D8">
      <w:pPr>
        <w:spacing w:line="276" w:lineRule="auto"/>
        <w:ind w:left="120" w:right="668" w:firstLine="4"/>
        <w:rPr>
          <w:rFonts w:ascii="Helvetica LT Std" w:hAnsi="Helvetica LT Std"/>
          <w:color w:val="181818"/>
          <w:sz w:val="19"/>
          <w:szCs w:val="19"/>
          <w:lang w:val="es-ES" w:eastAsia="es-ES"/>
        </w:rPr>
      </w:pPr>
      <w:r w:rsidRPr="00E130D8">
        <w:rPr>
          <w:rFonts w:ascii="Helvetica LT Std" w:hAnsi="Helvetica LT Std"/>
          <w:color w:val="181818"/>
          <w:sz w:val="19"/>
          <w:szCs w:val="19"/>
          <w:lang w:val="es-ES" w:eastAsia="es-ES"/>
        </w:rPr>
        <w:t>La rentabilidad final ha sido como consecuencia de la fecha elegida para la venta definitiva, pudiendo ésta haber sido muy distinta en función de haber elegido otras fechas.</w:t>
      </w:r>
    </w:p>
    <w:p w:rsidR="00E130D8" w:rsidRPr="00E130D8" w:rsidRDefault="00E130D8" w:rsidP="00E130D8">
      <w:pPr>
        <w:spacing w:line="276" w:lineRule="auto"/>
        <w:ind w:left="101"/>
        <w:rPr>
          <w:rFonts w:ascii="Helvetica LT Std" w:hAnsi="Helvetica LT Std"/>
          <w:color w:val="181818"/>
          <w:sz w:val="19"/>
          <w:szCs w:val="19"/>
          <w:lang w:val="es-ES" w:eastAsia="es-ES"/>
        </w:rPr>
      </w:pPr>
      <w:r w:rsidRPr="00E130D8">
        <w:rPr>
          <w:rFonts w:ascii="Helvetica LT Std" w:hAnsi="Helvetica LT Std"/>
          <w:color w:val="181818"/>
          <w:sz w:val="19"/>
          <w:szCs w:val="19"/>
          <w:lang w:val="es-ES" w:eastAsia="es-ES"/>
        </w:rPr>
        <w:t xml:space="preserve">José Mª </w:t>
      </w:r>
      <w:proofErr w:type="spellStart"/>
      <w:r w:rsidRPr="00E130D8">
        <w:rPr>
          <w:rFonts w:ascii="Helvetica LT Std" w:hAnsi="Helvetica LT Std"/>
          <w:color w:val="181818"/>
          <w:sz w:val="19"/>
          <w:szCs w:val="19"/>
          <w:lang w:val="es-ES" w:eastAsia="es-ES"/>
        </w:rPr>
        <w:t>Aracama</w:t>
      </w:r>
      <w:proofErr w:type="spellEnd"/>
      <w:r w:rsidRPr="00E130D8">
        <w:rPr>
          <w:rFonts w:ascii="Helvetica LT Std" w:hAnsi="Helvetica LT Std"/>
          <w:color w:val="181818"/>
          <w:sz w:val="19"/>
          <w:szCs w:val="19"/>
          <w:lang w:val="es-ES" w:eastAsia="es-ES"/>
        </w:rPr>
        <w:t xml:space="preserve"> </w:t>
      </w:r>
      <w:proofErr w:type="spellStart"/>
      <w:r w:rsidRPr="00E130D8">
        <w:rPr>
          <w:rFonts w:ascii="Helvetica LT Std" w:hAnsi="Helvetica LT Std"/>
          <w:color w:val="181818"/>
          <w:sz w:val="19"/>
          <w:szCs w:val="19"/>
          <w:lang w:val="es-ES" w:eastAsia="es-ES"/>
        </w:rPr>
        <w:t>Yoldi</w:t>
      </w:r>
      <w:proofErr w:type="spellEnd"/>
    </w:p>
    <w:p w:rsidR="00E130D8" w:rsidRDefault="00E130D8" w:rsidP="00E130D8">
      <w:pPr>
        <w:pStyle w:val="texto"/>
        <w:tabs>
          <w:tab w:val="clear" w:pos="2835"/>
          <w:tab w:val="clear" w:pos="3969"/>
          <w:tab w:val="clear" w:pos="5103"/>
          <w:tab w:val="clear" w:pos="6237"/>
          <w:tab w:val="clear" w:pos="7371"/>
        </w:tabs>
        <w:spacing w:after="240"/>
        <w:ind w:firstLine="0"/>
        <w:rPr>
          <w:rFonts w:eastAsia="Calibri"/>
          <w:lang w:eastAsia="es-ES"/>
        </w:rPr>
      </w:pPr>
    </w:p>
    <w:p w:rsidR="003F7C63" w:rsidRPr="00C615D1" w:rsidRDefault="003F7C63" w:rsidP="003F7C63">
      <w:pPr>
        <w:rPr>
          <w:rFonts w:ascii="Helvetica LT Std" w:hAnsi="Helvetica LT Std"/>
          <w:sz w:val="19"/>
          <w:szCs w:val="19"/>
        </w:rPr>
      </w:pPr>
      <w:r w:rsidRPr="00C615D1">
        <w:rPr>
          <w:rFonts w:ascii="Helvetica LT Std" w:hAnsi="Helvetica LT Std"/>
          <w:sz w:val="19"/>
          <w:szCs w:val="19"/>
        </w:rPr>
        <w:t xml:space="preserve">El Consejero de Desarrollo Económico, en relación al informe provisional de fiscalización sobre los resultados de la operación de compra-venta de acciones de </w:t>
      </w:r>
      <w:proofErr w:type="spellStart"/>
      <w:r w:rsidRPr="00C615D1">
        <w:rPr>
          <w:rFonts w:ascii="Helvetica LT Std" w:hAnsi="Helvetica LT Std"/>
          <w:sz w:val="19"/>
          <w:szCs w:val="19"/>
        </w:rPr>
        <w:t>lberdrola</w:t>
      </w:r>
      <w:proofErr w:type="spellEnd"/>
      <w:r w:rsidRPr="00C615D1">
        <w:rPr>
          <w:rFonts w:ascii="Helvetica LT Std" w:hAnsi="Helvetica LT Std"/>
          <w:sz w:val="19"/>
          <w:szCs w:val="19"/>
        </w:rPr>
        <w:t xml:space="preserve"> por la sociedad pública S</w:t>
      </w:r>
      <w:r w:rsidRPr="00C615D1">
        <w:rPr>
          <w:rFonts w:ascii="Helvetica LT Std" w:hAnsi="Helvetica LT Std"/>
          <w:sz w:val="19"/>
          <w:szCs w:val="19"/>
        </w:rPr>
        <w:t>O</w:t>
      </w:r>
      <w:r w:rsidRPr="00C615D1">
        <w:rPr>
          <w:rFonts w:ascii="Helvetica LT Std" w:hAnsi="Helvetica LT Std"/>
          <w:sz w:val="19"/>
          <w:szCs w:val="19"/>
        </w:rPr>
        <w:t>DENA (2005-2014), y tras su lectura, agradece el trabajo realizado y traslada, al presidente de la Cám</w:t>
      </w:r>
      <w:r w:rsidRPr="00C615D1">
        <w:rPr>
          <w:rFonts w:ascii="Helvetica LT Std" w:hAnsi="Helvetica LT Std"/>
          <w:sz w:val="19"/>
          <w:szCs w:val="19"/>
        </w:rPr>
        <w:t>a</w:t>
      </w:r>
      <w:r w:rsidRPr="00C615D1">
        <w:rPr>
          <w:rFonts w:ascii="Helvetica LT Std" w:hAnsi="Helvetica LT Std"/>
          <w:sz w:val="19"/>
          <w:szCs w:val="19"/>
        </w:rPr>
        <w:t xml:space="preserve">ra de Comptos de Navarra, las siguientes consideraciones: </w:t>
      </w:r>
    </w:p>
    <w:p w:rsidR="003F7C63" w:rsidRPr="00C615D1" w:rsidRDefault="003F7C63" w:rsidP="003F7C63">
      <w:pPr>
        <w:rPr>
          <w:rFonts w:ascii="Helvetica LT Std" w:hAnsi="Helvetica LT Std"/>
          <w:sz w:val="19"/>
          <w:szCs w:val="19"/>
        </w:rPr>
      </w:pPr>
      <w:r w:rsidRPr="00C615D1">
        <w:rPr>
          <w:rFonts w:ascii="Helvetica LT Std" w:hAnsi="Helvetica LT Std"/>
          <w:sz w:val="19"/>
          <w:szCs w:val="19"/>
        </w:rPr>
        <w:t>En las conclusiones generadas tiene su influencia el criterio adoptado de valoración de las acci</w:t>
      </w:r>
      <w:r w:rsidRPr="00C615D1">
        <w:rPr>
          <w:rFonts w:ascii="Helvetica LT Std" w:hAnsi="Helvetica LT Std"/>
          <w:sz w:val="19"/>
          <w:szCs w:val="19"/>
        </w:rPr>
        <w:t>o</w:t>
      </w:r>
      <w:r w:rsidRPr="00C615D1">
        <w:rPr>
          <w:rFonts w:ascii="Helvetica LT Std" w:hAnsi="Helvetica LT Std"/>
          <w:sz w:val="19"/>
          <w:szCs w:val="19"/>
        </w:rPr>
        <w:t xml:space="preserve">nes de </w:t>
      </w:r>
      <w:proofErr w:type="spellStart"/>
      <w:r w:rsidRPr="00C615D1">
        <w:rPr>
          <w:rFonts w:ascii="Helvetica LT Std" w:hAnsi="Helvetica LT Std"/>
          <w:sz w:val="19"/>
          <w:szCs w:val="19"/>
        </w:rPr>
        <w:t>lberdrola</w:t>
      </w:r>
      <w:proofErr w:type="spellEnd"/>
      <w:r w:rsidRPr="00C615D1">
        <w:rPr>
          <w:rFonts w:ascii="Helvetica LT Std" w:hAnsi="Helvetica LT Std"/>
          <w:sz w:val="19"/>
          <w:szCs w:val="19"/>
        </w:rPr>
        <w:t xml:space="preserve"> entregadas a Caja Navarra con ocasión de la reducción de capital realizada en marzo de 2008. Dicha entrega se valoró en 72.412.432 euros, y se consideró como un flujo positivo de caja a los efectos del cálculo de las tasas de rentabilidad en los dos escenarios contemplados. Sin entrar a juzgar la ortodoxia del criterio empleado, no cabe duda de que es un elemento perturbador en el anál</w:t>
      </w:r>
      <w:r w:rsidRPr="00C615D1">
        <w:rPr>
          <w:rFonts w:ascii="Helvetica LT Std" w:hAnsi="Helvetica LT Std"/>
          <w:sz w:val="19"/>
          <w:szCs w:val="19"/>
        </w:rPr>
        <w:t>i</w:t>
      </w:r>
      <w:r w:rsidRPr="00C615D1">
        <w:rPr>
          <w:rFonts w:ascii="Helvetica LT Std" w:hAnsi="Helvetica LT Std"/>
          <w:sz w:val="19"/>
          <w:szCs w:val="19"/>
        </w:rPr>
        <w:t>sis. Por ello, sugeriría la elaboración de un tercer escenario que se una a los dos ya tenidos en cuenta. En ese tercer escenario, la propuesta sería utilizar un criterio proporcional como si en lugar de haber adquirido 9.015.492 acciones en su momento, se hubieran adquirido sólo 7.212.389, la cantidad equiv</w:t>
      </w:r>
      <w:r w:rsidRPr="00C615D1">
        <w:rPr>
          <w:rFonts w:ascii="Helvetica LT Std" w:hAnsi="Helvetica LT Std"/>
          <w:sz w:val="19"/>
          <w:szCs w:val="19"/>
        </w:rPr>
        <w:t>a</w:t>
      </w:r>
      <w:r w:rsidRPr="00C615D1">
        <w:rPr>
          <w:rFonts w:ascii="Helvetica LT Std" w:hAnsi="Helvetica LT Std"/>
          <w:sz w:val="19"/>
          <w:szCs w:val="19"/>
        </w:rPr>
        <w:t xml:space="preserve">lente a las 28.849.574 acciones que finalmente se mantuvieron tras 2008 y que en estos últimos años terminaron vendiéndose. Se trata de eliminar el efecto atípico que introduce en el análisis esa salida de Caja Navarra del accionariado a través de esa entrega de acciones. Otra opción posible es la de no considerar las acciones entregadas a Caja Navarra y valorar la venta de las mismas en la venta final. </w:t>
      </w:r>
    </w:p>
    <w:p w:rsidR="003F7C63" w:rsidRPr="00C615D1" w:rsidRDefault="003F7C63" w:rsidP="003F7C63">
      <w:pPr>
        <w:rPr>
          <w:rFonts w:ascii="Helvetica LT Std" w:hAnsi="Helvetica LT Std"/>
          <w:sz w:val="19"/>
          <w:szCs w:val="19"/>
        </w:rPr>
      </w:pPr>
      <w:r w:rsidRPr="00C615D1">
        <w:rPr>
          <w:rFonts w:ascii="Helvetica LT Std" w:hAnsi="Helvetica LT Std"/>
          <w:sz w:val="19"/>
          <w:szCs w:val="19"/>
        </w:rPr>
        <w:t>Además, y con el objetivo de cumplir con el fin pedagógico que sin ninguna duda tiene el prese</w:t>
      </w:r>
      <w:r w:rsidRPr="00C615D1">
        <w:rPr>
          <w:rFonts w:ascii="Helvetica LT Std" w:hAnsi="Helvetica LT Std"/>
          <w:sz w:val="19"/>
          <w:szCs w:val="19"/>
        </w:rPr>
        <w:t>n</w:t>
      </w:r>
      <w:r w:rsidRPr="00C615D1">
        <w:rPr>
          <w:rFonts w:ascii="Helvetica LT Std" w:hAnsi="Helvetica LT Std"/>
          <w:sz w:val="19"/>
          <w:szCs w:val="19"/>
        </w:rPr>
        <w:t xml:space="preserve">te informe, se echa de menos en el segundo escenario </w:t>
      </w:r>
      <w:proofErr w:type="gramStart"/>
      <w:r w:rsidRPr="00C615D1">
        <w:rPr>
          <w:rFonts w:ascii="Helvetica LT Std" w:hAnsi="Helvetica LT Std"/>
          <w:sz w:val="19"/>
          <w:szCs w:val="19"/>
        </w:rPr>
        <w:t>( el</w:t>
      </w:r>
      <w:proofErr w:type="gramEnd"/>
      <w:r w:rsidRPr="00C615D1">
        <w:rPr>
          <w:rFonts w:ascii="Helvetica LT Std" w:hAnsi="Helvetica LT Std"/>
          <w:sz w:val="19"/>
          <w:szCs w:val="19"/>
        </w:rPr>
        <w:t xml:space="preserve"> que considera los flujos de entrada y salida sin incluir la carga financiera de la deuda asociada a la operación analizada ) que se cuantifique el i</w:t>
      </w:r>
      <w:r w:rsidRPr="00C615D1">
        <w:rPr>
          <w:rFonts w:ascii="Helvetica LT Std" w:hAnsi="Helvetica LT Std"/>
          <w:sz w:val="19"/>
          <w:szCs w:val="19"/>
        </w:rPr>
        <w:t>m</w:t>
      </w:r>
      <w:r w:rsidRPr="00C615D1">
        <w:rPr>
          <w:rFonts w:ascii="Helvetica LT Std" w:hAnsi="Helvetica LT Std"/>
          <w:sz w:val="19"/>
          <w:szCs w:val="19"/>
        </w:rPr>
        <w:t>pacto en millones. Es decir, se indica que la tasa de rentabilidad en ese escenario ha sido del 2,21 por ciento anual, y se indica que dicha tasa desde luego es inferior al coste de la deuda en todo el periodo, pero no se dice por ejemplo qué ingresos adicionales por vent</w:t>
      </w:r>
      <w:r>
        <w:rPr>
          <w:rFonts w:ascii="Helvetica LT Std" w:hAnsi="Helvetica LT Std"/>
          <w:sz w:val="19"/>
          <w:szCs w:val="19"/>
        </w:rPr>
        <w:t>a tendríamos que haber tenido (</w:t>
      </w:r>
      <w:r w:rsidRPr="00C615D1">
        <w:rPr>
          <w:rFonts w:ascii="Helvetica LT Std" w:hAnsi="Helvetica LT Std"/>
          <w:sz w:val="19"/>
          <w:szCs w:val="19"/>
        </w:rPr>
        <w:t xml:space="preserve">cuántos millones de euros más tendríamos que haber </w:t>
      </w:r>
      <w:proofErr w:type="gramStart"/>
      <w:r w:rsidRPr="00C615D1">
        <w:rPr>
          <w:rFonts w:ascii="Helvetica LT Std" w:hAnsi="Helvetica LT Std"/>
          <w:sz w:val="19"/>
          <w:szCs w:val="19"/>
        </w:rPr>
        <w:t>ingresado )</w:t>
      </w:r>
      <w:proofErr w:type="gramEnd"/>
      <w:r w:rsidRPr="00C615D1">
        <w:rPr>
          <w:rFonts w:ascii="Helvetica LT Std" w:hAnsi="Helvetica LT Std"/>
          <w:sz w:val="19"/>
          <w:szCs w:val="19"/>
        </w:rPr>
        <w:t xml:space="preserve"> para que la tasa interna de rentabilidad, en lugar del 2,21 hubiera sido al menos el coste de la deuda. Creo que este es un dato pedagógicamente importante. Y para ello, se podría tomar como coste de la deuda un indicador razonable, como el coste medio de la deuda del Gobierno de Navarra en el periodo, o alguno similar. </w:t>
      </w:r>
    </w:p>
    <w:p w:rsidR="003F7C63" w:rsidRPr="00C615D1" w:rsidRDefault="003F7C63" w:rsidP="003F7C63">
      <w:pPr>
        <w:rPr>
          <w:rFonts w:ascii="Helvetica LT Std" w:hAnsi="Helvetica LT Std"/>
          <w:sz w:val="19"/>
          <w:szCs w:val="19"/>
        </w:rPr>
      </w:pPr>
      <w:r w:rsidRPr="00C615D1">
        <w:rPr>
          <w:rFonts w:ascii="Helvetica LT Std" w:hAnsi="Helvetica LT Std"/>
          <w:sz w:val="19"/>
          <w:szCs w:val="19"/>
        </w:rPr>
        <w:t xml:space="preserve">Lo que comunico en cumplimiento de lo dispuesto en la Resolución del 11 de enero de 2016 del presidente de la Cámara de Comptos de Navarra y a los efectos oportunos. </w:t>
      </w:r>
    </w:p>
    <w:p w:rsidR="003F7C63" w:rsidRPr="00C615D1" w:rsidRDefault="003F7C63" w:rsidP="003F7C63">
      <w:pPr>
        <w:rPr>
          <w:rFonts w:ascii="Helvetica LT Std" w:hAnsi="Helvetica LT Std"/>
          <w:sz w:val="19"/>
          <w:szCs w:val="19"/>
        </w:rPr>
      </w:pPr>
      <w:r w:rsidRPr="00C615D1">
        <w:rPr>
          <w:rFonts w:ascii="Helvetica LT Std" w:hAnsi="Helvetica LT Std"/>
          <w:sz w:val="19"/>
          <w:szCs w:val="19"/>
        </w:rPr>
        <w:t xml:space="preserve">Pamplona, a 19 de enero de 2016. </w:t>
      </w:r>
    </w:p>
    <w:p w:rsidR="00E130D8" w:rsidRPr="003F7C63" w:rsidRDefault="003F7C63" w:rsidP="003F7C63">
      <w:pPr>
        <w:rPr>
          <w:rFonts w:ascii="Helvetica LT Std" w:hAnsi="Helvetica LT Std"/>
          <w:sz w:val="19"/>
          <w:szCs w:val="19"/>
        </w:rPr>
      </w:pPr>
      <w:r w:rsidRPr="00C615D1">
        <w:rPr>
          <w:rFonts w:ascii="Helvetica LT Std" w:hAnsi="Helvetica LT Std"/>
          <w:sz w:val="19"/>
          <w:szCs w:val="19"/>
        </w:rPr>
        <w:t>El Consejero de Desarrollo Económico</w:t>
      </w:r>
      <w:r>
        <w:rPr>
          <w:rFonts w:ascii="Helvetica LT Std" w:hAnsi="Helvetica LT Std"/>
          <w:sz w:val="19"/>
          <w:szCs w:val="19"/>
        </w:rPr>
        <w:t xml:space="preserve">: Manuel </w:t>
      </w:r>
      <w:proofErr w:type="spellStart"/>
      <w:r>
        <w:rPr>
          <w:rFonts w:ascii="Helvetica LT Std" w:hAnsi="Helvetica LT Std"/>
          <w:sz w:val="19"/>
          <w:szCs w:val="19"/>
        </w:rPr>
        <w:t>Ayerdi</w:t>
      </w:r>
      <w:proofErr w:type="spellEnd"/>
      <w:r>
        <w:rPr>
          <w:rFonts w:ascii="Helvetica LT Std" w:hAnsi="Helvetica LT Std"/>
          <w:sz w:val="19"/>
          <w:szCs w:val="19"/>
        </w:rPr>
        <w:t xml:space="preserve"> </w:t>
      </w:r>
      <w:proofErr w:type="spellStart"/>
      <w:r>
        <w:rPr>
          <w:rFonts w:ascii="Helvetica LT Std" w:hAnsi="Helvetica LT Std"/>
          <w:sz w:val="19"/>
          <w:szCs w:val="19"/>
        </w:rPr>
        <w:t>Olaizola</w:t>
      </w:r>
      <w:proofErr w:type="spellEnd"/>
    </w:p>
    <w:p w:rsidR="00E130D8" w:rsidRDefault="00E130D8" w:rsidP="004D1898">
      <w:pPr>
        <w:pStyle w:val="atitulo1"/>
        <w:ind w:left="1512" w:right="29"/>
        <w:rPr>
          <w:rFonts w:ascii="Arial (W1)" w:hAnsi="Arial (W1)"/>
          <w:spacing w:val="-2"/>
          <w:sz w:val="32"/>
          <w:szCs w:val="32"/>
        </w:rPr>
      </w:pPr>
    </w:p>
    <w:p w:rsidR="00E130D8" w:rsidRDefault="00E130D8" w:rsidP="004D1898">
      <w:pPr>
        <w:pStyle w:val="atitulo1"/>
        <w:ind w:left="1512" w:right="29"/>
        <w:rPr>
          <w:rFonts w:ascii="Arial (W1)" w:hAnsi="Arial (W1)"/>
          <w:spacing w:val="-2"/>
          <w:sz w:val="32"/>
          <w:szCs w:val="32"/>
        </w:rPr>
        <w:sectPr w:rsidR="00E130D8" w:rsidSect="004D1898">
          <w:footerReference w:type="default" r:id="rId17"/>
          <w:pgSz w:w="11907" w:h="16840" w:code="9"/>
          <w:pgMar w:top="2109" w:right="1559" w:bottom="1644" w:left="1559" w:header="369" w:footer="136" w:gutter="0"/>
          <w:cols w:space="720"/>
          <w:docGrid w:linePitch="360"/>
        </w:sectPr>
      </w:pPr>
    </w:p>
    <w:p w:rsidR="004D1898" w:rsidRPr="00561D26" w:rsidRDefault="004D1898" w:rsidP="004D1898">
      <w:pPr>
        <w:pStyle w:val="atitulo1"/>
        <w:spacing w:after="280"/>
        <w:rPr>
          <w:rFonts w:cs="Arial"/>
          <w:bCs/>
          <w:color w:val="auto"/>
          <w:szCs w:val="25"/>
        </w:rPr>
      </w:pPr>
      <w:bookmarkStart w:id="29" w:name="_Toc441141973"/>
      <w:bookmarkStart w:id="30" w:name="_Toc333911817"/>
      <w:bookmarkStart w:id="31" w:name="_Toc360095142"/>
      <w:bookmarkStart w:id="32" w:name="_Toc360095775"/>
      <w:r w:rsidRPr="00561D26">
        <w:rPr>
          <w:rFonts w:cs="Arial"/>
          <w:bCs/>
          <w:color w:val="auto"/>
          <w:szCs w:val="25"/>
        </w:rPr>
        <w:lastRenderedPageBreak/>
        <w:t xml:space="preserve">Contestación de </w:t>
      </w:r>
      <w:smartTag w:uri="urn:schemas-microsoft-com:office:smarttags" w:element="PersonName">
        <w:smartTagPr>
          <w:attr w:name="ProductID" w:val="la C￡mara"/>
        </w:smartTagPr>
        <w:r w:rsidRPr="00561D26">
          <w:rPr>
            <w:rFonts w:cs="Arial"/>
            <w:bCs/>
            <w:color w:val="auto"/>
            <w:szCs w:val="25"/>
          </w:rPr>
          <w:t xml:space="preserve">la </w:t>
        </w:r>
        <w:smartTag w:uri="urn:schemas-microsoft-com:office:smarttags" w:element="PersonName">
          <w:r w:rsidRPr="00561D26">
            <w:rPr>
              <w:rFonts w:cs="Arial"/>
              <w:bCs/>
              <w:color w:val="auto"/>
              <w:szCs w:val="25"/>
            </w:rPr>
            <w:t>Cámara</w:t>
          </w:r>
        </w:smartTag>
      </w:smartTag>
      <w:r w:rsidRPr="00561D26">
        <w:rPr>
          <w:rFonts w:cs="Arial"/>
          <w:bCs/>
          <w:color w:val="auto"/>
          <w:szCs w:val="25"/>
        </w:rPr>
        <w:t xml:space="preserve"> de Comptos a las alegaciones presentadas</w:t>
      </w:r>
      <w:bookmarkEnd w:id="29"/>
      <w:r w:rsidRPr="00561D26">
        <w:rPr>
          <w:rFonts w:cs="Arial"/>
          <w:bCs/>
          <w:color w:val="auto"/>
          <w:szCs w:val="25"/>
        </w:rPr>
        <w:t xml:space="preserve"> </w:t>
      </w:r>
      <w:bookmarkEnd w:id="30"/>
      <w:bookmarkEnd w:id="31"/>
      <w:bookmarkEnd w:id="32"/>
    </w:p>
    <w:p w:rsidR="007C33FD" w:rsidRPr="000A7E76" w:rsidRDefault="005228CD" w:rsidP="007C33FD">
      <w:pPr>
        <w:pStyle w:val="texto"/>
        <w:rPr>
          <w:rFonts w:ascii="Arial" w:hAnsi="Arial" w:cs="Arial"/>
          <w:sz w:val="24"/>
        </w:rPr>
      </w:pPr>
      <w:r>
        <w:rPr>
          <w:rFonts w:ascii="Arial" w:hAnsi="Arial" w:cs="Arial"/>
          <w:sz w:val="24"/>
        </w:rPr>
        <w:t xml:space="preserve">La alegaciones presentadas por el director general de </w:t>
      </w:r>
      <w:proofErr w:type="spellStart"/>
      <w:r>
        <w:rPr>
          <w:rFonts w:ascii="Arial" w:hAnsi="Arial" w:cs="Arial"/>
          <w:sz w:val="24"/>
        </w:rPr>
        <w:t>Sodena</w:t>
      </w:r>
      <w:proofErr w:type="spellEnd"/>
      <w:r>
        <w:rPr>
          <w:rFonts w:ascii="Arial" w:hAnsi="Arial" w:cs="Arial"/>
          <w:sz w:val="24"/>
        </w:rPr>
        <w:t xml:space="preserve"> en 2005 y por el consejero de </w:t>
      </w:r>
      <w:r w:rsidR="00BA4B27">
        <w:rPr>
          <w:rFonts w:ascii="Arial" w:hAnsi="Arial" w:cs="Arial"/>
          <w:sz w:val="24"/>
        </w:rPr>
        <w:t xml:space="preserve">Desarrollo Económico </w:t>
      </w:r>
      <w:r>
        <w:rPr>
          <w:rFonts w:ascii="Arial" w:hAnsi="Arial" w:cs="Arial"/>
          <w:sz w:val="24"/>
        </w:rPr>
        <w:t>y presidente del consejo de adm</w:t>
      </w:r>
      <w:r>
        <w:rPr>
          <w:rFonts w:ascii="Arial" w:hAnsi="Arial" w:cs="Arial"/>
          <w:sz w:val="24"/>
        </w:rPr>
        <w:t>i</w:t>
      </w:r>
      <w:r>
        <w:rPr>
          <w:rFonts w:ascii="Arial" w:hAnsi="Arial" w:cs="Arial"/>
          <w:sz w:val="24"/>
        </w:rPr>
        <w:t xml:space="preserve">nistración de </w:t>
      </w:r>
      <w:proofErr w:type="spellStart"/>
      <w:r>
        <w:rPr>
          <w:rFonts w:ascii="Arial" w:hAnsi="Arial" w:cs="Arial"/>
          <w:sz w:val="24"/>
        </w:rPr>
        <w:t>Sodena</w:t>
      </w:r>
      <w:proofErr w:type="spellEnd"/>
      <w:r>
        <w:rPr>
          <w:rFonts w:ascii="Arial" w:hAnsi="Arial" w:cs="Arial"/>
          <w:sz w:val="24"/>
        </w:rPr>
        <w:t xml:space="preserve"> en 2015 </w:t>
      </w:r>
      <w:r w:rsidR="007C33FD" w:rsidRPr="000A7E76">
        <w:rPr>
          <w:rFonts w:ascii="Arial" w:hAnsi="Arial" w:cs="Arial"/>
          <w:sz w:val="24"/>
        </w:rPr>
        <w:t>se incorporan al informe provisional y se eleva éste a definitivo al considerar que constituyen una explicación de la fiscaliz</w:t>
      </w:r>
      <w:r w:rsidR="007C33FD" w:rsidRPr="000A7E76">
        <w:rPr>
          <w:rFonts w:ascii="Arial" w:hAnsi="Arial" w:cs="Arial"/>
          <w:sz w:val="24"/>
        </w:rPr>
        <w:t>a</w:t>
      </w:r>
      <w:r w:rsidR="007C33FD" w:rsidRPr="000A7E76">
        <w:rPr>
          <w:rFonts w:ascii="Arial" w:hAnsi="Arial" w:cs="Arial"/>
          <w:sz w:val="24"/>
        </w:rPr>
        <w:t>ción realizada y no alteran su contenido, si bien esta Cámara quiere señalar los siguientes aspectos:</w:t>
      </w:r>
    </w:p>
    <w:p w:rsidR="007C33FD" w:rsidRPr="000A7E76" w:rsidRDefault="007C33FD" w:rsidP="007C33FD">
      <w:pPr>
        <w:keepNext/>
        <w:spacing w:after="240"/>
        <w:ind w:firstLine="0"/>
        <w:rPr>
          <w:rFonts w:ascii="GillSans" w:hAnsi="GillSans"/>
          <w:b/>
          <w:bCs/>
          <w:kern w:val="28"/>
          <w:sz w:val="26"/>
        </w:rPr>
      </w:pPr>
    </w:p>
    <w:p w:rsidR="007C33FD" w:rsidRPr="000A7E76" w:rsidRDefault="007C33FD" w:rsidP="007C33FD">
      <w:pPr>
        <w:pStyle w:val="atitulo3"/>
        <w:rPr>
          <w:color w:val="auto"/>
        </w:rPr>
      </w:pPr>
      <w:r w:rsidRPr="000A7E76">
        <w:rPr>
          <w:color w:val="auto"/>
        </w:rPr>
        <w:t xml:space="preserve">Contestación a las alegaciones del </w:t>
      </w:r>
      <w:r w:rsidR="00B538B9" w:rsidRPr="000A7E76">
        <w:rPr>
          <w:color w:val="auto"/>
        </w:rPr>
        <w:t>consejero de Desarrollo Económico</w:t>
      </w:r>
    </w:p>
    <w:p w:rsidR="00B538B9" w:rsidRPr="000A7E76" w:rsidRDefault="00B538B9" w:rsidP="00B538B9">
      <w:pPr>
        <w:pStyle w:val="texto"/>
        <w:rPr>
          <w:rFonts w:ascii="Arial" w:hAnsi="Arial" w:cs="Arial"/>
          <w:sz w:val="24"/>
        </w:rPr>
      </w:pPr>
      <w:r w:rsidRPr="000A7E76">
        <w:rPr>
          <w:rFonts w:ascii="Arial" w:hAnsi="Arial" w:cs="Arial"/>
          <w:sz w:val="24"/>
        </w:rPr>
        <w:t xml:space="preserve"> Consideramos que los indicadores financieros de la inversión en acciones de Iberdrola que hemos calculado son representativos y suficientes para mo</w:t>
      </w:r>
      <w:r w:rsidRPr="000A7E76">
        <w:rPr>
          <w:rFonts w:ascii="Arial" w:hAnsi="Arial" w:cs="Arial"/>
          <w:sz w:val="24"/>
        </w:rPr>
        <w:t>s</w:t>
      </w:r>
      <w:r w:rsidRPr="000A7E76">
        <w:rPr>
          <w:rFonts w:ascii="Arial" w:hAnsi="Arial" w:cs="Arial"/>
          <w:sz w:val="24"/>
        </w:rPr>
        <w:t>trar los resultados y la rentabilidad de dicha operación y que si bien pudieran plantearse otros diferentes, no estimamos oportuno evaluar alternativas que no han sucedido.</w:t>
      </w:r>
    </w:p>
    <w:p w:rsidR="007C33FD" w:rsidRPr="000A7E76" w:rsidRDefault="007C33FD" w:rsidP="007C33FD">
      <w:pPr>
        <w:rPr>
          <w:rFonts w:ascii="Arial" w:hAnsi="Arial" w:cs="Arial"/>
          <w:spacing w:val="6"/>
          <w:sz w:val="24"/>
          <w:szCs w:val="24"/>
        </w:rPr>
      </w:pPr>
    </w:p>
    <w:p w:rsidR="007C33FD" w:rsidRPr="000A7E76" w:rsidRDefault="007C33FD" w:rsidP="007C33FD">
      <w:pPr>
        <w:spacing w:after="120"/>
        <w:ind w:firstLine="0"/>
        <w:jc w:val="center"/>
        <w:rPr>
          <w:rFonts w:ascii="Arial" w:hAnsi="Arial" w:cs="Arial"/>
          <w:spacing w:val="6"/>
          <w:sz w:val="24"/>
          <w:szCs w:val="24"/>
        </w:rPr>
      </w:pPr>
      <w:r w:rsidRPr="000A7E76">
        <w:rPr>
          <w:rFonts w:ascii="Arial" w:hAnsi="Arial" w:cs="Arial"/>
          <w:spacing w:val="6"/>
          <w:sz w:val="24"/>
          <w:szCs w:val="24"/>
        </w:rPr>
        <w:t xml:space="preserve">Pamplona, </w:t>
      </w:r>
      <w:r w:rsidR="000A7E76">
        <w:rPr>
          <w:rFonts w:ascii="Arial" w:hAnsi="Arial" w:cs="Arial"/>
          <w:spacing w:val="6"/>
          <w:sz w:val="24"/>
          <w:szCs w:val="24"/>
        </w:rPr>
        <w:t>21</w:t>
      </w:r>
      <w:r w:rsidRPr="000A7E76">
        <w:rPr>
          <w:rFonts w:ascii="Arial" w:hAnsi="Arial" w:cs="Arial"/>
          <w:spacing w:val="6"/>
          <w:sz w:val="24"/>
          <w:szCs w:val="24"/>
        </w:rPr>
        <w:t xml:space="preserve"> de </w:t>
      </w:r>
      <w:r w:rsidR="00B538B9" w:rsidRPr="000A7E76">
        <w:rPr>
          <w:rFonts w:ascii="Arial" w:hAnsi="Arial" w:cs="Arial"/>
          <w:spacing w:val="6"/>
          <w:sz w:val="24"/>
          <w:szCs w:val="24"/>
        </w:rPr>
        <w:t xml:space="preserve">enero </w:t>
      </w:r>
      <w:r w:rsidRPr="000A7E76">
        <w:rPr>
          <w:rFonts w:ascii="Arial" w:hAnsi="Arial" w:cs="Arial"/>
          <w:spacing w:val="6"/>
          <w:sz w:val="24"/>
          <w:szCs w:val="24"/>
        </w:rPr>
        <w:t>de 201</w:t>
      </w:r>
      <w:r w:rsidR="00B538B9" w:rsidRPr="000A7E76">
        <w:rPr>
          <w:rFonts w:ascii="Arial" w:hAnsi="Arial" w:cs="Arial"/>
          <w:spacing w:val="6"/>
          <w:sz w:val="24"/>
          <w:szCs w:val="24"/>
        </w:rPr>
        <w:t>6</w:t>
      </w:r>
    </w:p>
    <w:p w:rsidR="007C33FD" w:rsidRPr="000A7E76" w:rsidRDefault="007C33FD" w:rsidP="007C33FD">
      <w:pPr>
        <w:numPr>
          <w:ilvl w:val="12"/>
          <w:numId w:val="0"/>
        </w:numPr>
        <w:spacing w:after="1200"/>
        <w:jc w:val="center"/>
        <w:rPr>
          <w:rFonts w:ascii="Arial" w:hAnsi="Arial" w:cs="Arial"/>
          <w:spacing w:val="6"/>
          <w:sz w:val="24"/>
          <w:szCs w:val="24"/>
        </w:rPr>
      </w:pPr>
      <w:r w:rsidRPr="000A7E76">
        <w:rPr>
          <w:rFonts w:ascii="Arial" w:hAnsi="Arial" w:cs="Arial"/>
          <w:spacing w:val="6"/>
          <w:sz w:val="24"/>
          <w:szCs w:val="24"/>
        </w:rPr>
        <w:t>El presidente, Helio Robleda Cabezas</w:t>
      </w:r>
    </w:p>
    <w:p w:rsidR="004D1898" w:rsidRPr="000A7E76" w:rsidRDefault="004D1898" w:rsidP="004D1898">
      <w:pPr>
        <w:pStyle w:val="texto"/>
        <w:tabs>
          <w:tab w:val="clear" w:pos="2835"/>
          <w:tab w:val="clear" w:pos="3969"/>
          <w:tab w:val="clear" w:pos="5103"/>
          <w:tab w:val="clear" w:pos="6237"/>
          <w:tab w:val="clear" w:pos="7371"/>
        </w:tabs>
        <w:spacing w:after="240"/>
        <w:ind w:firstLine="0"/>
        <w:rPr>
          <w:rFonts w:eastAsia="Calibri"/>
          <w:lang w:eastAsia="es-ES"/>
        </w:rPr>
      </w:pPr>
    </w:p>
    <w:sectPr w:rsidR="004D1898" w:rsidRPr="000A7E76" w:rsidSect="004D1898">
      <w:footerReference w:type="default" r:id="rId18"/>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96E" w:rsidRDefault="0056596E">
      <w:r>
        <w:separator/>
      </w:r>
    </w:p>
    <w:p w:rsidR="0056596E" w:rsidRDefault="0056596E"/>
    <w:p w:rsidR="0056596E" w:rsidRDefault="0056596E"/>
    <w:p w:rsidR="0056596E" w:rsidRDefault="0056596E"/>
  </w:endnote>
  <w:endnote w:type="continuationSeparator" w:id="0">
    <w:p w:rsidR="0056596E" w:rsidRDefault="0056596E">
      <w:r>
        <w:continuationSeparator/>
      </w:r>
    </w:p>
    <w:p w:rsidR="0056596E" w:rsidRDefault="0056596E"/>
    <w:p w:rsidR="0056596E" w:rsidRDefault="0056596E"/>
    <w:p w:rsidR="0056596E" w:rsidRDefault="005659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illSans">
    <w:altName w:val="Courier"/>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C0007843" w:usb2="00000009" w:usb3="00000000" w:csb0="000001FF" w:csb1="00000000"/>
  </w:font>
  <w:font w:name="Trajan">
    <w:panose1 w:val="00000000000000000000"/>
    <w:charset w:val="00"/>
    <w:family w:val="roman"/>
    <w:notTrueType/>
    <w:pitch w:val="variable"/>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Helvetica LT Std">
    <w:panose1 w:val="020B0504020202020204"/>
    <w:charset w:val="00"/>
    <w:family w:val="swiss"/>
    <w:notTrueType/>
    <w:pitch w:val="variable"/>
    <w:sig w:usb0="800002AF" w:usb1="50002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6E" w:rsidRDefault="0056596E"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6596E" w:rsidRDefault="0056596E"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6E" w:rsidRPr="00F03814" w:rsidRDefault="0056596E"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4FEDA6A1" wp14:editId="6B1E5763">
          <wp:extent cx="219075" cy="371475"/>
          <wp:effectExtent l="0" t="0" r="0" b="0"/>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56596E" w:rsidRPr="00F74E38" w:rsidRDefault="0056596E" w:rsidP="00F03814">
    <w:pPr>
      <w:pStyle w:val="Piedepgina"/>
      <w:tabs>
        <w:tab w:val="clear" w:pos="4252"/>
        <w:tab w:val="clear" w:pos="8504"/>
        <w:tab w:val="center" w:pos="4560"/>
      </w:tabs>
      <w:ind w:right="360"/>
      <w:jc w:val="left"/>
      <w:rPr>
        <w:rStyle w:val="Nmerodepgina"/>
      </w:rPr>
    </w:pPr>
  </w:p>
  <w:p w:rsidR="0056596E" w:rsidRPr="00C13453" w:rsidRDefault="0056596E"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6E" w:rsidRDefault="0056596E"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6E" w:rsidRPr="00F03814" w:rsidRDefault="0056596E"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02D6783D" wp14:editId="78CF642B">
          <wp:extent cx="219075" cy="371475"/>
          <wp:effectExtent l="0" t="0" r="0" b="0"/>
          <wp:docPr id="8" name="Imagen 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F74377">
      <w:rPr>
        <w:rStyle w:val="Nmerodepgina"/>
        <w:noProof/>
        <w:szCs w:val="24"/>
      </w:rPr>
      <w:t>21</w:t>
    </w:r>
    <w:r w:rsidRPr="001D4F09">
      <w:rPr>
        <w:rStyle w:val="Nmerodepgina"/>
        <w:szCs w:val="24"/>
      </w:rPr>
      <w:fldChar w:fldCharType="end"/>
    </w:r>
    <w:r w:rsidRPr="001D4F09">
      <w:rPr>
        <w:rStyle w:val="Nmerodepgina"/>
        <w:szCs w:val="24"/>
      </w:rPr>
      <w:t xml:space="preserve"> -</w:t>
    </w:r>
  </w:p>
  <w:p w:rsidR="0056596E" w:rsidRPr="00C13453" w:rsidRDefault="0056596E" w:rsidP="00D2472C">
    <w:pPr>
      <w:pStyle w:val="BorradorProvisional"/>
      <w:ind w:left="0"/>
      <w:jc w:val="center"/>
    </w:pPr>
  </w:p>
  <w:p w:rsidR="0056596E" w:rsidRDefault="0056596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6E" w:rsidRPr="00F03814" w:rsidRDefault="0056596E"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4B4BD43D" wp14:editId="371A000D">
          <wp:extent cx="219075" cy="371475"/>
          <wp:effectExtent l="0" t="0" r="0" b="0"/>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Fonts w:ascii="GillSans" w:hAnsi="GillSans"/>
      </w:rPr>
      <w:tab/>
    </w:r>
    <w:r>
      <w:rPr>
        <w:rFonts w:ascii="GillSans" w:hAnsi="GillSans"/>
      </w:rPr>
      <w:tab/>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F74377">
      <w:rPr>
        <w:rStyle w:val="Nmerodepgina"/>
        <w:noProof/>
        <w:szCs w:val="24"/>
      </w:rPr>
      <w:t>23</w:t>
    </w:r>
    <w:r w:rsidRPr="001D4F09">
      <w:rPr>
        <w:rStyle w:val="Nmerodepgina"/>
        <w:szCs w:val="24"/>
      </w:rPr>
      <w:fldChar w:fldCharType="end"/>
    </w:r>
    <w:r w:rsidRPr="001D4F09">
      <w:rPr>
        <w:rStyle w:val="Nmerodepgina"/>
        <w:szCs w:val="24"/>
      </w:rPr>
      <w:t xml:space="preserve"> -</w:t>
    </w:r>
  </w:p>
  <w:p w:rsidR="0056596E" w:rsidRPr="00C13453" w:rsidRDefault="0056596E" w:rsidP="00D2472C">
    <w:pPr>
      <w:pStyle w:val="BorradorProvisional"/>
      <w:ind w:left="0"/>
      <w:jc w:val="center"/>
    </w:pPr>
  </w:p>
  <w:p w:rsidR="0056596E" w:rsidRDefault="0056596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6E" w:rsidRPr="00F03814" w:rsidRDefault="0056596E"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05882B66" wp14:editId="53F58DAB">
          <wp:extent cx="219075" cy="371475"/>
          <wp:effectExtent l="0" t="0" r="0" b="0"/>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F74377">
      <w:rPr>
        <w:rStyle w:val="Nmerodepgina"/>
        <w:noProof/>
        <w:szCs w:val="24"/>
      </w:rPr>
      <w:t>27</w:t>
    </w:r>
    <w:r w:rsidRPr="001D4F09">
      <w:rPr>
        <w:rStyle w:val="Nmerodepgina"/>
        <w:szCs w:val="24"/>
      </w:rPr>
      <w:fldChar w:fldCharType="end"/>
    </w:r>
    <w:r w:rsidRPr="001D4F09">
      <w:rPr>
        <w:rStyle w:val="Nmerodepgina"/>
        <w:szCs w:val="24"/>
      </w:rPr>
      <w:t xml:space="preserve"> -</w:t>
    </w:r>
  </w:p>
  <w:p w:rsidR="0056596E" w:rsidRPr="00C13453" w:rsidRDefault="0056596E" w:rsidP="00D2472C">
    <w:pPr>
      <w:pStyle w:val="BorradorProvisional"/>
      <w:ind w:left="0"/>
      <w:jc w:val="center"/>
    </w:pPr>
  </w:p>
  <w:p w:rsidR="0056596E" w:rsidRDefault="0056596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6E" w:rsidRPr="00F03814" w:rsidRDefault="0056596E"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7EF474CA" wp14:editId="033178BA">
          <wp:extent cx="219075" cy="371475"/>
          <wp:effectExtent l="0" t="0" r="0" b="0"/>
          <wp:docPr id="9" name="Imagen 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56596E" w:rsidRPr="00C13453" w:rsidRDefault="0056596E" w:rsidP="00D2472C">
    <w:pPr>
      <w:pStyle w:val="BorradorProvisional"/>
      <w:ind w:left="0"/>
      <w:jc w:val="center"/>
    </w:pPr>
  </w:p>
  <w:p w:rsidR="0056596E" w:rsidRDefault="005659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96E" w:rsidRDefault="0056596E">
      <w:r>
        <w:separator/>
      </w:r>
    </w:p>
    <w:p w:rsidR="0056596E" w:rsidRDefault="0056596E"/>
    <w:p w:rsidR="0056596E" w:rsidRDefault="0056596E"/>
    <w:p w:rsidR="0056596E" w:rsidRDefault="0056596E"/>
  </w:footnote>
  <w:footnote w:type="continuationSeparator" w:id="0">
    <w:p w:rsidR="0056596E" w:rsidRDefault="0056596E">
      <w:r>
        <w:continuationSeparator/>
      </w:r>
    </w:p>
    <w:p w:rsidR="0056596E" w:rsidRDefault="0056596E"/>
    <w:p w:rsidR="0056596E" w:rsidRDefault="0056596E"/>
    <w:p w:rsidR="0056596E" w:rsidRDefault="0056596E"/>
  </w:footnote>
  <w:footnote w:id="1">
    <w:p w:rsidR="007C7938" w:rsidRDefault="007C7938">
      <w:pPr>
        <w:pStyle w:val="Textonotapie"/>
      </w:pPr>
      <w:r>
        <w:rPr>
          <w:rStyle w:val="Refdenotaalpie"/>
        </w:rPr>
        <w:footnoteRef/>
      </w:r>
      <w:r>
        <w:t xml:space="preserve"> Párrafo modificado por la alegación presentada por el director </w:t>
      </w:r>
      <w:r w:rsidR="00C46890">
        <w:t xml:space="preserve">financiero </w:t>
      </w:r>
      <w:r>
        <w:t xml:space="preserve">y de </w:t>
      </w:r>
      <w:r w:rsidR="00C46890">
        <w:t xml:space="preserve">control </w:t>
      </w:r>
      <w:r>
        <w:t>de la Corpor</w:t>
      </w:r>
      <w:r>
        <w:t>a</w:t>
      </w:r>
      <w:r>
        <w:t>ción Pública Empresarial de Navarra.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6E" w:rsidRDefault="0056596E"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062E0B42" wp14:editId="2F728DD6">
          <wp:extent cx="771525" cy="762000"/>
          <wp:effectExtent l="0" t="0" r="0"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56596E" w:rsidRPr="0059650E" w:rsidRDefault="0056596E" w:rsidP="00891D73">
    <w:pPr>
      <w:pStyle w:val="Encabezado"/>
      <w:pBdr>
        <w:bottom w:val="single" w:sz="4" w:space="1" w:color="auto"/>
      </w:pBdr>
      <w:ind w:firstLine="0"/>
      <w:rPr>
        <w:lang w:val="es-ES"/>
      </w:rPr>
    </w:pPr>
    <w:r>
      <w:rPr>
        <w:lang w:val="es-ES"/>
      </w:rPr>
      <w:t>informe de fiscalización SOBRE resultados de la operación de compra venta de acciones de iberdrola (2005-2014)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6E" w:rsidRDefault="0056596E" w:rsidP="006A2D41">
    <w:pPr>
      <w:pStyle w:val="Encabezado"/>
      <w:ind w:firstLine="0"/>
      <w:jc w:val="left"/>
    </w:pPr>
    <w:r>
      <w:rPr>
        <w:noProof/>
        <w:lang w:val="es-ES" w:eastAsia="es-ES"/>
      </w:rPr>
      <w:drawing>
        <wp:inline distT="0" distB="0" distL="0" distR="0" wp14:anchorId="7AAEC99F" wp14:editId="1E79CC9A">
          <wp:extent cx="771525" cy="762000"/>
          <wp:effectExtent l="0" t="0" r="0"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6E" w:rsidRDefault="0056596E"/>
  <w:p w:rsidR="0056596E" w:rsidRDefault="0056596E"/>
  <w:p w:rsidR="0056596E" w:rsidRDefault="005659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10E4"/>
    <w:multiLevelType w:val="hybridMultilevel"/>
    <w:tmpl w:val="3628233E"/>
    <w:lvl w:ilvl="0" w:tplc="7548E38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0DD01645"/>
    <w:multiLevelType w:val="hybridMultilevel"/>
    <w:tmpl w:val="DE26DCE4"/>
    <w:lvl w:ilvl="0" w:tplc="28A0039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10663CA8"/>
    <w:multiLevelType w:val="hybridMultilevel"/>
    <w:tmpl w:val="03949476"/>
    <w:lvl w:ilvl="0" w:tplc="229AC05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2795786"/>
    <w:multiLevelType w:val="hybridMultilevel"/>
    <w:tmpl w:val="4DEE244C"/>
    <w:lvl w:ilvl="0" w:tplc="3A7062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nsid w:val="1A0E3BA8"/>
    <w:multiLevelType w:val="hybridMultilevel"/>
    <w:tmpl w:val="3E8A95A4"/>
    <w:lvl w:ilvl="0" w:tplc="C60A1E3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3885992"/>
    <w:multiLevelType w:val="hybridMultilevel"/>
    <w:tmpl w:val="441C33D6"/>
    <w:lvl w:ilvl="0" w:tplc="CA84D9C6">
      <w:start w:val="1"/>
      <w:numFmt w:val="decimal"/>
      <w:lvlText w:val="(%1)"/>
      <w:lvlJc w:val="left"/>
      <w:pPr>
        <w:tabs>
          <w:tab w:val="num" w:pos="372"/>
        </w:tabs>
        <w:ind w:left="372" w:hanging="360"/>
      </w:pPr>
      <w:rPr>
        <w:rFonts w:hint="default"/>
      </w:rPr>
    </w:lvl>
    <w:lvl w:ilvl="1" w:tplc="040A0019" w:tentative="1">
      <w:start w:val="1"/>
      <w:numFmt w:val="lowerLetter"/>
      <w:lvlText w:val="%2."/>
      <w:lvlJc w:val="left"/>
      <w:pPr>
        <w:tabs>
          <w:tab w:val="num" w:pos="1092"/>
        </w:tabs>
        <w:ind w:left="1092" w:hanging="360"/>
      </w:pPr>
    </w:lvl>
    <w:lvl w:ilvl="2" w:tplc="040A001B" w:tentative="1">
      <w:start w:val="1"/>
      <w:numFmt w:val="lowerRoman"/>
      <w:lvlText w:val="%3."/>
      <w:lvlJc w:val="right"/>
      <w:pPr>
        <w:tabs>
          <w:tab w:val="num" w:pos="1812"/>
        </w:tabs>
        <w:ind w:left="1812" w:hanging="180"/>
      </w:pPr>
    </w:lvl>
    <w:lvl w:ilvl="3" w:tplc="040A000F" w:tentative="1">
      <w:start w:val="1"/>
      <w:numFmt w:val="decimal"/>
      <w:lvlText w:val="%4."/>
      <w:lvlJc w:val="left"/>
      <w:pPr>
        <w:tabs>
          <w:tab w:val="num" w:pos="2532"/>
        </w:tabs>
        <w:ind w:left="2532" w:hanging="360"/>
      </w:pPr>
    </w:lvl>
    <w:lvl w:ilvl="4" w:tplc="040A0019" w:tentative="1">
      <w:start w:val="1"/>
      <w:numFmt w:val="lowerLetter"/>
      <w:lvlText w:val="%5."/>
      <w:lvlJc w:val="left"/>
      <w:pPr>
        <w:tabs>
          <w:tab w:val="num" w:pos="3252"/>
        </w:tabs>
        <w:ind w:left="3252" w:hanging="360"/>
      </w:pPr>
    </w:lvl>
    <w:lvl w:ilvl="5" w:tplc="040A001B" w:tentative="1">
      <w:start w:val="1"/>
      <w:numFmt w:val="lowerRoman"/>
      <w:lvlText w:val="%6."/>
      <w:lvlJc w:val="right"/>
      <w:pPr>
        <w:tabs>
          <w:tab w:val="num" w:pos="3972"/>
        </w:tabs>
        <w:ind w:left="3972" w:hanging="180"/>
      </w:pPr>
    </w:lvl>
    <w:lvl w:ilvl="6" w:tplc="040A000F" w:tentative="1">
      <w:start w:val="1"/>
      <w:numFmt w:val="decimal"/>
      <w:lvlText w:val="%7."/>
      <w:lvlJc w:val="left"/>
      <w:pPr>
        <w:tabs>
          <w:tab w:val="num" w:pos="4692"/>
        </w:tabs>
        <w:ind w:left="4692" w:hanging="360"/>
      </w:pPr>
    </w:lvl>
    <w:lvl w:ilvl="7" w:tplc="040A0019" w:tentative="1">
      <w:start w:val="1"/>
      <w:numFmt w:val="lowerLetter"/>
      <w:lvlText w:val="%8."/>
      <w:lvlJc w:val="left"/>
      <w:pPr>
        <w:tabs>
          <w:tab w:val="num" w:pos="5412"/>
        </w:tabs>
        <w:ind w:left="5412" w:hanging="360"/>
      </w:pPr>
    </w:lvl>
    <w:lvl w:ilvl="8" w:tplc="040A001B" w:tentative="1">
      <w:start w:val="1"/>
      <w:numFmt w:val="lowerRoman"/>
      <w:lvlText w:val="%9."/>
      <w:lvlJc w:val="right"/>
      <w:pPr>
        <w:tabs>
          <w:tab w:val="num" w:pos="6132"/>
        </w:tabs>
        <w:ind w:left="6132" w:hanging="180"/>
      </w:pPr>
    </w:lvl>
  </w:abstractNum>
  <w:abstractNum w:abstractNumId="7">
    <w:nsid w:val="28075EF2"/>
    <w:multiLevelType w:val="hybridMultilevel"/>
    <w:tmpl w:val="4914F7E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2B0B061E"/>
    <w:multiLevelType w:val="hybridMultilevel"/>
    <w:tmpl w:val="D4C88076"/>
    <w:lvl w:ilvl="0" w:tplc="327AE6DE">
      <w:start w:val="1"/>
      <w:numFmt w:val="lowerLetter"/>
      <w:lvlText w:val="%1)"/>
      <w:lvlJc w:val="left"/>
      <w:pPr>
        <w:ind w:left="615" w:hanging="61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D01087A"/>
    <w:multiLevelType w:val="hybridMultilevel"/>
    <w:tmpl w:val="A56CBABC"/>
    <w:lvl w:ilvl="0" w:tplc="EF264E5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nsid w:val="3E12024F"/>
    <w:multiLevelType w:val="hybridMultilevel"/>
    <w:tmpl w:val="89D675AE"/>
    <w:lvl w:ilvl="0" w:tplc="F636015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nsid w:val="3EF56D82"/>
    <w:multiLevelType w:val="hybridMultilevel"/>
    <w:tmpl w:val="3A9CFAA2"/>
    <w:lvl w:ilvl="0" w:tplc="0C0A0017">
      <w:start w:val="1"/>
      <w:numFmt w:val="lowerLetter"/>
      <w:lvlText w:val="%1)"/>
      <w:lvlJc w:val="left"/>
      <w:pPr>
        <w:ind w:left="615" w:hanging="61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nsid w:val="44F53AC9"/>
    <w:multiLevelType w:val="hybridMultilevel"/>
    <w:tmpl w:val="634E0F56"/>
    <w:lvl w:ilvl="0" w:tplc="74880F3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534B1E06"/>
    <w:multiLevelType w:val="hybridMultilevel"/>
    <w:tmpl w:val="AC06EB3A"/>
    <w:lvl w:ilvl="0" w:tplc="1BF60B10">
      <w:start w:val="2"/>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nsid w:val="5EE77E0C"/>
    <w:multiLevelType w:val="hybridMultilevel"/>
    <w:tmpl w:val="29FADF70"/>
    <w:lvl w:ilvl="0" w:tplc="A36E518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7">
    <w:nsid w:val="67D11CF4"/>
    <w:multiLevelType w:val="hybridMultilevel"/>
    <w:tmpl w:val="FA762DC4"/>
    <w:lvl w:ilvl="0" w:tplc="C1EE5D5A">
      <w:start w:val="1"/>
      <w:numFmt w:val="lowerLetter"/>
      <w:lvlText w:val="%1)"/>
      <w:lvlJc w:val="left"/>
      <w:pPr>
        <w:ind w:left="615" w:hanging="61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nsid w:val="6E9E7902"/>
    <w:multiLevelType w:val="hybridMultilevel"/>
    <w:tmpl w:val="D890C72C"/>
    <w:lvl w:ilvl="0" w:tplc="F91C40CA">
      <w:start w:val="102"/>
      <w:numFmt w:val="bullet"/>
      <w:lvlText w:val="-"/>
      <w:lvlJc w:val="left"/>
      <w:pPr>
        <w:ind w:left="644" w:hanging="360"/>
      </w:pPr>
      <w:rPr>
        <w:rFonts w:ascii="Times New Roman" w:eastAsia="Calibri"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0">
    <w:nsid w:val="736D7BA3"/>
    <w:multiLevelType w:val="hybridMultilevel"/>
    <w:tmpl w:val="8DD00F28"/>
    <w:lvl w:ilvl="0" w:tplc="294A75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48C761F"/>
    <w:multiLevelType w:val="hybridMultilevel"/>
    <w:tmpl w:val="CF822304"/>
    <w:lvl w:ilvl="0" w:tplc="78C22C82">
      <w:start w:val="1"/>
      <w:numFmt w:val="lowerLetter"/>
      <w:lvlText w:val="%1)"/>
      <w:lvlJc w:val="left"/>
      <w:pPr>
        <w:ind w:left="615" w:hanging="61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nsid w:val="768B0AC7"/>
    <w:multiLevelType w:val="hybridMultilevel"/>
    <w:tmpl w:val="066E01CE"/>
    <w:lvl w:ilvl="0" w:tplc="EEAE27A4">
      <w:start w:val="1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nsid w:val="7AA84EA0"/>
    <w:multiLevelType w:val="hybridMultilevel"/>
    <w:tmpl w:val="461AB86A"/>
    <w:lvl w:ilvl="0" w:tplc="648E2EE2">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25">
    <w:nsid w:val="7D481464"/>
    <w:multiLevelType w:val="hybridMultilevel"/>
    <w:tmpl w:val="C6066EEA"/>
    <w:lvl w:ilvl="0" w:tplc="0C0A0017">
      <w:start w:val="1"/>
      <w:numFmt w:val="lowerLetter"/>
      <w:lvlText w:val="%1)"/>
      <w:lvlJc w:val="left"/>
      <w:pPr>
        <w:ind w:left="615" w:hanging="61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4"/>
  </w:num>
  <w:num w:numId="2">
    <w:abstractNumId w:val="16"/>
  </w:num>
  <w:num w:numId="3">
    <w:abstractNumId w:val="4"/>
  </w:num>
  <w:num w:numId="4">
    <w:abstractNumId w:val="13"/>
  </w:num>
  <w:num w:numId="5">
    <w:abstractNumId w:val="18"/>
  </w:num>
  <w:num w:numId="6">
    <w:abstractNumId w:val="4"/>
  </w:num>
  <w:num w:numId="7">
    <w:abstractNumId w:val="4"/>
  </w:num>
  <w:num w:numId="8">
    <w:abstractNumId w:val="4"/>
  </w:num>
  <w:num w:numId="9">
    <w:abstractNumId w:val="15"/>
  </w:num>
  <w:num w:numId="10">
    <w:abstractNumId w:val="6"/>
  </w:num>
  <w:num w:numId="11">
    <w:abstractNumId w:val="19"/>
  </w:num>
  <w:num w:numId="12">
    <w:abstractNumId w:val="20"/>
  </w:num>
  <w:num w:numId="13">
    <w:abstractNumId w:val="9"/>
  </w:num>
  <w:num w:numId="14">
    <w:abstractNumId w:val="2"/>
  </w:num>
  <w:num w:numId="15">
    <w:abstractNumId w:val="1"/>
  </w:num>
  <w:num w:numId="16">
    <w:abstractNumId w:val="7"/>
  </w:num>
  <w:num w:numId="17">
    <w:abstractNumId w:val="12"/>
  </w:num>
  <w:num w:numId="18">
    <w:abstractNumId w:val="14"/>
  </w:num>
  <w:num w:numId="19">
    <w:abstractNumId w:val="0"/>
  </w:num>
  <w:num w:numId="20">
    <w:abstractNumId w:val="11"/>
  </w:num>
  <w:num w:numId="21">
    <w:abstractNumId w:val="21"/>
  </w:num>
  <w:num w:numId="22">
    <w:abstractNumId w:val="17"/>
  </w:num>
  <w:num w:numId="23">
    <w:abstractNumId w:val="8"/>
  </w:num>
  <w:num w:numId="24">
    <w:abstractNumId w:val="25"/>
  </w:num>
  <w:num w:numId="25">
    <w:abstractNumId w:val="3"/>
  </w:num>
  <w:num w:numId="26">
    <w:abstractNumId w:val="5"/>
  </w:num>
  <w:num w:numId="27">
    <w:abstractNumId w:val="22"/>
  </w:num>
  <w:num w:numId="28">
    <w:abstractNumId w:val="1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09A"/>
    <w:rsid w:val="000019D8"/>
    <w:rsid w:val="00006736"/>
    <w:rsid w:val="00006A97"/>
    <w:rsid w:val="0001123B"/>
    <w:rsid w:val="00012A7F"/>
    <w:rsid w:val="00017A3A"/>
    <w:rsid w:val="00036E42"/>
    <w:rsid w:val="0004373B"/>
    <w:rsid w:val="000448FA"/>
    <w:rsid w:val="00053A42"/>
    <w:rsid w:val="0005517D"/>
    <w:rsid w:val="000551D4"/>
    <w:rsid w:val="0006133D"/>
    <w:rsid w:val="00063585"/>
    <w:rsid w:val="00071CD0"/>
    <w:rsid w:val="00075692"/>
    <w:rsid w:val="00087B8D"/>
    <w:rsid w:val="00093D67"/>
    <w:rsid w:val="00093E60"/>
    <w:rsid w:val="00096746"/>
    <w:rsid w:val="000A18B7"/>
    <w:rsid w:val="000A2C1E"/>
    <w:rsid w:val="000A4697"/>
    <w:rsid w:val="000A7E76"/>
    <w:rsid w:val="000B2728"/>
    <w:rsid w:val="000B342D"/>
    <w:rsid w:val="000B3943"/>
    <w:rsid w:val="000B3F12"/>
    <w:rsid w:val="000B4477"/>
    <w:rsid w:val="000B49A7"/>
    <w:rsid w:val="000B5868"/>
    <w:rsid w:val="000C0704"/>
    <w:rsid w:val="000C2B07"/>
    <w:rsid w:val="000C39CC"/>
    <w:rsid w:val="000C7566"/>
    <w:rsid w:val="000D188E"/>
    <w:rsid w:val="000D410C"/>
    <w:rsid w:val="000D5335"/>
    <w:rsid w:val="000E73CB"/>
    <w:rsid w:val="000E7B86"/>
    <w:rsid w:val="000F2B66"/>
    <w:rsid w:val="000F3D83"/>
    <w:rsid w:val="00100F12"/>
    <w:rsid w:val="00103589"/>
    <w:rsid w:val="001045C9"/>
    <w:rsid w:val="00107CC1"/>
    <w:rsid w:val="00111A92"/>
    <w:rsid w:val="001145C3"/>
    <w:rsid w:val="001161D2"/>
    <w:rsid w:val="00131DF1"/>
    <w:rsid w:val="00132C38"/>
    <w:rsid w:val="00133984"/>
    <w:rsid w:val="001365C4"/>
    <w:rsid w:val="0014147D"/>
    <w:rsid w:val="00141D29"/>
    <w:rsid w:val="0014506A"/>
    <w:rsid w:val="00145783"/>
    <w:rsid w:val="0014728F"/>
    <w:rsid w:val="001521A2"/>
    <w:rsid w:val="00152358"/>
    <w:rsid w:val="00152D1E"/>
    <w:rsid w:val="00153DEF"/>
    <w:rsid w:val="00155BFF"/>
    <w:rsid w:val="00160F66"/>
    <w:rsid w:val="001633AF"/>
    <w:rsid w:val="00166A6C"/>
    <w:rsid w:val="00173EDD"/>
    <w:rsid w:val="0017402B"/>
    <w:rsid w:val="00181D37"/>
    <w:rsid w:val="001835B7"/>
    <w:rsid w:val="0018426B"/>
    <w:rsid w:val="00184468"/>
    <w:rsid w:val="00185A37"/>
    <w:rsid w:val="0018789F"/>
    <w:rsid w:val="00194309"/>
    <w:rsid w:val="0019660E"/>
    <w:rsid w:val="001B39E2"/>
    <w:rsid w:val="001C2B26"/>
    <w:rsid w:val="001C3A32"/>
    <w:rsid w:val="001D4F09"/>
    <w:rsid w:val="001F1482"/>
    <w:rsid w:val="001F20D7"/>
    <w:rsid w:val="001F7744"/>
    <w:rsid w:val="002014EB"/>
    <w:rsid w:val="00202B1A"/>
    <w:rsid w:val="00204979"/>
    <w:rsid w:val="00211D69"/>
    <w:rsid w:val="00211E21"/>
    <w:rsid w:val="00212638"/>
    <w:rsid w:val="002179DB"/>
    <w:rsid w:val="00217B56"/>
    <w:rsid w:val="00227E48"/>
    <w:rsid w:val="00230577"/>
    <w:rsid w:val="0023209D"/>
    <w:rsid w:val="002333F8"/>
    <w:rsid w:val="002334ED"/>
    <w:rsid w:val="00233D79"/>
    <w:rsid w:val="00237657"/>
    <w:rsid w:val="00240DB2"/>
    <w:rsid w:val="00242BA7"/>
    <w:rsid w:val="002437B5"/>
    <w:rsid w:val="00244EF1"/>
    <w:rsid w:val="00246F21"/>
    <w:rsid w:val="00253E78"/>
    <w:rsid w:val="00254602"/>
    <w:rsid w:val="00262C3C"/>
    <w:rsid w:val="00264C88"/>
    <w:rsid w:val="0026532C"/>
    <w:rsid w:val="0026575D"/>
    <w:rsid w:val="00266E35"/>
    <w:rsid w:val="002705B0"/>
    <w:rsid w:val="002717A6"/>
    <w:rsid w:val="00272015"/>
    <w:rsid w:val="00273C10"/>
    <w:rsid w:val="00274B4C"/>
    <w:rsid w:val="00276264"/>
    <w:rsid w:val="00281DCA"/>
    <w:rsid w:val="00297B04"/>
    <w:rsid w:val="002A056C"/>
    <w:rsid w:val="002A3992"/>
    <w:rsid w:val="002A66A5"/>
    <w:rsid w:val="002A6EBB"/>
    <w:rsid w:val="002B21E9"/>
    <w:rsid w:val="002B2B87"/>
    <w:rsid w:val="002B4E0F"/>
    <w:rsid w:val="002B5754"/>
    <w:rsid w:val="002C7026"/>
    <w:rsid w:val="002C7E08"/>
    <w:rsid w:val="002D089F"/>
    <w:rsid w:val="002D5635"/>
    <w:rsid w:val="002D6193"/>
    <w:rsid w:val="002D65E8"/>
    <w:rsid w:val="002D7D32"/>
    <w:rsid w:val="002E02E5"/>
    <w:rsid w:val="002E0478"/>
    <w:rsid w:val="002E0791"/>
    <w:rsid w:val="002E1B92"/>
    <w:rsid w:val="002E7B81"/>
    <w:rsid w:val="002F09FB"/>
    <w:rsid w:val="002F0FE3"/>
    <w:rsid w:val="002F1AF0"/>
    <w:rsid w:val="002F2530"/>
    <w:rsid w:val="002F272A"/>
    <w:rsid w:val="002F309A"/>
    <w:rsid w:val="002F3225"/>
    <w:rsid w:val="002F53B4"/>
    <w:rsid w:val="002F76D6"/>
    <w:rsid w:val="00303506"/>
    <w:rsid w:val="00307057"/>
    <w:rsid w:val="00312819"/>
    <w:rsid w:val="00312E9C"/>
    <w:rsid w:val="00313875"/>
    <w:rsid w:val="003169E3"/>
    <w:rsid w:val="003203BF"/>
    <w:rsid w:val="00321369"/>
    <w:rsid w:val="00330787"/>
    <w:rsid w:val="00333C10"/>
    <w:rsid w:val="00337493"/>
    <w:rsid w:val="0034100D"/>
    <w:rsid w:val="003425DF"/>
    <w:rsid w:val="0034285F"/>
    <w:rsid w:val="003464A4"/>
    <w:rsid w:val="00351684"/>
    <w:rsid w:val="00354458"/>
    <w:rsid w:val="00363653"/>
    <w:rsid w:val="0036509D"/>
    <w:rsid w:val="0037228C"/>
    <w:rsid w:val="003738FD"/>
    <w:rsid w:val="003810BE"/>
    <w:rsid w:val="00386F6C"/>
    <w:rsid w:val="00387709"/>
    <w:rsid w:val="00387794"/>
    <w:rsid w:val="00390971"/>
    <w:rsid w:val="00396632"/>
    <w:rsid w:val="00397162"/>
    <w:rsid w:val="003A08C5"/>
    <w:rsid w:val="003A335E"/>
    <w:rsid w:val="003A3DD2"/>
    <w:rsid w:val="003A4D8C"/>
    <w:rsid w:val="003A7956"/>
    <w:rsid w:val="003B13F1"/>
    <w:rsid w:val="003B28B5"/>
    <w:rsid w:val="003B3573"/>
    <w:rsid w:val="003B5813"/>
    <w:rsid w:val="003C03EA"/>
    <w:rsid w:val="003C196B"/>
    <w:rsid w:val="003C6E1D"/>
    <w:rsid w:val="003D058C"/>
    <w:rsid w:val="003D76B1"/>
    <w:rsid w:val="003E17A6"/>
    <w:rsid w:val="003E384D"/>
    <w:rsid w:val="003E4AA5"/>
    <w:rsid w:val="003F1CEC"/>
    <w:rsid w:val="003F43BF"/>
    <w:rsid w:val="003F6BE4"/>
    <w:rsid w:val="003F7C63"/>
    <w:rsid w:val="00400165"/>
    <w:rsid w:val="00403CF8"/>
    <w:rsid w:val="00407459"/>
    <w:rsid w:val="00414D01"/>
    <w:rsid w:val="004170FE"/>
    <w:rsid w:val="004209E6"/>
    <w:rsid w:val="0042324B"/>
    <w:rsid w:val="004234E8"/>
    <w:rsid w:val="00426805"/>
    <w:rsid w:val="00430150"/>
    <w:rsid w:val="004302F9"/>
    <w:rsid w:val="0043229B"/>
    <w:rsid w:val="00435287"/>
    <w:rsid w:val="004400D8"/>
    <w:rsid w:val="00440A22"/>
    <w:rsid w:val="004470EA"/>
    <w:rsid w:val="004476D8"/>
    <w:rsid w:val="0045550E"/>
    <w:rsid w:val="00456456"/>
    <w:rsid w:val="00462367"/>
    <w:rsid w:val="0046490C"/>
    <w:rsid w:val="00470287"/>
    <w:rsid w:val="00470733"/>
    <w:rsid w:val="00477C53"/>
    <w:rsid w:val="00484284"/>
    <w:rsid w:val="00485380"/>
    <w:rsid w:val="00493D87"/>
    <w:rsid w:val="004950D4"/>
    <w:rsid w:val="004A0506"/>
    <w:rsid w:val="004A2342"/>
    <w:rsid w:val="004A2F62"/>
    <w:rsid w:val="004B1DB8"/>
    <w:rsid w:val="004B2F01"/>
    <w:rsid w:val="004B4182"/>
    <w:rsid w:val="004B4538"/>
    <w:rsid w:val="004B6FB6"/>
    <w:rsid w:val="004B7FDA"/>
    <w:rsid w:val="004C024C"/>
    <w:rsid w:val="004C571D"/>
    <w:rsid w:val="004C5A8A"/>
    <w:rsid w:val="004D1898"/>
    <w:rsid w:val="004D35A2"/>
    <w:rsid w:val="004D5FD1"/>
    <w:rsid w:val="004F7C93"/>
    <w:rsid w:val="00506105"/>
    <w:rsid w:val="00513162"/>
    <w:rsid w:val="00522161"/>
    <w:rsid w:val="005228CD"/>
    <w:rsid w:val="00525809"/>
    <w:rsid w:val="00527FA9"/>
    <w:rsid w:val="005302D8"/>
    <w:rsid w:val="005303FE"/>
    <w:rsid w:val="00535130"/>
    <w:rsid w:val="00537302"/>
    <w:rsid w:val="00540AA4"/>
    <w:rsid w:val="005449B7"/>
    <w:rsid w:val="00544C40"/>
    <w:rsid w:val="00555509"/>
    <w:rsid w:val="00561C5B"/>
    <w:rsid w:val="00564F2D"/>
    <w:rsid w:val="0056596E"/>
    <w:rsid w:val="00566CDA"/>
    <w:rsid w:val="0056727E"/>
    <w:rsid w:val="00567BA6"/>
    <w:rsid w:val="00567EA7"/>
    <w:rsid w:val="00570033"/>
    <w:rsid w:val="00570147"/>
    <w:rsid w:val="0057307E"/>
    <w:rsid w:val="00573A4C"/>
    <w:rsid w:val="00574B79"/>
    <w:rsid w:val="00574D12"/>
    <w:rsid w:val="005800B4"/>
    <w:rsid w:val="0058070B"/>
    <w:rsid w:val="0058296F"/>
    <w:rsid w:val="00587B66"/>
    <w:rsid w:val="00593080"/>
    <w:rsid w:val="00594B6F"/>
    <w:rsid w:val="00595E80"/>
    <w:rsid w:val="0059650E"/>
    <w:rsid w:val="00596953"/>
    <w:rsid w:val="005A6030"/>
    <w:rsid w:val="005B57AD"/>
    <w:rsid w:val="005B722E"/>
    <w:rsid w:val="005C02FE"/>
    <w:rsid w:val="005C50AC"/>
    <w:rsid w:val="005C6406"/>
    <w:rsid w:val="005D69D1"/>
    <w:rsid w:val="005D6A9B"/>
    <w:rsid w:val="005E0ADF"/>
    <w:rsid w:val="005E210D"/>
    <w:rsid w:val="005E32C2"/>
    <w:rsid w:val="005F21A6"/>
    <w:rsid w:val="005F2425"/>
    <w:rsid w:val="005F5EC7"/>
    <w:rsid w:val="005F7207"/>
    <w:rsid w:val="005F7FCF"/>
    <w:rsid w:val="006025D0"/>
    <w:rsid w:val="00607691"/>
    <w:rsid w:val="0061062C"/>
    <w:rsid w:val="00613183"/>
    <w:rsid w:val="006133F0"/>
    <w:rsid w:val="00616888"/>
    <w:rsid w:val="006176BE"/>
    <w:rsid w:val="006212CB"/>
    <w:rsid w:val="006279F9"/>
    <w:rsid w:val="006369EE"/>
    <w:rsid w:val="0064700E"/>
    <w:rsid w:val="006505E8"/>
    <w:rsid w:val="00650677"/>
    <w:rsid w:val="006736A9"/>
    <w:rsid w:val="00673BC7"/>
    <w:rsid w:val="00674975"/>
    <w:rsid w:val="00675D39"/>
    <w:rsid w:val="00680F2D"/>
    <w:rsid w:val="0068362F"/>
    <w:rsid w:val="0068560B"/>
    <w:rsid w:val="006944BB"/>
    <w:rsid w:val="006A1277"/>
    <w:rsid w:val="006A2602"/>
    <w:rsid w:val="006A2D41"/>
    <w:rsid w:val="006A320C"/>
    <w:rsid w:val="006A67E1"/>
    <w:rsid w:val="006C36FB"/>
    <w:rsid w:val="006C3D85"/>
    <w:rsid w:val="006C7D62"/>
    <w:rsid w:val="006D0B23"/>
    <w:rsid w:val="006D2ED6"/>
    <w:rsid w:val="006D5685"/>
    <w:rsid w:val="006E1987"/>
    <w:rsid w:val="006E23B2"/>
    <w:rsid w:val="006E2A1A"/>
    <w:rsid w:val="006E5207"/>
    <w:rsid w:val="006F4CE2"/>
    <w:rsid w:val="006F5C70"/>
    <w:rsid w:val="006F6A20"/>
    <w:rsid w:val="007047B2"/>
    <w:rsid w:val="00704DE7"/>
    <w:rsid w:val="00706868"/>
    <w:rsid w:val="007078B8"/>
    <w:rsid w:val="00715E32"/>
    <w:rsid w:val="007162D1"/>
    <w:rsid w:val="00716463"/>
    <w:rsid w:val="0071706E"/>
    <w:rsid w:val="00724C22"/>
    <w:rsid w:val="00727292"/>
    <w:rsid w:val="00742F6A"/>
    <w:rsid w:val="007446E8"/>
    <w:rsid w:val="00744B30"/>
    <w:rsid w:val="00751553"/>
    <w:rsid w:val="0075165E"/>
    <w:rsid w:val="007544AB"/>
    <w:rsid w:val="00754E10"/>
    <w:rsid w:val="00762A29"/>
    <w:rsid w:val="0076327D"/>
    <w:rsid w:val="00767745"/>
    <w:rsid w:val="007707FC"/>
    <w:rsid w:val="00770BE3"/>
    <w:rsid w:val="0077177A"/>
    <w:rsid w:val="007728A8"/>
    <w:rsid w:val="00785A76"/>
    <w:rsid w:val="00787852"/>
    <w:rsid w:val="007915BC"/>
    <w:rsid w:val="007967FA"/>
    <w:rsid w:val="00797E7A"/>
    <w:rsid w:val="007A0EA6"/>
    <w:rsid w:val="007A2D9E"/>
    <w:rsid w:val="007A4233"/>
    <w:rsid w:val="007A4471"/>
    <w:rsid w:val="007A4623"/>
    <w:rsid w:val="007B0381"/>
    <w:rsid w:val="007B0F3D"/>
    <w:rsid w:val="007B148D"/>
    <w:rsid w:val="007B18C8"/>
    <w:rsid w:val="007B28DE"/>
    <w:rsid w:val="007B2F06"/>
    <w:rsid w:val="007B7A5F"/>
    <w:rsid w:val="007C1021"/>
    <w:rsid w:val="007C33FD"/>
    <w:rsid w:val="007C36BE"/>
    <w:rsid w:val="007C7938"/>
    <w:rsid w:val="007D53ED"/>
    <w:rsid w:val="007D6001"/>
    <w:rsid w:val="007D7925"/>
    <w:rsid w:val="007D7F94"/>
    <w:rsid w:val="007E1B76"/>
    <w:rsid w:val="007E219A"/>
    <w:rsid w:val="007E37BF"/>
    <w:rsid w:val="007E6593"/>
    <w:rsid w:val="007F1101"/>
    <w:rsid w:val="007F2CB1"/>
    <w:rsid w:val="00803D20"/>
    <w:rsid w:val="008112A0"/>
    <w:rsid w:val="0081696D"/>
    <w:rsid w:val="00816E01"/>
    <w:rsid w:val="008173D0"/>
    <w:rsid w:val="008228DE"/>
    <w:rsid w:val="00823235"/>
    <w:rsid w:val="008249F1"/>
    <w:rsid w:val="00824AF2"/>
    <w:rsid w:val="008263EB"/>
    <w:rsid w:val="00826686"/>
    <w:rsid w:val="00826AE4"/>
    <w:rsid w:val="00835563"/>
    <w:rsid w:val="00836511"/>
    <w:rsid w:val="00836B02"/>
    <w:rsid w:val="00836EC6"/>
    <w:rsid w:val="0083741E"/>
    <w:rsid w:val="00837985"/>
    <w:rsid w:val="00840E3D"/>
    <w:rsid w:val="00841D8C"/>
    <w:rsid w:val="00842220"/>
    <w:rsid w:val="00844111"/>
    <w:rsid w:val="00844F74"/>
    <w:rsid w:val="00846382"/>
    <w:rsid w:val="008502A4"/>
    <w:rsid w:val="00850F57"/>
    <w:rsid w:val="008534C6"/>
    <w:rsid w:val="008536C2"/>
    <w:rsid w:val="008600C7"/>
    <w:rsid w:val="0086041F"/>
    <w:rsid w:val="008617D0"/>
    <w:rsid w:val="00861A60"/>
    <w:rsid w:val="00862357"/>
    <w:rsid w:val="00862D02"/>
    <w:rsid w:val="008637B9"/>
    <w:rsid w:val="00864194"/>
    <w:rsid w:val="00870399"/>
    <w:rsid w:val="008711EC"/>
    <w:rsid w:val="008718FE"/>
    <w:rsid w:val="00872946"/>
    <w:rsid w:val="00875F62"/>
    <w:rsid w:val="00883928"/>
    <w:rsid w:val="00883DDE"/>
    <w:rsid w:val="00884477"/>
    <w:rsid w:val="00891D73"/>
    <w:rsid w:val="00892A44"/>
    <w:rsid w:val="008A2DE8"/>
    <w:rsid w:val="008A312D"/>
    <w:rsid w:val="008A3E09"/>
    <w:rsid w:val="008A3E57"/>
    <w:rsid w:val="008A77A7"/>
    <w:rsid w:val="008B0B50"/>
    <w:rsid w:val="008B3F34"/>
    <w:rsid w:val="008B7A77"/>
    <w:rsid w:val="008C26AE"/>
    <w:rsid w:val="008C288F"/>
    <w:rsid w:val="008C56B9"/>
    <w:rsid w:val="008D05E0"/>
    <w:rsid w:val="008D2600"/>
    <w:rsid w:val="008E0AC0"/>
    <w:rsid w:val="008E221A"/>
    <w:rsid w:val="008E3FFE"/>
    <w:rsid w:val="008E60BE"/>
    <w:rsid w:val="008E6B74"/>
    <w:rsid w:val="008F0FAF"/>
    <w:rsid w:val="008F46CD"/>
    <w:rsid w:val="008F6480"/>
    <w:rsid w:val="008F6E05"/>
    <w:rsid w:val="008F7740"/>
    <w:rsid w:val="00900CA2"/>
    <w:rsid w:val="00903653"/>
    <w:rsid w:val="00910A52"/>
    <w:rsid w:val="00911479"/>
    <w:rsid w:val="0091307C"/>
    <w:rsid w:val="0091484D"/>
    <w:rsid w:val="00921BB6"/>
    <w:rsid w:val="00925E71"/>
    <w:rsid w:val="00926B02"/>
    <w:rsid w:val="00926E7B"/>
    <w:rsid w:val="0093329F"/>
    <w:rsid w:val="00937043"/>
    <w:rsid w:val="009445D3"/>
    <w:rsid w:val="009518C3"/>
    <w:rsid w:val="00955A8A"/>
    <w:rsid w:val="00962D2B"/>
    <w:rsid w:val="0096400D"/>
    <w:rsid w:val="00966600"/>
    <w:rsid w:val="009671D9"/>
    <w:rsid w:val="00971352"/>
    <w:rsid w:val="00975E5B"/>
    <w:rsid w:val="00977C8F"/>
    <w:rsid w:val="00977F94"/>
    <w:rsid w:val="00980129"/>
    <w:rsid w:val="009829EC"/>
    <w:rsid w:val="009863E9"/>
    <w:rsid w:val="00991302"/>
    <w:rsid w:val="00992E20"/>
    <w:rsid w:val="009936FC"/>
    <w:rsid w:val="00993925"/>
    <w:rsid w:val="00993977"/>
    <w:rsid w:val="009A05D1"/>
    <w:rsid w:val="009A28AC"/>
    <w:rsid w:val="009A3A5B"/>
    <w:rsid w:val="009A3F2A"/>
    <w:rsid w:val="009A4D66"/>
    <w:rsid w:val="009B2AAC"/>
    <w:rsid w:val="009B3521"/>
    <w:rsid w:val="009B541C"/>
    <w:rsid w:val="009C0B4C"/>
    <w:rsid w:val="009C4460"/>
    <w:rsid w:val="009C4F69"/>
    <w:rsid w:val="009C5D5F"/>
    <w:rsid w:val="009D0D3A"/>
    <w:rsid w:val="009D7192"/>
    <w:rsid w:val="009D7440"/>
    <w:rsid w:val="009E0E38"/>
    <w:rsid w:val="009E1A35"/>
    <w:rsid w:val="009E73DE"/>
    <w:rsid w:val="009F09AA"/>
    <w:rsid w:val="009F2665"/>
    <w:rsid w:val="009F2C16"/>
    <w:rsid w:val="009F2C1B"/>
    <w:rsid w:val="009F335C"/>
    <w:rsid w:val="00A002B5"/>
    <w:rsid w:val="00A0260C"/>
    <w:rsid w:val="00A041B5"/>
    <w:rsid w:val="00A04F8C"/>
    <w:rsid w:val="00A05158"/>
    <w:rsid w:val="00A12E99"/>
    <w:rsid w:val="00A13BF5"/>
    <w:rsid w:val="00A14837"/>
    <w:rsid w:val="00A225E3"/>
    <w:rsid w:val="00A23A26"/>
    <w:rsid w:val="00A2429E"/>
    <w:rsid w:val="00A24A8F"/>
    <w:rsid w:val="00A25708"/>
    <w:rsid w:val="00A25BF0"/>
    <w:rsid w:val="00A3026E"/>
    <w:rsid w:val="00A32CE0"/>
    <w:rsid w:val="00A4309B"/>
    <w:rsid w:val="00A4576A"/>
    <w:rsid w:val="00A45AD0"/>
    <w:rsid w:val="00A45EE9"/>
    <w:rsid w:val="00A53C14"/>
    <w:rsid w:val="00A61410"/>
    <w:rsid w:val="00A6198A"/>
    <w:rsid w:val="00A65108"/>
    <w:rsid w:val="00A7067F"/>
    <w:rsid w:val="00A707A7"/>
    <w:rsid w:val="00A70E56"/>
    <w:rsid w:val="00A718FD"/>
    <w:rsid w:val="00A72341"/>
    <w:rsid w:val="00A776ED"/>
    <w:rsid w:val="00A80E50"/>
    <w:rsid w:val="00A83663"/>
    <w:rsid w:val="00A83B0F"/>
    <w:rsid w:val="00A84216"/>
    <w:rsid w:val="00A90BFA"/>
    <w:rsid w:val="00A92BF3"/>
    <w:rsid w:val="00A943C8"/>
    <w:rsid w:val="00A950A4"/>
    <w:rsid w:val="00A9520D"/>
    <w:rsid w:val="00A9747D"/>
    <w:rsid w:val="00AA00A6"/>
    <w:rsid w:val="00AA170D"/>
    <w:rsid w:val="00AA672F"/>
    <w:rsid w:val="00AA6BA8"/>
    <w:rsid w:val="00AA7F5A"/>
    <w:rsid w:val="00AB2340"/>
    <w:rsid w:val="00AB5FE4"/>
    <w:rsid w:val="00AB659D"/>
    <w:rsid w:val="00AB7736"/>
    <w:rsid w:val="00AC160A"/>
    <w:rsid w:val="00AC229F"/>
    <w:rsid w:val="00AC42FA"/>
    <w:rsid w:val="00AD7671"/>
    <w:rsid w:val="00AE53E8"/>
    <w:rsid w:val="00AE6FE4"/>
    <w:rsid w:val="00AF2059"/>
    <w:rsid w:val="00AF3D84"/>
    <w:rsid w:val="00AF4161"/>
    <w:rsid w:val="00AF580B"/>
    <w:rsid w:val="00AF632F"/>
    <w:rsid w:val="00B007C8"/>
    <w:rsid w:val="00B120B2"/>
    <w:rsid w:val="00B14410"/>
    <w:rsid w:val="00B15E61"/>
    <w:rsid w:val="00B16C86"/>
    <w:rsid w:val="00B20286"/>
    <w:rsid w:val="00B24F35"/>
    <w:rsid w:val="00B271A3"/>
    <w:rsid w:val="00B30C77"/>
    <w:rsid w:val="00B30F92"/>
    <w:rsid w:val="00B32C88"/>
    <w:rsid w:val="00B34747"/>
    <w:rsid w:val="00B35083"/>
    <w:rsid w:val="00B40DB6"/>
    <w:rsid w:val="00B42E49"/>
    <w:rsid w:val="00B469B9"/>
    <w:rsid w:val="00B47925"/>
    <w:rsid w:val="00B50903"/>
    <w:rsid w:val="00B51C5F"/>
    <w:rsid w:val="00B538B9"/>
    <w:rsid w:val="00B604C2"/>
    <w:rsid w:val="00B62FFE"/>
    <w:rsid w:val="00B65013"/>
    <w:rsid w:val="00B7123A"/>
    <w:rsid w:val="00B7435C"/>
    <w:rsid w:val="00B76F38"/>
    <w:rsid w:val="00B8085D"/>
    <w:rsid w:val="00B81EFF"/>
    <w:rsid w:val="00B82D35"/>
    <w:rsid w:val="00B836BB"/>
    <w:rsid w:val="00B84122"/>
    <w:rsid w:val="00B862B0"/>
    <w:rsid w:val="00B872AA"/>
    <w:rsid w:val="00BA2B7C"/>
    <w:rsid w:val="00BA4B27"/>
    <w:rsid w:val="00BB142A"/>
    <w:rsid w:val="00BB34B9"/>
    <w:rsid w:val="00BB35C2"/>
    <w:rsid w:val="00BB396D"/>
    <w:rsid w:val="00BB553B"/>
    <w:rsid w:val="00BC28D7"/>
    <w:rsid w:val="00BC376C"/>
    <w:rsid w:val="00BC6321"/>
    <w:rsid w:val="00BC7817"/>
    <w:rsid w:val="00BD3819"/>
    <w:rsid w:val="00BD642D"/>
    <w:rsid w:val="00BD6988"/>
    <w:rsid w:val="00BE00E8"/>
    <w:rsid w:val="00BE1A77"/>
    <w:rsid w:val="00BE4742"/>
    <w:rsid w:val="00BE7383"/>
    <w:rsid w:val="00BE754D"/>
    <w:rsid w:val="00BE76B0"/>
    <w:rsid w:val="00BF1ACA"/>
    <w:rsid w:val="00BF1DB9"/>
    <w:rsid w:val="00BF55EA"/>
    <w:rsid w:val="00BF6D10"/>
    <w:rsid w:val="00BF6E79"/>
    <w:rsid w:val="00C03F6C"/>
    <w:rsid w:val="00C05004"/>
    <w:rsid w:val="00C10EED"/>
    <w:rsid w:val="00C12108"/>
    <w:rsid w:val="00C121D9"/>
    <w:rsid w:val="00C13453"/>
    <w:rsid w:val="00C14BDA"/>
    <w:rsid w:val="00C220F9"/>
    <w:rsid w:val="00C246B4"/>
    <w:rsid w:val="00C2541C"/>
    <w:rsid w:val="00C26862"/>
    <w:rsid w:val="00C30458"/>
    <w:rsid w:val="00C31DA6"/>
    <w:rsid w:val="00C33260"/>
    <w:rsid w:val="00C40ABD"/>
    <w:rsid w:val="00C4598F"/>
    <w:rsid w:val="00C46890"/>
    <w:rsid w:val="00C50360"/>
    <w:rsid w:val="00C51D73"/>
    <w:rsid w:val="00C54E12"/>
    <w:rsid w:val="00C55468"/>
    <w:rsid w:val="00C55CDC"/>
    <w:rsid w:val="00C61B4A"/>
    <w:rsid w:val="00C622C3"/>
    <w:rsid w:val="00C63BD5"/>
    <w:rsid w:val="00C74906"/>
    <w:rsid w:val="00C81B40"/>
    <w:rsid w:val="00C81FEA"/>
    <w:rsid w:val="00C83969"/>
    <w:rsid w:val="00C86C95"/>
    <w:rsid w:val="00C96355"/>
    <w:rsid w:val="00CA05EB"/>
    <w:rsid w:val="00CA3515"/>
    <w:rsid w:val="00CA3A05"/>
    <w:rsid w:val="00CB14E9"/>
    <w:rsid w:val="00CB6D90"/>
    <w:rsid w:val="00CB72C3"/>
    <w:rsid w:val="00CB7D4E"/>
    <w:rsid w:val="00CC45E4"/>
    <w:rsid w:val="00CD019F"/>
    <w:rsid w:val="00CD27C5"/>
    <w:rsid w:val="00CD437C"/>
    <w:rsid w:val="00CE4169"/>
    <w:rsid w:val="00CE7894"/>
    <w:rsid w:val="00CE79C5"/>
    <w:rsid w:val="00CF06A1"/>
    <w:rsid w:val="00CF1467"/>
    <w:rsid w:val="00CF48D6"/>
    <w:rsid w:val="00CF57D6"/>
    <w:rsid w:val="00CF6C1B"/>
    <w:rsid w:val="00D019D5"/>
    <w:rsid w:val="00D040FE"/>
    <w:rsid w:val="00D0793A"/>
    <w:rsid w:val="00D168FD"/>
    <w:rsid w:val="00D16F64"/>
    <w:rsid w:val="00D20D29"/>
    <w:rsid w:val="00D2472C"/>
    <w:rsid w:val="00D2750B"/>
    <w:rsid w:val="00D279BA"/>
    <w:rsid w:val="00D37FFC"/>
    <w:rsid w:val="00D404B5"/>
    <w:rsid w:val="00D41B5B"/>
    <w:rsid w:val="00D41FF1"/>
    <w:rsid w:val="00D447CB"/>
    <w:rsid w:val="00D47D16"/>
    <w:rsid w:val="00D505F4"/>
    <w:rsid w:val="00D517BE"/>
    <w:rsid w:val="00D51CE1"/>
    <w:rsid w:val="00D537FD"/>
    <w:rsid w:val="00D543F9"/>
    <w:rsid w:val="00D562F2"/>
    <w:rsid w:val="00D61B93"/>
    <w:rsid w:val="00D67E4A"/>
    <w:rsid w:val="00D763FD"/>
    <w:rsid w:val="00D805F6"/>
    <w:rsid w:val="00D907E0"/>
    <w:rsid w:val="00D90AD1"/>
    <w:rsid w:val="00D93647"/>
    <w:rsid w:val="00D941F7"/>
    <w:rsid w:val="00DA1F9F"/>
    <w:rsid w:val="00DA4CD3"/>
    <w:rsid w:val="00DA4DDF"/>
    <w:rsid w:val="00DB0804"/>
    <w:rsid w:val="00DB2FC4"/>
    <w:rsid w:val="00DC382A"/>
    <w:rsid w:val="00DE1923"/>
    <w:rsid w:val="00DE2B33"/>
    <w:rsid w:val="00DE2B84"/>
    <w:rsid w:val="00DE638B"/>
    <w:rsid w:val="00DE72EE"/>
    <w:rsid w:val="00DF37E5"/>
    <w:rsid w:val="00E034FE"/>
    <w:rsid w:val="00E041E5"/>
    <w:rsid w:val="00E04888"/>
    <w:rsid w:val="00E0763B"/>
    <w:rsid w:val="00E10302"/>
    <w:rsid w:val="00E130D8"/>
    <w:rsid w:val="00E1587C"/>
    <w:rsid w:val="00E17799"/>
    <w:rsid w:val="00E17EC5"/>
    <w:rsid w:val="00E26BFD"/>
    <w:rsid w:val="00E27E90"/>
    <w:rsid w:val="00E33D02"/>
    <w:rsid w:val="00E34F2C"/>
    <w:rsid w:val="00E35D79"/>
    <w:rsid w:val="00E4641E"/>
    <w:rsid w:val="00E519AE"/>
    <w:rsid w:val="00E57AF7"/>
    <w:rsid w:val="00E6241B"/>
    <w:rsid w:val="00E63C0E"/>
    <w:rsid w:val="00E64FCC"/>
    <w:rsid w:val="00E703B6"/>
    <w:rsid w:val="00E72200"/>
    <w:rsid w:val="00E72B1B"/>
    <w:rsid w:val="00E75D47"/>
    <w:rsid w:val="00E766F5"/>
    <w:rsid w:val="00E81B25"/>
    <w:rsid w:val="00E82948"/>
    <w:rsid w:val="00E833B7"/>
    <w:rsid w:val="00E84C6E"/>
    <w:rsid w:val="00E85ACB"/>
    <w:rsid w:val="00E8658B"/>
    <w:rsid w:val="00E90218"/>
    <w:rsid w:val="00E913BB"/>
    <w:rsid w:val="00E92BCF"/>
    <w:rsid w:val="00E95F2E"/>
    <w:rsid w:val="00E96655"/>
    <w:rsid w:val="00E97702"/>
    <w:rsid w:val="00EA1508"/>
    <w:rsid w:val="00EA1541"/>
    <w:rsid w:val="00EA32E4"/>
    <w:rsid w:val="00EA7E36"/>
    <w:rsid w:val="00EB0898"/>
    <w:rsid w:val="00EB627B"/>
    <w:rsid w:val="00EB6D94"/>
    <w:rsid w:val="00EC4183"/>
    <w:rsid w:val="00EC6468"/>
    <w:rsid w:val="00EC6708"/>
    <w:rsid w:val="00ED207C"/>
    <w:rsid w:val="00ED31E9"/>
    <w:rsid w:val="00ED325A"/>
    <w:rsid w:val="00ED3F41"/>
    <w:rsid w:val="00ED5615"/>
    <w:rsid w:val="00ED5FC0"/>
    <w:rsid w:val="00ED692E"/>
    <w:rsid w:val="00ED69AF"/>
    <w:rsid w:val="00EE1847"/>
    <w:rsid w:val="00EE240E"/>
    <w:rsid w:val="00EE688E"/>
    <w:rsid w:val="00EE6A6D"/>
    <w:rsid w:val="00EE6AC2"/>
    <w:rsid w:val="00EF03E2"/>
    <w:rsid w:val="00EF7F8B"/>
    <w:rsid w:val="00F02536"/>
    <w:rsid w:val="00F03814"/>
    <w:rsid w:val="00F07A09"/>
    <w:rsid w:val="00F128AC"/>
    <w:rsid w:val="00F1390C"/>
    <w:rsid w:val="00F14D98"/>
    <w:rsid w:val="00F20C5E"/>
    <w:rsid w:val="00F325CF"/>
    <w:rsid w:val="00F36A1D"/>
    <w:rsid w:val="00F42761"/>
    <w:rsid w:val="00F43938"/>
    <w:rsid w:val="00F44278"/>
    <w:rsid w:val="00F51B65"/>
    <w:rsid w:val="00F52AAB"/>
    <w:rsid w:val="00F52EB6"/>
    <w:rsid w:val="00F5488A"/>
    <w:rsid w:val="00F55260"/>
    <w:rsid w:val="00F6316B"/>
    <w:rsid w:val="00F65AE0"/>
    <w:rsid w:val="00F74377"/>
    <w:rsid w:val="00F74E38"/>
    <w:rsid w:val="00F7545E"/>
    <w:rsid w:val="00F76D6F"/>
    <w:rsid w:val="00F778B0"/>
    <w:rsid w:val="00F83BC2"/>
    <w:rsid w:val="00F90600"/>
    <w:rsid w:val="00F92EC1"/>
    <w:rsid w:val="00F94C47"/>
    <w:rsid w:val="00F96C73"/>
    <w:rsid w:val="00FA0421"/>
    <w:rsid w:val="00FA2AB6"/>
    <w:rsid w:val="00FA3389"/>
    <w:rsid w:val="00FA3476"/>
    <w:rsid w:val="00FA5D62"/>
    <w:rsid w:val="00FB0C10"/>
    <w:rsid w:val="00FB290A"/>
    <w:rsid w:val="00FB3A61"/>
    <w:rsid w:val="00FB3C36"/>
    <w:rsid w:val="00FB4280"/>
    <w:rsid w:val="00FB7CCE"/>
    <w:rsid w:val="00FC01C8"/>
    <w:rsid w:val="00FC5027"/>
    <w:rsid w:val="00FC50C7"/>
    <w:rsid w:val="00FC511D"/>
    <w:rsid w:val="00FC541F"/>
    <w:rsid w:val="00FC68BC"/>
    <w:rsid w:val="00FD11D4"/>
    <w:rsid w:val="00FD225D"/>
    <w:rsid w:val="00FD2384"/>
    <w:rsid w:val="00FE452E"/>
    <w:rsid w:val="00FE711B"/>
    <w:rsid w:val="00FF38A2"/>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uiPriority="10" w:qFormat="1"/>
    <w:lsdException w:name="Subtitle" w:uiPriority="11" w:qFormat="1"/>
    <w:lsdException w:name="Hyperlink" w:uiPriority="99"/>
    <w:lsdException w:name="Strong"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link w:val="atitulo3Car"/>
    <w:uiPriority w:val="99"/>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locked/>
    <w:rsid w:val="00594B6F"/>
    <w:rPr>
      <w:rFonts w:ascii="Arial" w:hAnsi="Arial"/>
      <w:b/>
      <w:color w:val="000000"/>
      <w:kern w:val="28"/>
      <w:sz w:val="25"/>
      <w:szCs w:val="26"/>
      <w:lang w:eastAsia="en-US"/>
    </w:rPr>
  </w:style>
  <w:style w:type="character" w:customStyle="1" w:styleId="atitulo2Car">
    <w:name w:val="atitulo2 Car"/>
    <w:link w:val="atitulo2"/>
    <w:locked/>
    <w:rsid w:val="00594B6F"/>
    <w:rPr>
      <w:rFonts w:ascii="Arial" w:hAnsi="Arial"/>
      <w:bCs/>
      <w:iCs/>
      <w:color w:val="000000"/>
      <w:spacing w:val="10"/>
      <w:kern w:val="28"/>
      <w:sz w:val="25"/>
      <w:szCs w:val="26"/>
      <w:lang w:eastAsia="en-US"/>
    </w:rPr>
  </w:style>
  <w:style w:type="character" w:customStyle="1" w:styleId="EncabezadoCar">
    <w:name w:val="Encabezado Car"/>
    <w:link w:val="Encabezado"/>
    <w:locked/>
    <w:rsid w:val="006944BB"/>
    <w:rPr>
      <w:bCs/>
      <w:caps/>
      <w:sz w:val="14"/>
      <w:szCs w:val="12"/>
      <w:lang w:eastAsia="en-US"/>
    </w:rPr>
  </w:style>
  <w:style w:type="character" w:customStyle="1" w:styleId="PiedepginaCar">
    <w:name w:val="Pie de página Car"/>
    <w:link w:val="Piedepgina"/>
    <w:locked/>
    <w:rsid w:val="006944BB"/>
    <w:rPr>
      <w:spacing w:val="6"/>
      <w:lang w:eastAsia="en-US"/>
    </w:rPr>
  </w:style>
  <w:style w:type="paragraph" w:styleId="Textoindependiente">
    <w:name w:val="Body Text"/>
    <w:basedOn w:val="Normal"/>
    <w:link w:val="TextoindependienteCar"/>
    <w:rsid w:val="006944BB"/>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6944BB"/>
    <w:rPr>
      <w:rFonts w:ascii="Arial" w:hAnsi="Arial"/>
      <w:sz w:val="24"/>
      <w:lang w:eastAsia="es-ES"/>
    </w:rPr>
  </w:style>
  <w:style w:type="paragraph" w:styleId="NormalWeb">
    <w:name w:val="Normal (Web)"/>
    <w:basedOn w:val="Normal"/>
    <w:uiPriority w:val="99"/>
    <w:rsid w:val="006944BB"/>
    <w:pPr>
      <w:spacing w:before="100" w:beforeAutospacing="1" w:after="100" w:afterAutospacing="1"/>
      <w:ind w:firstLine="0"/>
      <w:jc w:val="left"/>
    </w:pPr>
    <w:rPr>
      <w:color w:val="000000"/>
      <w:sz w:val="24"/>
      <w:szCs w:val="24"/>
      <w:lang w:val="es-ES" w:eastAsia="es-ES"/>
    </w:rPr>
  </w:style>
  <w:style w:type="character" w:customStyle="1" w:styleId="texto1">
    <w:name w:val="texto1"/>
    <w:rsid w:val="006944BB"/>
    <w:rPr>
      <w:rFonts w:ascii="Verdana" w:hAnsi="Verdana" w:hint="default"/>
      <w:color w:val="000033"/>
      <w:sz w:val="18"/>
      <w:szCs w:val="18"/>
    </w:rPr>
  </w:style>
  <w:style w:type="character" w:customStyle="1" w:styleId="tt-nara1">
    <w:name w:val="tt-nara1"/>
    <w:rsid w:val="006944BB"/>
    <w:rPr>
      <w:rFonts w:ascii="Verdana" w:hAnsi="Verdana" w:hint="default"/>
      <w:color w:val="E23C0C"/>
      <w:sz w:val="18"/>
      <w:szCs w:val="18"/>
    </w:rPr>
  </w:style>
  <w:style w:type="paragraph" w:styleId="Textosinformato">
    <w:name w:val="Plain Text"/>
    <w:basedOn w:val="Normal"/>
    <w:link w:val="TextosinformatoCar"/>
    <w:rsid w:val="006944BB"/>
    <w:pPr>
      <w:spacing w:after="0"/>
      <w:ind w:firstLine="0"/>
      <w:jc w:val="left"/>
    </w:pPr>
    <w:rPr>
      <w:rFonts w:ascii="Courier New" w:hAnsi="Courier New" w:cs="Courier New"/>
      <w:lang w:val="es-ES" w:eastAsia="es-ES"/>
    </w:rPr>
  </w:style>
  <w:style w:type="character" w:customStyle="1" w:styleId="TextosinformatoCar">
    <w:name w:val="Texto sin formato Car"/>
    <w:basedOn w:val="Fuentedeprrafopredeter"/>
    <w:link w:val="Textosinformato"/>
    <w:rsid w:val="006944BB"/>
    <w:rPr>
      <w:rFonts w:ascii="Courier New" w:hAnsi="Courier New" w:cs="Courier New"/>
      <w:lang w:val="es-ES" w:eastAsia="es-ES"/>
    </w:rPr>
  </w:style>
  <w:style w:type="paragraph" w:customStyle="1" w:styleId="Default">
    <w:name w:val="Default"/>
    <w:rsid w:val="006944BB"/>
    <w:pPr>
      <w:autoSpaceDE w:val="0"/>
      <w:autoSpaceDN w:val="0"/>
      <w:adjustRightInd w:val="0"/>
    </w:pPr>
    <w:rPr>
      <w:rFonts w:ascii="Verdana" w:hAnsi="Verdana" w:cs="Verdana"/>
      <w:color w:val="000000"/>
      <w:sz w:val="24"/>
      <w:szCs w:val="24"/>
      <w:lang w:val="es-ES" w:eastAsia="es-ES"/>
    </w:rPr>
  </w:style>
  <w:style w:type="paragraph" w:customStyle="1" w:styleId="Prrafodelista1">
    <w:name w:val="Párrafo de lista1"/>
    <w:basedOn w:val="Normal"/>
    <w:rsid w:val="006944BB"/>
    <w:pPr>
      <w:spacing w:after="200" w:line="276" w:lineRule="auto"/>
      <w:ind w:left="720" w:firstLine="0"/>
      <w:contextualSpacing/>
      <w:jc w:val="left"/>
    </w:pPr>
    <w:rPr>
      <w:rFonts w:ascii="Calibri" w:hAnsi="Calibri"/>
      <w:sz w:val="22"/>
      <w:szCs w:val="22"/>
      <w:lang w:val="es-ES"/>
    </w:rPr>
  </w:style>
  <w:style w:type="character" w:styleId="Hipervnculovisitado">
    <w:name w:val="FollowedHyperlink"/>
    <w:rsid w:val="006944BB"/>
    <w:rPr>
      <w:color w:val="800080"/>
      <w:u w:val="single"/>
    </w:rPr>
  </w:style>
  <w:style w:type="character" w:customStyle="1" w:styleId="category">
    <w:name w:val="category"/>
    <w:basedOn w:val="Fuentedeprrafopredeter"/>
    <w:rsid w:val="006944BB"/>
  </w:style>
  <w:style w:type="character" w:customStyle="1" w:styleId="atitulo3Car">
    <w:name w:val="atitulo3 Car"/>
    <w:link w:val="atitulo3"/>
    <w:rsid w:val="004470EA"/>
    <w:rPr>
      <w:rFonts w:ascii="Arial" w:hAnsi="Arial"/>
      <w:i/>
      <w:iCs/>
      <w:color w:val="000000"/>
      <w:spacing w:val="10"/>
      <w:kern w:val="28"/>
      <w:sz w:val="25"/>
      <w:szCs w:val="26"/>
      <w:lang w:eastAsia="en-US"/>
    </w:rPr>
  </w:style>
  <w:style w:type="paragraph" w:styleId="Textonotaalfinal">
    <w:name w:val="endnote text"/>
    <w:basedOn w:val="Normal"/>
    <w:link w:val="TextonotaalfinalCar"/>
    <w:rsid w:val="007C7938"/>
    <w:pPr>
      <w:spacing w:after="0"/>
    </w:pPr>
  </w:style>
  <w:style w:type="character" w:customStyle="1" w:styleId="TextonotaalfinalCar">
    <w:name w:val="Texto nota al final Car"/>
    <w:basedOn w:val="Fuentedeprrafopredeter"/>
    <w:link w:val="Textonotaalfinal"/>
    <w:rsid w:val="007C7938"/>
    <w:rPr>
      <w:lang w:eastAsia="en-US"/>
    </w:rPr>
  </w:style>
  <w:style w:type="character" w:styleId="Refdenotaalfinal">
    <w:name w:val="endnote reference"/>
    <w:basedOn w:val="Fuentedeprrafopredeter"/>
    <w:rsid w:val="007C7938"/>
    <w:rPr>
      <w:vertAlign w:val="superscript"/>
    </w:rPr>
  </w:style>
  <w:style w:type="paragraph" w:styleId="Textonotapie">
    <w:name w:val="footnote text"/>
    <w:basedOn w:val="Normal"/>
    <w:link w:val="TextonotapieCar"/>
    <w:rsid w:val="007C7938"/>
    <w:pPr>
      <w:spacing w:after="0"/>
    </w:pPr>
  </w:style>
  <w:style w:type="character" w:customStyle="1" w:styleId="TextonotapieCar">
    <w:name w:val="Texto nota pie Car"/>
    <w:basedOn w:val="Fuentedeprrafopredeter"/>
    <w:link w:val="Textonotapie"/>
    <w:rsid w:val="007C7938"/>
    <w:rPr>
      <w:lang w:eastAsia="en-US"/>
    </w:rPr>
  </w:style>
  <w:style w:type="character" w:styleId="Refdenotaalpie">
    <w:name w:val="footnote reference"/>
    <w:basedOn w:val="Fuentedeprrafopredeter"/>
    <w:rsid w:val="007C79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uiPriority="10" w:qFormat="1"/>
    <w:lsdException w:name="Subtitle" w:uiPriority="11" w:qFormat="1"/>
    <w:lsdException w:name="Hyperlink" w:uiPriority="99"/>
    <w:lsdException w:name="Strong"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link w:val="atitulo3Car"/>
    <w:uiPriority w:val="99"/>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locked/>
    <w:rsid w:val="00594B6F"/>
    <w:rPr>
      <w:rFonts w:ascii="Arial" w:hAnsi="Arial"/>
      <w:b/>
      <w:color w:val="000000"/>
      <w:kern w:val="28"/>
      <w:sz w:val="25"/>
      <w:szCs w:val="26"/>
      <w:lang w:eastAsia="en-US"/>
    </w:rPr>
  </w:style>
  <w:style w:type="character" w:customStyle="1" w:styleId="atitulo2Car">
    <w:name w:val="atitulo2 Car"/>
    <w:link w:val="atitulo2"/>
    <w:locked/>
    <w:rsid w:val="00594B6F"/>
    <w:rPr>
      <w:rFonts w:ascii="Arial" w:hAnsi="Arial"/>
      <w:bCs/>
      <w:iCs/>
      <w:color w:val="000000"/>
      <w:spacing w:val="10"/>
      <w:kern w:val="28"/>
      <w:sz w:val="25"/>
      <w:szCs w:val="26"/>
      <w:lang w:eastAsia="en-US"/>
    </w:rPr>
  </w:style>
  <w:style w:type="character" w:customStyle="1" w:styleId="EncabezadoCar">
    <w:name w:val="Encabezado Car"/>
    <w:link w:val="Encabezado"/>
    <w:locked/>
    <w:rsid w:val="006944BB"/>
    <w:rPr>
      <w:bCs/>
      <w:caps/>
      <w:sz w:val="14"/>
      <w:szCs w:val="12"/>
      <w:lang w:eastAsia="en-US"/>
    </w:rPr>
  </w:style>
  <w:style w:type="character" w:customStyle="1" w:styleId="PiedepginaCar">
    <w:name w:val="Pie de página Car"/>
    <w:link w:val="Piedepgina"/>
    <w:locked/>
    <w:rsid w:val="006944BB"/>
    <w:rPr>
      <w:spacing w:val="6"/>
      <w:lang w:eastAsia="en-US"/>
    </w:rPr>
  </w:style>
  <w:style w:type="paragraph" w:styleId="Textoindependiente">
    <w:name w:val="Body Text"/>
    <w:basedOn w:val="Normal"/>
    <w:link w:val="TextoindependienteCar"/>
    <w:rsid w:val="006944BB"/>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6944BB"/>
    <w:rPr>
      <w:rFonts w:ascii="Arial" w:hAnsi="Arial"/>
      <w:sz w:val="24"/>
      <w:lang w:eastAsia="es-ES"/>
    </w:rPr>
  </w:style>
  <w:style w:type="paragraph" w:styleId="NormalWeb">
    <w:name w:val="Normal (Web)"/>
    <w:basedOn w:val="Normal"/>
    <w:uiPriority w:val="99"/>
    <w:rsid w:val="006944BB"/>
    <w:pPr>
      <w:spacing w:before="100" w:beforeAutospacing="1" w:after="100" w:afterAutospacing="1"/>
      <w:ind w:firstLine="0"/>
      <w:jc w:val="left"/>
    </w:pPr>
    <w:rPr>
      <w:color w:val="000000"/>
      <w:sz w:val="24"/>
      <w:szCs w:val="24"/>
      <w:lang w:val="es-ES" w:eastAsia="es-ES"/>
    </w:rPr>
  </w:style>
  <w:style w:type="character" w:customStyle="1" w:styleId="texto1">
    <w:name w:val="texto1"/>
    <w:rsid w:val="006944BB"/>
    <w:rPr>
      <w:rFonts w:ascii="Verdana" w:hAnsi="Verdana" w:hint="default"/>
      <w:color w:val="000033"/>
      <w:sz w:val="18"/>
      <w:szCs w:val="18"/>
    </w:rPr>
  </w:style>
  <w:style w:type="character" w:customStyle="1" w:styleId="tt-nara1">
    <w:name w:val="tt-nara1"/>
    <w:rsid w:val="006944BB"/>
    <w:rPr>
      <w:rFonts w:ascii="Verdana" w:hAnsi="Verdana" w:hint="default"/>
      <w:color w:val="E23C0C"/>
      <w:sz w:val="18"/>
      <w:szCs w:val="18"/>
    </w:rPr>
  </w:style>
  <w:style w:type="paragraph" w:styleId="Textosinformato">
    <w:name w:val="Plain Text"/>
    <w:basedOn w:val="Normal"/>
    <w:link w:val="TextosinformatoCar"/>
    <w:rsid w:val="006944BB"/>
    <w:pPr>
      <w:spacing w:after="0"/>
      <w:ind w:firstLine="0"/>
      <w:jc w:val="left"/>
    </w:pPr>
    <w:rPr>
      <w:rFonts w:ascii="Courier New" w:hAnsi="Courier New" w:cs="Courier New"/>
      <w:lang w:val="es-ES" w:eastAsia="es-ES"/>
    </w:rPr>
  </w:style>
  <w:style w:type="character" w:customStyle="1" w:styleId="TextosinformatoCar">
    <w:name w:val="Texto sin formato Car"/>
    <w:basedOn w:val="Fuentedeprrafopredeter"/>
    <w:link w:val="Textosinformato"/>
    <w:rsid w:val="006944BB"/>
    <w:rPr>
      <w:rFonts w:ascii="Courier New" w:hAnsi="Courier New" w:cs="Courier New"/>
      <w:lang w:val="es-ES" w:eastAsia="es-ES"/>
    </w:rPr>
  </w:style>
  <w:style w:type="paragraph" w:customStyle="1" w:styleId="Default">
    <w:name w:val="Default"/>
    <w:rsid w:val="006944BB"/>
    <w:pPr>
      <w:autoSpaceDE w:val="0"/>
      <w:autoSpaceDN w:val="0"/>
      <w:adjustRightInd w:val="0"/>
    </w:pPr>
    <w:rPr>
      <w:rFonts w:ascii="Verdana" w:hAnsi="Verdana" w:cs="Verdana"/>
      <w:color w:val="000000"/>
      <w:sz w:val="24"/>
      <w:szCs w:val="24"/>
      <w:lang w:val="es-ES" w:eastAsia="es-ES"/>
    </w:rPr>
  </w:style>
  <w:style w:type="paragraph" w:customStyle="1" w:styleId="Prrafodelista1">
    <w:name w:val="Párrafo de lista1"/>
    <w:basedOn w:val="Normal"/>
    <w:rsid w:val="006944BB"/>
    <w:pPr>
      <w:spacing w:after="200" w:line="276" w:lineRule="auto"/>
      <w:ind w:left="720" w:firstLine="0"/>
      <w:contextualSpacing/>
      <w:jc w:val="left"/>
    </w:pPr>
    <w:rPr>
      <w:rFonts w:ascii="Calibri" w:hAnsi="Calibri"/>
      <w:sz w:val="22"/>
      <w:szCs w:val="22"/>
      <w:lang w:val="es-ES"/>
    </w:rPr>
  </w:style>
  <w:style w:type="character" w:styleId="Hipervnculovisitado">
    <w:name w:val="FollowedHyperlink"/>
    <w:rsid w:val="006944BB"/>
    <w:rPr>
      <w:color w:val="800080"/>
      <w:u w:val="single"/>
    </w:rPr>
  </w:style>
  <w:style w:type="character" w:customStyle="1" w:styleId="category">
    <w:name w:val="category"/>
    <w:basedOn w:val="Fuentedeprrafopredeter"/>
    <w:rsid w:val="006944BB"/>
  </w:style>
  <w:style w:type="character" w:customStyle="1" w:styleId="atitulo3Car">
    <w:name w:val="atitulo3 Car"/>
    <w:link w:val="atitulo3"/>
    <w:rsid w:val="004470EA"/>
    <w:rPr>
      <w:rFonts w:ascii="Arial" w:hAnsi="Arial"/>
      <w:i/>
      <w:iCs/>
      <w:color w:val="000000"/>
      <w:spacing w:val="10"/>
      <w:kern w:val="28"/>
      <w:sz w:val="25"/>
      <w:szCs w:val="26"/>
      <w:lang w:eastAsia="en-US"/>
    </w:rPr>
  </w:style>
  <w:style w:type="paragraph" w:styleId="Textonotaalfinal">
    <w:name w:val="endnote text"/>
    <w:basedOn w:val="Normal"/>
    <w:link w:val="TextonotaalfinalCar"/>
    <w:rsid w:val="007C7938"/>
    <w:pPr>
      <w:spacing w:after="0"/>
    </w:pPr>
  </w:style>
  <w:style w:type="character" w:customStyle="1" w:styleId="TextonotaalfinalCar">
    <w:name w:val="Texto nota al final Car"/>
    <w:basedOn w:val="Fuentedeprrafopredeter"/>
    <w:link w:val="Textonotaalfinal"/>
    <w:rsid w:val="007C7938"/>
    <w:rPr>
      <w:lang w:eastAsia="en-US"/>
    </w:rPr>
  </w:style>
  <w:style w:type="character" w:styleId="Refdenotaalfinal">
    <w:name w:val="endnote reference"/>
    <w:basedOn w:val="Fuentedeprrafopredeter"/>
    <w:rsid w:val="007C7938"/>
    <w:rPr>
      <w:vertAlign w:val="superscript"/>
    </w:rPr>
  </w:style>
  <w:style w:type="paragraph" w:styleId="Textonotapie">
    <w:name w:val="footnote text"/>
    <w:basedOn w:val="Normal"/>
    <w:link w:val="TextonotapieCar"/>
    <w:rsid w:val="007C7938"/>
    <w:pPr>
      <w:spacing w:after="0"/>
    </w:pPr>
  </w:style>
  <w:style w:type="character" w:customStyle="1" w:styleId="TextonotapieCar">
    <w:name w:val="Texto nota pie Car"/>
    <w:basedOn w:val="Fuentedeprrafopredeter"/>
    <w:link w:val="Textonotapie"/>
    <w:rsid w:val="007C7938"/>
    <w:rPr>
      <w:lang w:eastAsia="en-US"/>
    </w:rPr>
  </w:style>
  <w:style w:type="character" w:styleId="Refdenotaalpie">
    <w:name w:val="footnote reference"/>
    <w:basedOn w:val="Fuentedeprrafopredeter"/>
    <w:rsid w:val="007C79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82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FA98C-6912-420E-8EF0-098CE5081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7248</Words>
  <Characters>39868</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Borrador inicial</vt:lpstr>
    </vt:vector>
  </TitlesOfParts>
  <Company>Cámara de Comptos</Company>
  <LinksUpToDate>false</LinksUpToDate>
  <CharactersWithSpaces>47022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inicial</dc:title>
  <dc:creator>Lander Laurenz, Isabel (Cámara de Comptos)</dc:creator>
  <cp:lastModifiedBy>Aranaz, Carlota</cp:lastModifiedBy>
  <cp:revision>2</cp:revision>
  <cp:lastPrinted>2016-01-21T11:20:00Z</cp:lastPrinted>
  <dcterms:created xsi:type="dcterms:W3CDTF">2016-03-04T14:06:00Z</dcterms:created>
  <dcterms:modified xsi:type="dcterms:W3CDTF">2016-03-04T14:06:00Z</dcterms:modified>
</cp:coreProperties>
</file>