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Cascanteko Santa Vicenta María ikastetxe publikoan eskolatutako Barillasko eta Tulebrasko haurren familiek egindako eskariari Hezkuntza Departamentuak emanen dion konponbideari buruzkoa. Galdera argitaratu zen 2017ko ekainaren 20ko 90. Nafarroako Parlamentuko Aldizkari Ofizialean.</w:t>
      </w:r>
    </w:p>
    <w:p>
      <w:pPr>
        <w:pStyle w:val="0"/>
        <w:suppressAutoHyphens w:val="false"/>
        <w:rPr>
          <w:rStyle w:val="1"/>
        </w:rPr>
      </w:pPr>
      <w:r>
        <w:rPr>
          <w:rStyle w:val="1"/>
        </w:rPr>
        <w:t xml:space="preserve">Iruñean, 2017ko abuztuaren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parlamentarioak eginiko 9-17/PES-00186 idatzizko galdera dela eta, hona Nafarroako Gobernuko Hezkuntzako kontseilariak ematen duen informazioa:</w:t>
      </w:r>
    </w:p>
    <w:p>
      <w:pPr>
        <w:pStyle w:val="0"/>
        <w:suppressAutoHyphens w:val="false"/>
        <w:rPr>
          <w:rStyle w:val="1"/>
          <w:spacing w:val="-1.919"/>
        </w:rPr>
      </w:pPr>
      <w:r>
        <w:rPr>
          <w:rStyle w:val="1"/>
          <w:spacing w:val="-1.919"/>
        </w:rPr>
        <w:t xml:space="preserve">Abenduaren 1eko 523/2016 Ebazpenak Haur eta Lehen Hezkuntzako ikastetxe publikoetan eta pribatu itunduetan eskolaldi etengabearen eta eskolaldi malguaren ezarpena arautzen du. Ebazpen horrek oso argi zehazten du eskolaldi horiek zein baldintzatan eman behar diren. Oso alderdi garrantzitsua da ezarpen hori aldi baterakoa izanen dela, 2017/2018 ikasturterako hain zuzen, eta ikastetxeak planteatu beharko duela hurrengo ikasturtean jarraipena eman nahi dion edo bertan behera uzten duen. Horrenbestez, ikastetxea izanen da eskolaldi horri eusteari edo hura ezeztatzeari buruz erabakiko duena, bere autonomiaren ondorioz eta izandako esperientzia baloratu ondoren.</w:t>
      </w:r>
    </w:p>
    <w:p>
      <w:pPr>
        <w:pStyle w:val="0"/>
        <w:ind w:firstLine="0" w:left="510.236"/>
        <w:suppressAutoHyphens w:val="false"/>
        <w:rPr>
          <w:rStyle w:val="1"/>
        </w:rPr>
      </w:pPr>
      <w:r>
        <w:rPr>
          <w:rStyle w:val="1"/>
        </w:rPr>
        <w:t xml:space="preserve">1. Eskolaldi etengabea.</w:t>
      </w:r>
    </w:p>
    <w:p>
      <w:pPr>
        <w:pStyle w:val="0"/>
        <w:ind w:firstLine="0" w:left="510.236"/>
        <w:suppressAutoHyphens w:val="false"/>
        <w:rPr>
          <w:rStyle w:val="1"/>
          <w:i w:val="true"/>
        </w:rPr>
      </w:pPr>
      <w:r>
        <w:rPr>
          <w:rStyle w:val="1"/>
          <w:i w:val="true"/>
        </w:rPr>
        <w:t xml:space="preserve">8. Eskolaldi etengaberako baimena aldi baterako izanen da, 2017-2018 ikasturterako hain zuzen ere, eta hurrengo ikasturtean planteatu beharko da ea jarraipena ematen zaion edo bertan behera uzten den.</w:t>
      </w:r>
    </w:p>
    <w:p>
      <w:pPr>
        <w:pStyle w:val="0"/>
        <w:suppressAutoHyphens w:val="false"/>
        <w:rPr>
          <w:rStyle w:val="1"/>
        </w:rPr>
      </w:pPr>
      <w:r>
        <w:rPr>
          <w:rStyle w:val="1"/>
        </w:rPr>
        <w:t xml:space="preserve">Hezkuntza Departamentuak ebazpen hori bi baldintzaren pean landu zuen:</w:t>
      </w:r>
    </w:p>
    <w:p>
      <w:pPr>
        <w:pStyle w:val="0"/>
        <w:suppressAutoHyphens w:val="false"/>
        <w:rPr>
          <w:rStyle w:val="1"/>
        </w:rPr>
      </w:pPr>
      <w:r>
        <w:rPr>
          <w:rStyle w:val="1"/>
        </w:rPr>
        <w:t xml:space="preserve">1.- Eskolaldi bakarra hautatzeak ezin die SEKULA inolako kalterik egin ikasleei, bertan behera uzten duten eskolaldian eskuratuta zituzten eskubideei dagokienez. Hau da, Departamentuak ikasleentzako arreta bermatu beharko du, bai irakaskuntza-denboran, bai eskolaz kanpoko denboran, baldin eta beren inguruabarren ondorioz ezin badira egokitu eskolaldi berriaren ondoriozko ordutegi berrira.</w:t>
      </w:r>
    </w:p>
    <w:p>
      <w:pPr>
        <w:pStyle w:val="0"/>
        <w:suppressAutoHyphens w:val="false"/>
        <w:rPr>
          <w:rStyle w:val="1"/>
        </w:rPr>
      </w:pPr>
      <w:r>
        <w:rPr>
          <w:rStyle w:val="1"/>
        </w:rPr>
        <w:t xml:space="preserve">Hori dela eta, Departamentuak, ikasle bakar bat ere kaltetuta atera daitekeen unetik, bermatu egin beharko ditu jantoki-zerbitzuaren eta eskola-garraioaren zerbitzuaren ordutegiak, haiek aldatu gabe.</w:t>
      </w:r>
    </w:p>
    <w:p>
      <w:pPr>
        <w:pStyle w:val="0"/>
        <w:suppressAutoHyphens w:val="false"/>
        <w:rPr>
          <w:rStyle w:val="1"/>
        </w:rPr>
      </w:pPr>
      <w:r>
        <w:rPr>
          <w:rStyle w:val="1"/>
        </w:rPr>
        <w:t xml:space="preserve">Ikasle guztien arreta zuzena bermatzeko, ikastetxeak arratsaldeko ordutegian egiten diren eskolaz kanpoko ekintzen zerrenda aurkeztu beharko du bere proiektuan.</w:t>
      </w:r>
    </w:p>
    <w:p>
      <w:pPr>
        <w:pStyle w:val="0"/>
        <w:ind w:firstLine="0" w:left="510.236"/>
        <w:suppressAutoHyphens w:val="false"/>
        <w:rPr>
          <w:rStyle w:val="1"/>
        </w:rPr>
      </w:pPr>
      <w:r>
        <w:rPr>
          <w:rStyle w:val="1"/>
        </w:rPr>
        <w:t xml:space="preserve">1. Eskolaldi etengabea.</w:t>
      </w:r>
    </w:p>
    <w:p>
      <w:pPr>
        <w:pStyle w:val="0"/>
        <w:ind w:firstLine="0" w:left="510.236"/>
        <w:suppressAutoHyphens w:val="false"/>
        <w:rPr>
          <w:rStyle w:val="1"/>
          <w:i w:val="true"/>
        </w:rPr>
      </w:pPr>
      <w:r>
        <w:rPr>
          <w:rStyle w:val="1"/>
          <w:i w:val="true"/>
        </w:rPr>
        <w:t xml:space="preserve">6. Jantokiko eta eskolako garraio zerbitzuen jarraipena bermatu beharko da, zerbitzu horiek partekatzen dituzten ikastetxeekin koordinatuz. Zerbitzu osagarrien ordutegiak ezin izanen dira aldatu ikasleen kalterako.</w:t>
      </w:r>
    </w:p>
    <w:p>
      <w:pPr>
        <w:pStyle w:val="0"/>
        <w:suppressAutoHyphens w:val="false"/>
        <w:rPr>
          <w:rStyle w:val="1"/>
        </w:rPr>
      </w:pPr>
      <w:r>
        <w:rPr>
          <w:rStyle w:val="1"/>
        </w:rPr>
        <w:t xml:space="preserve">2.- Baliabideak hobetzea. Hezkuntza Departamentuak, baliabideen optimizazioaren printzipioa abiapuntutzat hartuta, ez du onartuko eskolaldi berriaren ezarpenak funtzionamendu-gastuen handitzea ekar dezan.</w:t>
      </w:r>
    </w:p>
    <w:p>
      <w:pPr>
        <w:pStyle w:val="0"/>
        <w:ind w:firstLine="0" w:left="510.236"/>
        <w:suppressAutoHyphens w:val="false"/>
        <w:rPr>
          <w:rStyle w:val="1"/>
        </w:rPr>
      </w:pPr>
      <w:r>
        <w:rPr>
          <w:rStyle w:val="1"/>
        </w:rPr>
        <w:t xml:space="preserve">1. Eskolaldi etengabea.</w:t>
      </w:r>
    </w:p>
    <w:p>
      <w:pPr>
        <w:pStyle w:val="0"/>
        <w:ind w:firstLine="0" w:left="510.236"/>
        <w:suppressAutoHyphens w:val="false"/>
        <w:rPr>
          <w:rStyle w:val="1"/>
          <w:i w:val="true"/>
        </w:rPr>
      </w:pPr>
      <w:r>
        <w:rPr>
          <w:rStyle w:val="1"/>
          <w:i w:val="true"/>
        </w:rPr>
        <w:t xml:space="preserve">7. Ikastetxe publikoetan, eskolaldi etengabea ezartzeak ez du inoiz ekarriko ez giza baliabideak ez funtzionamendu gastuak handitzea.</w:t>
      </w:r>
    </w:p>
    <w:p>
      <w:pPr>
        <w:pStyle w:val="0"/>
        <w:suppressAutoHyphens w:val="false"/>
        <w:rPr>
          <w:rStyle w:val="1"/>
        </w:rPr>
      </w:pPr>
      <w:r>
        <w:rPr>
          <w:rStyle w:val="1"/>
        </w:rPr>
        <w:t xml:space="preserve">Bi printzipio horiek bateragarri egin nahia da eragin zuena Departamentuak garraioaren irteera berma zezan arratsaldeko jardueren amaieran (baliabide-optimizazioa, garraioa bikoiztu ezinaren ondorioz), eta, halaber, ikasle guztien interesen araberako zenbait jarduera programatu zitezela arratsaldez (helburua zen ez kalterik egitea eskolaldi berriaren ezarpenaren ondorioz arratsaldeko jardueretara ez joatea ezinezkoa zuten ikasleen interesei).</w:t>
      </w:r>
    </w:p>
    <w:p>
      <w:pPr>
        <w:pStyle w:val="0"/>
        <w:suppressAutoHyphens w:val="false"/>
        <w:rPr>
          <w:rStyle w:val="1"/>
        </w:rPr>
      </w:pPr>
      <w:r>
        <w:rPr>
          <w:rStyle w:val="1"/>
        </w:rPr>
        <w:t xml:space="preserve">Hala eta guztiz ere, Departamentuak baimena eman zuen, garraiatutako ikasle GUZTIEK (guzti-guztiek, IKASLE BAKAR BAT ERE kalteturik ez ateratzeko) garraio-zerbitzuaren irteera-ordutegia aldatzea erabakiz gero, hala egiteko.</w:t>
      </w:r>
    </w:p>
    <w:p>
      <w:pPr>
        <w:pStyle w:val="0"/>
        <w:suppressAutoHyphens w:val="false"/>
        <w:rPr>
          <w:rStyle w:val="1"/>
        </w:rPr>
      </w:pPr>
      <w:r>
        <w:rPr>
          <w:rStyle w:val="1"/>
        </w:rPr>
        <w:t xml:space="preserve">Azaldutako guztia dela eta, aipatutako ebazpenak, halaber, xehetasunak ematen ditu ikastetxerako egokientzat jotzen duten eskolaldi mota erabakitzeko hezkuntza-erkidegoen partaidetza-prozesuari buruz. Prozesu horretan, ikastetxeek beren planak eta ordutegiak aurkeztu dituzte, eta bidezkoak diren informazio-kanpainak egin dituzte, ikastetxeen eta eskola-erkidegoen kudeaketarako autonomia-ariketa argi batez.</w:t>
      </w:r>
    </w:p>
    <w:p>
      <w:pPr>
        <w:pStyle w:val="0"/>
        <w:suppressAutoHyphens w:val="false"/>
        <w:rPr>
          <w:rStyle w:val="1"/>
        </w:rPr>
      </w:pPr>
      <w:r>
        <w:rPr>
          <w:rStyle w:val="1"/>
        </w:rPr>
        <w:t xml:space="preserve">Nabarmentzekoa da parte-hartze handia eta ebazpen honek hiru sektore inplikatuetan izan duen abegi bikaina: klaustroa, eskola kontseilua eta ikasleen familia guztiak. Eskolaldia aldatzearen aldeko hautua egin duten ikastetxeek parte-hartze handia izan dute, beren kudeaketa-autonomiaz baliatzeko aukera hori izan gabe urte asko eman ondoren; familiek ere parte-hartze handia izan dute beren seme-alaben eskolaldia boto bitartez erabakitzerakoan.</w:t>
      </w:r>
    </w:p>
    <w:p>
      <w:pPr>
        <w:pStyle w:val="0"/>
        <w:suppressAutoHyphens w:val="false"/>
        <w:rPr>
          <w:rStyle w:val="1"/>
        </w:rPr>
      </w:pPr>
      <w:r>
        <w:rPr>
          <w:rStyle w:val="1"/>
        </w:rPr>
        <w:t xml:space="preserve">59 ikastetxek aukeratu dute Nafarroan eskolaldi jarraitua ezartzea 2017/18 ikasturtean, bozketa egin baino lehen aurkeztutako ikastetxe-proiektuari jarraituz guztiek ere. Ikastetxe horiek guztiek, hau da, haien irakasleek eta familiek, ordutegi bat eta aldez aurretik ezagutzen ziren baldintza batzuk hautatu dituzte, eta haiek errespetatu beharko lirateke ebaluatzen diren arte, ebazpenak berak aurreikusten duen bezala.</w:t>
      </w:r>
    </w:p>
    <w:p>
      <w:pPr>
        <w:pStyle w:val="0"/>
        <w:suppressAutoHyphens w:val="false"/>
        <w:rPr>
          <w:rStyle w:val="1"/>
        </w:rPr>
      </w:pPr>
      <w:r>
        <w:rPr>
          <w:rStyle w:val="1"/>
        </w:rPr>
        <w:t xml:space="preserve">2017/2018 ikasturtean eskolaldi jarraitua ezartzeko hautatu diren ikastetxeak.</w:t>
      </w:r>
    </w:p>
    <w:p>
      <w:pPr>
        <w:pStyle w:val="3"/>
        <w:spacing w:after="56.693" w:before="113.386" w:line="180" w:lineRule="exact"/>
        <w:suppressAutoHyphens w:val="false"/>
        <w:tabs>
          <w:tab w:leader="none" w:pos="283.464" w:val="left"/>
          <w:tab w:leader="none" w:pos="2390" w:val="left"/>
          <w:tab w:leader="none" w:pos="3270" w:val="left"/>
        </w:tabs>
        <w:rPr>
          <w:sz w:val="14"/>
        </w:rPr>
      </w:pPr>
      <w:r>
        <w:rPr>
          <w:sz w:val="14"/>
        </w:rPr>
        <w:tab/>
        <w:t xml:space="preserve">Ikastetxea</w:t>
        <w:tab/>
        <w:t xml:space="preserve">Mota</w:t>
        <w:tab/>
        <w:t xml:space="preserve">Herria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w:t>
        <w:tab/>
        <w:t xml:space="preserve">San Babil IPa</w:t>
        <w:tab/>
        <w:t xml:space="preserve">Publikoa</w:t>
        <w:tab/>
        <w:t xml:space="preserve">Ablitas</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w:t>
        <w:tab/>
        <w:t xml:space="preserve">Zelandi IPa</w:t>
        <w:tab/>
        <w:t xml:space="preserve">Publikoa</w:t>
        <w:tab/>
        <w:t xml:space="preserve">Altsasu</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w:t>
        <w:tab/>
        <w:t xml:space="preserve">Virgen de la Cerca IPa</w:t>
        <w:tab/>
        <w:t xml:space="preserve">Publikoa</w:t>
        <w:tab/>
        <w:t xml:space="preserve">Andosilla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w:t>
        <w:tab/>
        <w:t xml:space="preserve">Añorbe IP</w:t>
        <w:tab/>
        <w:t xml:space="preserve">Publikoa</w:t>
        <w:tab/>
        <w:t xml:space="preserve">Añorbe</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w:t>
        <w:tab/>
        <w:t xml:space="preserve">Sancho Ramirez IPa</w:t>
        <w:tab/>
        <w:t xml:space="preserve">Publikoa</w:t>
        <w:tab/>
        <w:t xml:space="preserve">Arguedas</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6</w:t>
        <w:tab/>
        <w:t xml:space="preserve">Urraca Reina IPa</w:t>
        <w:tab/>
        <w:t xml:space="preserve">Publikoa</w:t>
        <w:tab/>
        <w:t xml:space="preserve">Artaxoa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7</w:t>
        <w:tab/>
        <w:t xml:space="preserve">Francisco Arbeloa IPa</w:t>
        <w:tab/>
        <w:t xml:space="preserve">Publikoa</w:t>
        <w:tab/>
        <w:t xml:space="preserve">Azagra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8</w:t>
        <w:tab/>
        <w:t xml:space="preserve">Beire IPa</w:t>
        <w:tab/>
        <w:t xml:space="preserve">Publikoa</w:t>
        <w:tab/>
        <w:t xml:space="preserve">Beire</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9</w:t>
        <w:tab/>
        <w:t xml:space="preserve">Río Arga IPa</w:t>
        <w:tab/>
        <w:t xml:space="preserve">Publikoa</w:t>
        <w:tab/>
        <w:t xml:space="preserve">Berbintzana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10</w:t>
        <w:tab/>
        <w:t xml:space="preserve">Beriáin IPa</w:t>
        <w:tab/>
        <w:t xml:space="preserve">Publikoa</w:t>
        <w:tab/>
        <w:t xml:space="preserve">Beriain</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11</w:t>
        <w:tab/>
        <w:t xml:space="preserve">Santa Ana IPa</w:t>
        <w:tab/>
        <w:t xml:space="preserve">Publikoa</w:t>
        <w:tab/>
        <w:t xml:space="preserve">Buñuel</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12</w:t>
        <w:tab/>
        <w:t xml:space="preserve">Ermitaberri IPa</w:t>
        <w:tab/>
        <w:t xml:space="preserve">Publikoa</w:t>
        <w:tab/>
        <w:t xml:space="preserve">Burlata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13</w:t>
        <w:tab/>
        <w:t xml:space="preserve">Teresa Bertrán IPa</w:t>
        <w:tab/>
        <w:t xml:space="preserve">Publikoa</w:t>
        <w:tab/>
        <w:t xml:space="preserve">Cadreita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14</w:t>
        <w:tab/>
        <w:t xml:space="preserve">Virgen de la Oliva IPa</w:t>
        <w:tab/>
        <w:t xml:space="preserve">Publikoa</w:t>
        <w:tab/>
        <w:t xml:space="preserve">Zarrakaztelu</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15</w:t>
        <w:tab/>
        <w:t xml:space="preserve">Santa Vicenta María IPa</w:t>
        <w:tab/>
        <w:t xml:space="preserve">Publikoa</w:t>
        <w:tab/>
        <w:t xml:space="preserve">Cascante</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16</w:t>
        <w:tab/>
        <w:t xml:space="preserve">Fco. Javier Sáenz de Oiza IPa</w:t>
        <w:tab/>
        <w:t xml:space="preserve">Publikoa</w:t>
        <w:tab/>
        <w:t xml:space="preserve">Kaseda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17</w:t>
        <w:tab/>
        <w:t xml:space="preserve">Otero de Navascués IPa</w:t>
        <w:tab/>
        <w:t xml:space="preserve">Publikoa</w:t>
        <w:tab/>
        <w:t xml:space="preserve">Cintruénigo</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18</w:t>
        <w:tab/>
        <w:t xml:space="preserve">José Luis Arrese IPa</w:t>
        <w:tab/>
        <w:t xml:space="preserve">Publikoa</w:t>
        <w:tab/>
        <w:t xml:space="preserve">Corella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19</w:t>
        <w:tab/>
        <w:t xml:space="preserve">Cerro de la Cruz IPa</w:t>
        <w:tab/>
        <w:t xml:space="preserve">Publikoa</w:t>
        <w:tab/>
        <w:t xml:space="preserve">Cortes</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20</w:t>
        <w:tab/>
        <w:t xml:space="preserve">Juan de Palafox IPa</w:t>
        <w:tab/>
        <w:t xml:space="preserve">Publikoa</w:t>
        <w:tab/>
        <w:t xml:space="preserve">Fitero</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21</w:t>
        <w:tab/>
        <w:t xml:space="preserve">Elías Terés Sádaba IPa</w:t>
        <w:tab/>
        <w:t xml:space="preserve">Publikoa</w:t>
        <w:tab/>
        <w:t xml:space="preserve">Funes</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22</w:t>
        <w:tab/>
        <w:t xml:space="preserve">Santos Justo y Pastor IPa</w:t>
        <w:tab/>
        <w:t xml:space="preserve">Publikoa</w:t>
        <w:tab/>
        <w:t xml:space="preserve">Fustiñana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23</w:t>
        <w:tab/>
        <w:t xml:space="preserve">Atakondoa IPa</w:t>
        <w:tab/>
        <w:t xml:space="preserve">Publikoa</w:t>
        <w:tab/>
        <w:t xml:space="preserve">Irurtzun</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24</w:t>
        <w:tab/>
        <w:t xml:space="preserve">Doña Blanca de Navarra IPa</w:t>
        <w:tab/>
        <w:t xml:space="preserve">Publikoa</w:t>
        <w:tab/>
        <w:t xml:space="preserve">Lerin</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25</w:t>
        <w:tab/>
        <w:t xml:space="preserve">Angel M. Baigorri IPa</w:t>
        <w:tab/>
        <w:t xml:space="preserve">Publikoa</w:t>
        <w:tab/>
        <w:t xml:space="preserve">Lodosa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26</w:t>
        <w:tab/>
        <w:t xml:space="preserve">San Juan IPa</w:t>
        <w:tab/>
        <w:t xml:space="preserve">Publikoa</w:t>
        <w:tab/>
        <w:t xml:space="preserve">Irunberri</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27</w:t>
        <w:tab/>
        <w:t xml:space="preserve">San Bartolomé IPa</w:t>
        <w:tab/>
        <w:t xml:space="preserve">Publikoa</w:t>
        <w:tab/>
        <w:t xml:space="preserve">Martzilla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28</w:t>
        <w:tab/>
        <w:t xml:space="preserve">Santa Ana IPa</w:t>
        <w:tab/>
        <w:t xml:space="preserve">Publikoa</w:t>
        <w:tab/>
        <w:t xml:space="preserve">Melida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29</w:t>
        <w:tab/>
        <w:t xml:space="preserve">Ntra. Sra. de los Dolores Ik.</w:t>
        <w:tab/>
        <w:t xml:space="preserve">Itundua</w:t>
        <w:tab/>
        <w:t xml:space="preserve">Mendabia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30</w:t>
        <w:tab/>
        <w:t xml:space="preserve">San Francisco Javier IPa</w:t>
        <w:tab/>
        <w:t xml:space="preserve">Publikoa</w:t>
        <w:tab/>
        <w:t xml:space="preserve">Mendabia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31</w:t>
        <w:tab/>
        <w:t xml:space="preserve">Julian Maria Espinal Olcoz IPa</w:t>
        <w:tab/>
        <w:t xml:space="preserve">Publikoa</w:t>
        <w:tab/>
        <w:t xml:space="preserve">Mendigorria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32</w:t>
        <w:tab/>
        <w:t xml:space="preserve">Ntra. Sra. del Patrocinio IPa</w:t>
        <w:tab/>
        <w:t xml:space="preserve">Publikoa</w:t>
        <w:tab/>
        <w:t xml:space="preserve">Milagro</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33</w:t>
        <w:tab/>
        <w:t xml:space="preserve">Honorio Galilea IPa</w:t>
        <w:tab/>
        <w:t xml:space="preserve">Publikoa</w:t>
        <w:tab/>
        <w:t xml:space="preserve">Monteagudo</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34</w:t>
        <w:tab/>
        <w:t xml:space="preserve">Mardones y Magaña IPa</w:t>
        <w:tab/>
        <w:t xml:space="preserve">Publikoa</w:t>
        <w:tab/>
        <w:t xml:space="preserve">Murchante</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35</w:t>
        <w:tab/>
        <w:t xml:space="preserve">Raimundo Lanas IPa</w:t>
        <w:tab/>
        <w:t xml:space="preserve">Publikoa</w:t>
        <w:tab/>
        <w:t xml:space="preserve">Murillo el Fruto</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36</w:t>
        <w:tab/>
        <w:t xml:space="preserve">San Miguel IPa</w:t>
        <w:tab/>
        <w:t xml:space="preserve">Publikoa</w:t>
        <w:tab/>
        <w:t xml:space="preserve">Noain</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37</w:t>
        <w:tab/>
        <w:t xml:space="preserve">Obanos IPa</w:t>
        <w:tab/>
        <w:t xml:space="preserve">Publikoa</w:t>
        <w:tab/>
        <w:t xml:space="preserve">Obanos</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38</w:t>
        <w:tab/>
        <w:t xml:space="preserve">San Salvador IPa</w:t>
        <w:tab/>
        <w:t xml:space="preserve">Publikoa</w:t>
        <w:tab/>
        <w:t xml:space="preserve">Oteitza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39</w:t>
        <w:tab/>
        <w:t xml:space="preserve">San Jorge IPa</w:t>
        <w:tab/>
        <w:t xml:space="preserve">Publikoa</w:t>
        <w:tab/>
        <w:t xml:space="preserve">Iruña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40</w:t>
        <w:tab/>
        <w:t xml:space="preserve">Iturrama IPa</w:t>
        <w:tab/>
        <w:t xml:space="preserve">Publikoa</w:t>
        <w:tab/>
        <w:t xml:space="preserve">Iruña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41</w:t>
        <w:tab/>
        <w:t xml:space="preserve">Mendigoiti IPa</w:t>
        <w:tab/>
        <w:t xml:space="preserve">Publikoa</w:t>
        <w:tab/>
        <w:t xml:space="preserve">Iruña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42</w:t>
        <w:tab/>
        <w:t xml:space="preserve">García Galdeano IPa</w:t>
        <w:tab/>
        <w:t xml:space="preserve">Publikoa</w:t>
        <w:tab/>
        <w:t xml:space="preserve">Iruña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43</w:t>
        <w:tab/>
        <w:t xml:space="preserve">Juan Bautista Irurzun IPa</w:t>
        <w:tab/>
        <w:t xml:space="preserve">Publikoa</w:t>
        <w:tab/>
        <w:t xml:space="preserve">Azkoien</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44</w:t>
        <w:tab/>
        <w:t xml:space="preserve">Ximénez de Rada IPa</w:t>
        <w:tab/>
        <w:t xml:space="preserve">Publikoa</w:t>
        <w:tab/>
        <w:t xml:space="preserve">Arrada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45</w:t>
        <w:tab/>
        <w:t xml:space="preserve">San Bartolomé IPa</w:t>
        <w:tab/>
        <w:t xml:space="preserve">Publikoa</w:t>
        <w:tab/>
        <w:t xml:space="preserve">Ribaforada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46</w:t>
        <w:tab/>
        <w:t xml:space="preserve">Alfonso X El Sabio IPa</w:t>
        <w:tab/>
        <w:t xml:space="preserve">Publikoa</w:t>
        <w:tab/>
        <w:t xml:space="preserve">San Adrián</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47</w:t>
        <w:tab/>
        <w:t xml:space="preserve">Luis Gil IPa</w:t>
        <w:tab/>
        <w:t xml:space="preserve">Publikoa</w:t>
        <w:tab/>
        <w:t xml:space="preserve">Zangoza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48</w:t>
        <w:tab/>
        <w:t xml:space="preserve">Ntra. Sra. de la Asunción IPa</w:t>
        <w:tab/>
        <w:t xml:space="preserve">Publikoa</w:t>
        <w:tab/>
        <w:t xml:space="preserve">Santakara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49</w:t>
        <w:tab/>
        <w:t xml:space="preserve">Virgen de la Nieves IPa</w:t>
        <w:tab/>
        <w:t xml:space="preserve">Publikoa</w:t>
        <w:tab/>
        <w:t xml:space="preserve">Sesma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50</w:t>
        <w:tab/>
        <w:t xml:space="preserve">Marqués de la Real Defensa IPa</w:t>
        <w:tab/>
        <w:t xml:space="preserve">Publikoa</w:t>
        <w:tab/>
        <w:t xml:space="preserve">Tafalla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51</w:t>
        <w:tab/>
        <w:t xml:space="preserve">Garcés de los Fayos Ikastola</w:t>
        <w:tab/>
        <w:t xml:space="preserve">Itundua</w:t>
        <w:tab/>
        <w:t xml:space="preserve">Tafalla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52</w:t>
        <w:tab/>
        <w:t xml:space="preserve">Monte San Julián IPa</w:t>
        <w:tab/>
        <w:t xml:space="preserve">Publikoa</w:t>
        <w:tab/>
        <w:t xml:space="preserve">Tutera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53</w:t>
        <w:tab/>
        <w:t xml:space="preserve">Elvira España IPa</w:t>
        <w:tab/>
        <w:t xml:space="preserve">Publikoa</w:t>
        <w:tab/>
        <w:t xml:space="preserve">Tutera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54</w:t>
        <w:tab/>
        <w:t xml:space="preserve">Griseras IPa</w:t>
        <w:tab/>
        <w:t xml:space="preserve">Publikoa</w:t>
        <w:tab/>
        <w:t xml:space="preserve">Tutera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55</w:t>
        <w:tab/>
        <w:t xml:space="preserve">Torre Monreal IPa</w:t>
        <w:tab/>
        <w:t xml:space="preserve">Publikoa</w:t>
        <w:tab/>
        <w:t xml:space="preserve">Tutera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56</w:t>
        <w:tab/>
        <w:t xml:space="preserve">Huertas Mayores IPa</w:t>
        <w:tab/>
        <w:t xml:space="preserve">Publikoa</w:t>
        <w:tab/>
        <w:t xml:space="preserve">Tutera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57</w:t>
        <w:tab/>
        <w:t xml:space="preserve">Félix Zapatero IPa</w:t>
        <w:tab/>
        <w:t xml:space="preserve">Publikoa</w:t>
        <w:tab/>
        <w:t xml:space="preserve">Valtierra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58</w:t>
        <w:tab/>
        <w:t xml:space="preserve">El Castellar IPa</w:t>
        <w:tab/>
        <w:t xml:space="preserve">Publikoa</w:t>
        <w:tab/>
        <w:t xml:space="preserve">Alesbes</w:t>
      </w:r>
    </w:p>
    <w:p>
      <w:pPr>
        <w:pStyle w:val="5"/>
        <w:spacing w:after="113.386" w:before="0" w:line="180" w:lineRule="exact"/>
        <w:suppressAutoHyphens w:val="false"/>
        <w:tabs>
          <w:tab w:leader="none" w:pos="283.464" w:val="left"/>
          <w:tab w:leader="none" w:pos="2390" w:val="left"/>
          <w:tab w:leader="none" w:pos="3270" w:val="left"/>
        </w:tabs>
        <w:rPr/>
      </w:pPr>
      <w:r>
        <w:rPr>
          <w:sz w:val="14"/>
        </w:rPr>
        <w:t xml:space="preserve">59</w:t>
        <w:tab/>
        <w:t xml:space="preserve">San Veremundo IPa</w:t>
        <w:tab/>
        <w:t xml:space="preserve">Publikoa</w:t>
        <w:tab/>
        <w:t xml:space="preserve">Villatuerta</w:t>
      </w:r>
      <w:r>
        <w:rPr/>
      </w:r>
    </w:p>
    <w:p>
      <w:pPr>
        <w:pStyle w:val="6"/>
        <w:suppressAutoHyphens w:val="false"/>
        <w:rPr/>
      </w:pPr>
      <w:r>
        <w:rPr/>
        <w:t xml:space="preserve">Kasu guztietan, ebazpenean ezarri bezala, bozketak egin baino lehen informazioa eman zen bai ikastetxeak diseinatutako proiektuari buruz, bai zerbitzu osagarrien baldintzei buruz ere. Ikastetxeak emandako informazioaz gainera departamentuari zuzenean informazioa eskatu zioten familiei, argi helarazi zitzaien zein baldintzatan arautuko zen garraio zerbitzua.</w:t>
      </w:r>
    </w:p>
    <w:p>
      <w:pPr>
        <w:pStyle w:val="0"/>
        <w:suppressAutoHyphens w:val="false"/>
        <w:rPr>
          <w:rStyle w:val="1"/>
        </w:rPr>
      </w:pPr>
      <w:r>
        <w:rPr>
          <w:rStyle w:val="1"/>
        </w:rPr>
        <w:t xml:space="preserve">Honaino iritsi garelarik, ikastetxeen artean bereizketak egiteak eta hasiera batean ezarri ziren egoerak aldatzeak hautsi egingo lituzke eskolaldi jarraitua ezartzeko prozesu hau abiarazi zen garaiko joko-arauak.</w:t>
      </w:r>
    </w:p>
    <w:p>
      <w:pPr>
        <w:pStyle w:val="0"/>
        <w:suppressAutoHyphens w:val="false"/>
        <w:rPr>
          <w:rStyle w:val="1"/>
        </w:rPr>
      </w:pPr>
      <w:r>
        <w:rPr>
          <w:rStyle w:val="1"/>
        </w:rPr>
        <w:t xml:space="preserve">Iruñean, 2017ko abuztuaren 21ean.</w:t>
      </w:r>
    </w:p>
    <w:p>
      <w:pPr>
        <w:pStyle w:val="0"/>
        <w:suppressAutoHyphens w:val="false"/>
        <w:rPr>
          <w:rStyle w:val="1"/>
        </w:rPr>
      </w:pPr>
      <w:r>
        <w:rPr>
          <w:rStyle w:val="1"/>
        </w:rPr>
        <w:t xml:space="preserve">Hezkuntza Departamentuko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6" w:type="paragraph">
    <w:name w:val="Tab6"/>
    <w:basedOn w:val="0"/>
    <w:next w:val="6"/>
    <w:qFormat w:val="true"/>
    <w:pPr>
      <w:jc w:val="both"/>
      <w:ind w:firstLine="283.465"/>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5" w:type="paragraph">
    <w:name w:val="Tab7"/>
    <w:basedOn w:val="3"/>
    <w:next w:val="5"/>
    <w:qFormat w:val="true"/>
    <w:pPr>
      <w:jc w:val="left"/>
      <w:ind w:firstLine="0"/>
      <w:spacing w:after="113.386" w:before="0" w:line="230" w:lineRule="exact"/>
      <w:keepNext w:val="false"/>
      <w:keepLines w:val="true"/>
      <w:textFlow w:val="lrTb"/>
      <w:textAlignment w:val="baseline"/>
      <w:suppressAutoHyphens w:val="false"/>
    </w:pPr>
    <w:rPr/>
  </w:style>
  <w:style w:customStyle="1" w:styleId="4" w:type="paragraph">
    <w:name w:val="Tab8"/>
    <w:basedOn w:val="0"/>
    <w:next w:val="4"/>
    <w:qFormat w:val="true"/>
    <w:pPr>
      <w:jc w:val="left"/>
      <w:ind w:firstLine="0"/>
      <w:spacing w:after="56.693" w:before="0"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3" w:type="paragraph">
    <w:name w:val="Tab9"/>
    <w:basedOn w:val="0"/>
    <w:next w:val="3"/>
    <w:qFormat w:val="true"/>
    <w:pPr>
      <w:jc w:val="left"/>
      <w:ind w:firstLine="0"/>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