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jakitekoa Davalor Salud-ek zenbat optika-katerekin itxi dituen merkataritza-kontratuak.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Erregelamenduko 188. artikuluan eta hurrengoetan ezarritakoaren babesean, honako galdera hau aurkezten du, Nafarroako Gobernuko Garapen Ekonomikorako lehendakariorde Manu Ayerdi jaunak idatziz erantzun diezaion:</w:t>
      </w:r>
    </w:p>
    <w:p>
      <w:pPr>
        <w:pStyle w:val="0"/>
        <w:suppressAutoHyphens w:val="false"/>
        <w:rPr>
          <w:rStyle w:val="1"/>
        </w:rPr>
      </w:pPr>
      <w:r>
        <w:rPr>
          <w:rStyle w:val="1"/>
        </w:rPr>
        <w:t xml:space="preserve">Davalor Salud-ek zenbat optika-katerekin itxi ditu merkataritza-kontratuak?</w:t>
      </w:r>
    </w:p>
    <w:p>
      <w:pPr>
        <w:pStyle w:val="0"/>
        <w:suppressAutoHyphens w:val="false"/>
        <w:rPr>
          <w:rStyle w:val="1"/>
        </w:rPr>
      </w:pPr>
      <w:r>
        <w:rPr>
          <w:rStyle w:val="1"/>
        </w:rPr>
        <w:t xml:space="preserve">Iruñean, 2017ko urriaren 20an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