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10" w:rsidRPr="00635080" w:rsidRDefault="00E94A38" w:rsidP="007C4F60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talde parlamentarioari atxikitako foru parlamentari Alberto </w:t>
      </w:r>
      <w:proofErr w:type="spellStart"/>
      <w:r>
        <w:rPr>
          <w:rFonts w:ascii="Arial" w:hAnsi="Arial"/>
        </w:rPr>
        <w:t>Catalán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Higueras</w:t>
      </w:r>
      <w:proofErr w:type="spellEnd"/>
      <w:r>
        <w:rPr>
          <w:rFonts w:ascii="Arial" w:hAnsi="Arial"/>
        </w:rPr>
        <w:t xml:space="preserve"> jaunak 9-17/PES-0222 idatzizko galdera aurkeztu du. Hauxe da Nafarroako Hezkuntzako kontseilariaren informazioa:</w:t>
      </w:r>
    </w:p>
    <w:p w:rsidR="00D82024" w:rsidRPr="00635080" w:rsidRDefault="00F86DDC" w:rsidP="00EF2706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1.- Ribaforadako “</w:t>
      </w:r>
      <w:proofErr w:type="spellStart"/>
      <w:r>
        <w:rPr>
          <w:rFonts w:ascii="Arial" w:hAnsi="Arial"/>
        </w:rPr>
        <w:t>Ribera</w:t>
      </w:r>
      <w:proofErr w:type="spellEnd"/>
      <w:r>
        <w:rPr>
          <w:rFonts w:ascii="Arial" w:hAnsi="Arial"/>
        </w:rPr>
        <w:t>” DBHI berriari (behin-behineko izendapena da) atxikitako ikastetxeak, Cabanillas, Fustiñana eta Ribaforada herriei dagozkienak, erantsitako taulan aipatzen den matrikula izanen dute datozen ikasturteetan:</w:t>
      </w:r>
    </w:p>
    <w:tbl>
      <w:tblPr>
        <w:tblW w:w="6060" w:type="dxa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680"/>
        <w:gridCol w:w="680"/>
        <w:gridCol w:w="680"/>
        <w:gridCol w:w="680"/>
      </w:tblGrid>
      <w:tr w:rsidR="00F86DDC" w:rsidRPr="00311DEB" w:rsidTr="00F86DDC">
        <w:trPr>
          <w:trHeight w:val="25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F86DDC" w:rsidRPr="00311DEB" w:rsidRDefault="00F86DDC" w:rsidP="00311DEB">
            <w:pPr>
              <w:spacing w:before="20" w:after="20"/>
              <w:jc w:val="righ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DBHko</w:t>
            </w:r>
            <w:proofErr w:type="spellEnd"/>
            <w:r w:rsidRPr="00311DEB">
              <w:rPr>
                <w:rFonts w:asciiTheme="minorHAnsi" w:hAnsiTheme="minorHAnsi"/>
                <w:sz w:val="18"/>
                <w:szCs w:val="18"/>
              </w:rPr>
              <w:t xml:space="preserve"> ratioa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</w:tr>
      <w:tr w:rsidR="00F86DDC" w:rsidRPr="00311DEB" w:rsidTr="00F86DD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bottom"/>
          </w:tcPr>
          <w:p w:rsidR="00F86DDC" w:rsidRPr="00311DEB" w:rsidRDefault="00F86DDC" w:rsidP="00311DEB">
            <w:pPr>
              <w:spacing w:before="20" w:after="20"/>
              <w:jc w:val="right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Batxilergoko ratioa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</w:tr>
    </w:tbl>
    <w:p w:rsidR="00F86DDC" w:rsidRPr="00311DEB" w:rsidRDefault="00F86DDC" w:rsidP="00311DEB">
      <w:pPr>
        <w:spacing w:before="20" w:after="20"/>
        <w:rPr>
          <w:rFonts w:asciiTheme="minorHAnsi" w:eastAsia="Times New Roman" w:hAnsiTheme="minorHAnsi" w:cs="Arial"/>
          <w:sz w:val="18"/>
          <w:szCs w:val="18"/>
          <w:lang w:val="es-ES" w:eastAsia="es-ES"/>
        </w:rPr>
      </w:pPr>
    </w:p>
    <w:tbl>
      <w:tblPr>
        <w:tblW w:w="83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86DDC" w:rsidRPr="00311DEB" w:rsidTr="00F86DDC">
        <w:trPr>
          <w:trHeight w:val="330"/>
        </w:trPr>
        <w:tc>
          <w:tcPr>
            <w:tcW w:w="1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b/>
                <w:bCs/>
                <w:sz w:val="18"/>
                <w:szCs w:val="18"/>
              </w:rPr>
            </w:pPr>
            <w:r w:rsidRPr="00311DE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Ribaforadako “Erribera” DBHI berria. </w:t>
            </w:r>
          </w:p>
        </w:tc>
      </w:tr>
      <w:tr w:rsidR="00F86DDC" w:rsidRPr="00311DEB" w:rsidTr="00F86DDC">
        <w:trPr>
          <w:trHeight w:val="255"/>
        </w:trPr>
        <w:tc>
          <w:tcPr>
            <w:tcW w:w="1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DBH</w:t>
            </w:r>
          </w:p>
        </w:tc>
      </w:tr>
      <w:tr w:rsidR="00F86DDC" w:rsidRPr="00311DEB" w:rsidTr="00311DEB">
        <w:trPr>
          <w:trHeight w:val="548"/>
        </w:trPr>
        <w:tc>
          <w:tcPr>
            <w:tcW w:w="1596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1.a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3.a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4.a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DBH,</w:t>
            </w:r>
            <w:r w:rsidRPr="00311DEB">
              <w:rPr>
                <w:rFonts w:asciiTheme="minorHAnsi" w:hAnsiTheme="minorHAnsi"/>
                <w:sz w:val="18"/>
                <w:szCs w:val="18"/>
              </w:rPr>
              <w:br/>
              <w:t>guztira</w:t>
            </w:r>
          </w:p>
        </w:tc>
      </w:tr>
      <w:tr w:rsidR="00F86DDC" w:rsidRPr="00311DEB" w:rsidTr="00311DEB">
        <w:trPr>
          <w:trHeight w:val="270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Ikasl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Tald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Ikasl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Tald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Ikasl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Tald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Ikasl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Tald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Ikasl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proofErr w:type="spellStart"/>
            <w:r w:rsidRPr="00311DEB">
              <w:rPr>
                <w:rFonts w:asciiTheme="minorHAnsi" w:hAnsiTheme="minorHAnsi"/>
                <w:sz w:val="18"/>
                <w:szCs w:val="18"/>
              </w:rPr>
              <w:t>Tald</w:t>
            </w:r>
            <w:proofErr w:type="spellEnd"/>
          </w:p>
        </w:tc>
      </w:tr>
      <w:tr w:rsidR="00F86DDC" w:rsidRPr="00311DEB" w:rsidTr="00311DEB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2019-20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F86DDC" w:rsidRPr="00311DEB" w:rsidTr="00311DEB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2020-21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F86DDC" w:rsidRPr="00311DEB" w:rsidTr="00F86DDC">
        <w:trPr>
          <w:trHeight w:val="25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2021-22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F86DDC" w:rsidRPr="00311DEB" w:rsidTr="00F86DDC">
        <w:trPr>
          <w:trHeight w:val="25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2022-23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F86DDC" w:rsidRPr="00311DEB" w:rsidTr="00F86DDC">
        <w:trPr>
          <w:trHeight w:val="25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2023-24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F86DDC" w:rsidRPr="00311DEB" w:rsidTr="00F86DDC">
        <w:trPr>
          <w:trHeight w:val="25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2024-25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</w:tr>
      <w:tr w:rsidR="00F86DDC" w:rsidRPr="00311DEB" w:rsidTr="00F86DDC">
        <w:trPr>
          <w:trHeight w:val="27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2025-26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F86DDC" w:rsidRPr="00311DEB" w:rsidTr="00F86DDC">
        <w:trPr>
          <w:trHeight w:val="27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2026-27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341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86DDC" w:rsidRPr="00311DEB" w:rsidRDefault="00F86DDC" w:rsidP="00311DEB">
            <w:pPr>
              <w:spacing w:before="20" w:after="20"/>
              <w:jc w:val="center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311DEB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</w:tbl>
    <w:p w:rsidR="00F86DDC" w:rsidRPr="00635080" w:rsidRDefault="00F86DDC" w:rsidP="00635080">
      <w:pPr>
        <w:spacing w:after="0" w:line="360" w:lineRule="auto"/>
        <w:rPr>
          <w:rFonts w:ascii="Arial" w:eastAsia="Times New Roman" w:hAnsi="Arial" w:cs="Arial"/>
          <w:szCs w:val="20"/>
          <w:lang w:val="es-ES" w:eastAsia="es-ES"/>
        </w:rPr>
      </w:pPr>
    </w:p>
    <w:p w:rsidR="00F86DDC" w:rsidRPr="00635080" w:rsidRDefault="00F86DDC" w:rsidP="00EF2706">
      <w:pPr>
        <w:spacing w:after="0" w:line="360" w:lineRule="auto"/>
        <w:ind w:firstLine="709"/>
        <w:jc w:val="both"/>
        <w:rPr>
          <w:rFonts w:ascii="Arial" w:eastAsia="Times New Roman" w:hAnsi="Arial" w:cs="Arial"/>
          <w:szCs w:val="20"/>
        </w:rPr>
      </w:pPr>
      <w:r>
        <w:rPr>
          <w:rFonts w:ascii="Arial" w:hAnsi="Arial"/>
          <w:szCs w:val="20"/>
        </w:rPr>
        <w:t>Taulako datuekin, matrikularen eta taldeen bilakaerari buruzko irudiak atera ditzakegu:</w:t>
      </w:r>
    </w:p>
    <w:p w:rsidR="007C4F60" w:rsidRDefault="005E4D30" w:rsidP="00635080">
      <w:pPr>
        <w:spacing w:after="0" w:line="360" w:lineRule="auto"/>
        <w:rPr>
          <w:rFonts w:ascii="Arial" w:eastAsia="Times New Roman" w:hAnsi="Arial"/>
        </w:rPr>
      </w:pPr>
      <w:bookmarkStart w:id="0" w:name="_GoBack"/>
      <w:r>
        <w:rPr>
          <w:rFonts w:ascii="Arial" w:hAnsi="Arial"/>
          <w:noProof/>
          <w:lang w:val="es-ES" w:eastAsia="es-ES"/>
        </w:rPr>
        <w:lastRenderedPageBreak/>
        <w:drawing>
          <wp:inline distT="0" distB="0" distL="0" distR="0">
            <wp:extent cx="4495800" cy="7077075"/>
            <wp:effectExtent l="0" t="0" r="0" b="9525"/>
            <wp:docPr id="1" name="Imagen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4F60" w:rsidRDefault="00F86DDC" w:rsidP="00EF2706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2.- Hezkuntza Departamentuak aurreikusten du ikasleen matrikulazioa mailaz </w:t>
      </w:r>
      <w:proofErr w:type="spellStart"/>
      <w:r>
        <w:rPr>
          <w:rFonts w:ascii="Arial" w:hAnsi="Arial"/>
        </w:rPr>
        <w:t>maila</w:t>
      </w:r>
      <w:proofErr w:type="spellEnd"/>
      <w:r>
        <w:rPr>
          <w:rFonts w:ascii="Arial" w:hAnsi="Arial"/>
        </w:rPr>
        <w:t xml:space="preserve"> egin dadila; hau da, </w:t>
      </w:r>
      <w:proofErr w:type="spellStart"/>
      <w:r>
        <w:rPr>
          <w:rFonts w:ascii="Arial" w:hAnsi="Arial"/>
        </w:rPr>
        <w:t>DBHko</w:t>
      </w:r>
      <w:proofErr w:type="spellEnd"/>
      <w:r>
        <w:rPr>
          <w:rFonts w:ascii="Arial" w:hAnsi="Arial"/>
        </w:rPr>
        <w:t xml:space="preserve"> 1. mailatik hasi eta gero ondoz ondoko mailak gehituz. Hala eta guztiz ere, </w:t>
      </w:r>
      <w:proofErr w:type="spellStart"/>
      <w:r>
        <w:rPr>
          <w:rFonts w:ascii="Arial" w:hAnsi="Arial"/>
        </w:rPr>
        <w:t>DBHko</w:t>
      </w:r>
      <w:proofErr w:type="spellEnd"/>
      <w:r>
        <w:rPr>
          <w:rFonts w:ascii="Arial" w:hAnsi="Arial"/>
        </w:rPr>
        <w:t xml:space="preserve"> 1. maila Tuteran ikasten ari diren ikasleen familia guztiek eskatuko balute </w:t>
      </w:r>
      <w:proofErr w:type="spellStart"/>
      <w:r>
        <w:rPr>
          <w:rFonts w:ascii="Arial" w:hAnsi="Arial"/>
        </w:rPr>
        <w:t>DBHko</w:t>
      </w:r>
      <w:proofErr w:type="spellEnd"/>
      <w:r>
        <w:rPr>
          <w:rFonts w:ascii="Arial" w:hAnsi="Arial"/>
        </w:rPr>
        <w:t xml:space="preserve"> 2. maila ikastetxe berrian egitea eta </w:t>
      </w:r>
      <w:r>
        <w:rPr>
          <w:rFonts w:ascii="Arial" w:hAnsi="Arial"/>
        </w:rPr>
        <w:lastRenderedPageBreak/>
        <w:t>horretarako konpromisoa hartuko balute, Hezkuntza Departamentuak aukera hori aztertuko luke.</w:t>
      </w:r>
    </w:p>
    <w:p w:rsidR="007C4F60" w:rsidRDefault="00174FC9" w:rsidP="00EF2706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Hala eta guztiz ere, gogorarazi beharra dago mailaz </w:t>
      </w:r>
      <w:proofErr w:type="spellStart"/>
      <w:r>
        <w:rPr>
          <w:rFonts w:ascii="Arial" w:hAnsi="Arial"/>
        </w:rPr>
        <w:t>maila</w:t>
      </w:r>
      <w:proofErr w:type="spellEnd"/>
      <w:r>
        <w:rPr>
          <w:rFonts w:ascii="Arial" w:hAnsi="Arial"/>
        </w:rPr>
        <w:t xml:space="preserve"> hasteak alde on batzuk badituela; honako hauek, besteak </w:t>
      </w:r>
      <w:proofErr w:type="spellStart"/>
      <w:r>
        <w:rPr>
          <w:rFonts w:ascii="Arial" w:hAnsi="Arial"/>
        </w:rPr>
        <w:t>beste</w:t>
      </w:r>
      <w:proofErr w:type="spellEnd"/>
      <w:r>
        <w:rPr>
          <w:rFonts w:ascii="Arial" w:hAnsi="Arial"/>
        </w:rPr>
        <w:t xml:space="preserve">: </w:t>
      </w:r>
    </w:p>
    <w:p w:rsidR="00174FC9" w:rsidRDefault="00174FC9" w:rsidP="00EF27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zuzendaritzaren talde berriak eta atxikitako irakasleek ikastetxe berriaren hezkuntza proiektua definitu ahalko dute eta behar diren doikuntzak egin ahalko dituzte, tamaina handiagoko institutu batek dakarren presioa eduki gabe.</w:t>
      </w:r>
    </w:p>
    <w:p w:rsidR="007C4F60" w:rsidRDefault="00A71DE6" w:rsidP="00EF270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Tuteran bigarren hezkuntzako ikastetxeetan jada matrikulatuta dauden ikasleek beren ikasketak jarraitu ahalko dituzte ikasketa horiek hasi zituzten ikastetxean, gaurko bermeekin.</w:t>
      </w:r>
    </w:p>
    <w:p w:rsidR="007C4F60" w:rsidRDefault="00635080" w:rsidP="00EF2706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3.- 2017-18 eta 2018-19 ikasturteetan, Hezkuntza Departamentuko arduradunak arestian aipatutako hiru herrietako hezkuntza-erkidegoetako ordezkariekin bilduko dira, informazioa eta iritziak elkarrekin trukatzeko.</w:t>
      </w:r>
    </w:p>
    <w:p w:rsidR="007C4F60" w:rsidRDefault="00635080" w:rsidP="00EF2706">
      <w:pPr>
        <w:spacing w:after="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4.- 2018-19 ikasturtean, Hezkuntza Ikuskapen Zerbitzuak institutu berriaren zuzendaritzaz arduratuko den pertsona izendatzen duenean, irakaskuntza-lanetatik liberatuko du, ikasturte berria martxotik aurrera antolatu ahal dezan.</w:t>
      </w:r>
    </w:p>
    <w:p w:rsidR="007C4F60" w:rsidRDefault="002B556A" w:rsidP="00635080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2017ko azaroaren 8an.</w:t>
      </w:r>
    </w:p>
    <w:p w:rsidR="003B53BA" w:rsidRPr="007C4F60" w:rsidRDefault="007C4F60" w:rsidP="007C4F60">
      <w:pPr>
        <w:spacing w:after="0" w:line="360" w:lineRule="auto"/>
        <w:ind w:firstLine="709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 </w:t>
      </w: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Solana Arana</w:t>
      </w:r>
    </w:p>
    <w:sectPr w:rsidR="003B53BA" w:rsidRPr="007C4F60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1D" w:rsidRDefault="00CF721D">
      <w:r>
        <w:separator/>
      </w:r>
    </w:p>
  </w:endnote>
  <w:endnote w:type="continuationSeparator" w:id="0">
    <w:p w:rsidR="00CF721D" w:rsidRDefault="00CF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1D" w:rsidRDefault="00CF721D">
      <w:r>
        <w:separator/>
      </w:r>
    </w:p>
  </w:footnote>
  <w:footnote w:type="continuationSeparator" w:id="0">
    <w:p w:rsidR="00CF721D" w:rsidRDefault="00CF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569"/>
    <w:multiLevelType w:val="hybridMultilevel"/>
    <w:tmpl w:val="70284C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24"/>
    <w:rsid w:val="00052F26"/>
    <w:rsid w:val="000752E3"/>
    <w:rsid w:val="00076CCD"/>
    <w:rsid w:val="000B7999"/>
    <w:rsid w:val="000C68C2"/>
    <w:rsid w:val="00111792"/>
    <w:rsid w:val="00146E30"/>
    <w:rsid w:val="00151F01"/>
    <w:rsid w:val="00157F84"/>
    <w:rsid w:val="00174FC9"/>
    <w:rsid w:val="001E0CD7"/>
    <w:rsid w:val="002043B7"/>
    <w:rsid w:val="00224E9C"/>
    <w:rsid w:val="00267CE6"/>
    <w:rsid w:val="002B556A"/>
    <w:rsid w:val="00311DEB"/>
    <w:rsid w:val="003B53BA"/>
    <w:rsid w:val="0040264A"/>
    <w:rsid w:val="00444BD9"/>
    <w:rsid w:val="0044750A"/>
    <w:rsid w:val="004842CC"/>
    <w:rsid w:val="004C1445"/>
    <w:rsid w:val="004C6342"/>
    <w:rsid w:val="004D589D"/>
    <w:rsid w:val="0054420A"/>
    <w:rsid w:val="005551BA"/>
    <w:rsid w:val="005623E5"/>
    <w:rsid w:val="005D5D04"/>
    <w:rsid w:val="005E42D9"/>
    <w:rsid w:val="005E4D30"/>
    <w:rsid w:val="00635080"/>
    <w:rsid w:val="00644C1D"/>
    <w:rsid w:val="006B5CCE"/>
    <w:rsid w:val="006F4BE6"/>
    <w:rsid w:val="007106BC"/>
    <w:rsid w:val="00755FE6"/>
    <w:rsid w:val="0077762A"/>
    <w:rsid w:val="007C4F60"/>
    <w:rsid w:val="007E0447"/>
    <w:rsid w:val="007E2A34"/>
    <w:rsid w:val="007F2F29"/>
    <w:rsid w:val="008B141D"/>
    <w:rsid w:val="0090698A"/>
    <w:rsid w:val="009C61CF"/>
    <w:rsid w:val="009F715F"/>
    <w:rsid w:val="00A15192"/>
    <w:rsid w:val="00A6685F"/>
    <w:rsid w:val="00A71DE6"/>
    <w:rsid w:val="00AC7B2D"/>
    <w:rsid w:val="00AD3A61"/>
    <w:rsid w:val="00B15899"/>
    <w:rsid w:val="00B22105"/>
    <w:rsid w:val="00B470D0"/>
    <w:rsid w:val="00BA7F1A"/>
    <w:rsid w:val="00C05B12"/>
    <w:rsid w:val="00CA4615"/>
    <w:rsid w:val="00CA53FB"/>
    <w:rsid w:val="00CF721D"/>
    <w:rsid w:val="00D05420"/>
    <w:rsid w:val="00D124B5"/>
    <w:rsid w:val="00D82024"/>
    <w:rsid w:val="00E459E1"/>
    <w:rsid w:val="00E85DB1"/>
    <w:rsid w:val="00E94A38"/>
    <w:rsid w:val="00EF2706"/>
    <w:rsid w:val="00EF2DC9"/>
    <w:rsid w:val="00F15258"/>
    <w:rsid w:val="00F32840"/>
    <w:rsid w:val="00F86DDC"/>
    <w:rsid w:val="00FB625A"/>
    <w:rsid w:val="00FE338B"/>
    <w:rsid w:val="00FE3F03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311D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311D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embretes\1.%20PARLAMENTO%20-%20RESPUESTA%20A%20PEI%20O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PARLAMENTO - RESPUESTA A PEI O PES</Template>
  <TotalTime>0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x007122</dc:creator>
  <cp:lastModifiedBy>De Santiago, Iñaki</cp:lastModifiedBy>
  <cp:revision>2</cp:revision>
  <cp:lastPrinted>1900-12-31T23:00:00Z</cp:lastPrinted>
  <dcterms:created xsi:type="dcterms:W3CDTF">2017-12-21T11:16:00Z</dcterms:created>
  <dcterms:modified xsi:type="dcterms:W3CDTF">2017-12-21T11:16:00Z</dcterms:modified>
</cp:coreProperties>
</file>