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y coste económico de la partida presupuestaria 'Plan de Atención Diversidad. Acciones de Compensación educativa a centros públicos alumnado desfavorecido',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¿Qué actuaciones y con qué coste económico, en cada caso, piensa el Departamento de Educación financiar con la partida presupuestaria incluida en los Presupuestos Generales de Navarra para el año 2018 denominada “Plan de Atención Diversidad. Acciones de compensación educativa a centro públicos alumnado desfavorecido”? </w:t>
      </w:r>
    </w:p>
    <w:p>
      <w:pPr>
        <w:pStyle w:val="0"/>
        <w:suppressAutoHyphens w:val="false"/>
        <w:rPr>
          <w:rStyle w:val="1"/>
        </w:rPr>
      </w:pPr>
      <w:r>
        <w:rPr>
          <w:rStyle w:val="1"/>
        </w:rPr>
        <w:t xml:space="preserve">Corella a 4 de enero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