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actuaciones y coste económico de la partida presupuestaria 'Plan de Atención Diversidad. Acciones de Compensación educativa a centros públicos alumnado desfavorecido',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artículo 188 y siguientes del Reglamento de la Cámara, presenta para su respuesta por escrito la siguiente pregunta: </w:t>
      </w:r>
    </w:p>
    <w:p>
      <w:pPr>
        <w:pStyle w:val="0"/>
        <w:suppressAutoHyphens w:val="false"/>
        <w:rPr>
          <w:rStyle w:val="1"/>
        </w:rPr>
      </w:pPr>
      <w:r>
        <w:rPr>
          <w:rStyle w:val="1"/>
        </w:rPr>
        <w:t xml:space="preserve">¿Qué actuaciones y con qué coste económico, en cada caso, piensa el Departamento de Educación financiar con la partida presupuestaria incluida en los Presupuestos Generales de Navarra para el año 2018 denominada “Plan de Atención Diversidad. Acciones de compensación educativa a centro públicos alumnado desfavorecido”? </w:t>
      </w:r>
    </w:p>
    <w:p>
      <w:pPr>
        <w:pStyle w:val="0"/>
        <w:suppressAutoHyphens w:val="false"/>
        <w:rPr>
          <w:rStyle w:val="1"/>
        </w:rPr>
      </w:pPr>
      <w:r>
        <w:rPr>
          <w:rStyle w:val="1"/>
        </w:rPr>
        <w:t xml:space="preserve">Corella a 4 de enero de 2018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