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marzo</w:t>
      </w:r>
      <w:r>
        <w:rPr>
          <w:rStyle w:val="1"/>
        </w:rPr>
        <w:t xml:space="preserv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devolución de deudas y de pago de compromisos impositivos y sociales por parte de Davalor Salud,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 </w:t>
      </w:r>
    </w:p>
    <w:p>
      <w:pPr>
        <w:pStyle w:val="0"/>
        <w:suppressAutoHyphens w:val="false"/>
        <w:rPr>
          <w:rStyle w:val="1"/>
        </w:rPr>
      </w:pPr>
      <w:r>
        <w:rPr>
          <w:rStyle w:val="1"/>
        </w:rPr>
        <w:t xml:space="preserve">La Comisión Nacional del Mercado de Valores (CNMV) ha alertado recientemente en su página web –por medio de un listado– de una serie de empresas que pudieran resultar sospechosas, entre las que se encuentra Davalor Consultoría Estratégica y Tecnológica y su marca Bestaker.com, advirtiendo la propia CNMV en ese mismo espacio que 'La inversión a través de estas entidades no autorizadas comporta elevados riesgos de pérdida del capital, ya que actúan al margen de los controles establecidos por los organismos supervisores', una señal más de advertencia al cercano futuro. </w:t>
      </w:r>
    </w:p>
    <w:p>
      <w:pPr>
        <w:pStyle w:val="0"/>
        <w:suppressAutoHyphens w:val="false"/>
        <w:rPr>
          <w:rStyle w:val="1"/>
        </w:rPr>
      </w:pPr>
      <w:r>
        <w:rPr>
          <w:rStyle w:val="1"/>
        </w:rPr>
        <w:t xml:space="preserve">Una vez paralizado el trasvase de nuevas cantidades a Davalor Salud, ¿ha establecido el Gobierno de Navarra una estrategia y calendario de devolución de deudas y de pago de compromisos impositivos y sociales por parte de esta empresa? </w:t>
      </w:r>
    </w:p>
    <w:p>
      <w:pPr>
        <w:pStyle w:val="0"/>
        <w:suppressAutoHyphens w:val="false"/>
        <w:rPr>
          <w:rStyle w:val="1"/>
        </w:rPr>
      </w:pPr>
      <w:r>
        <w:rPr>
          <w:rStyle w:val="1"/>
        </w:rPr>
        <w:t xml:space="preserve">Pamplona, 23 de febrero de 2018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