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intervenciones realizadas por el EISOL en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¿Qué número de intervenciones que realizó el EISOL en 2017 y en qué han consistido las mismas? Asimismo, número de inserciones laborales logradas por estas intervenciones.</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