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26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destino de las cantidades abonadas al Gobierno de Navarra por parte de Belate UTE en concepto de resarcimiento de daños y de intereses,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Según consta en respuesta remitida a este parlamentario el pasado 16 de marzo, el 7 de septiembre de 2012 fueron abonados al Gobierno de Navarra por parte de Belate UTE 9.035.127,03 euros en concepto de resarcimiento de daños, perjuicios etc., así como 1.988.782,62 en concepto de intereses. </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 ¿Le consta al Gobierno de Navarra que dichas cuantías fuesen destinadas a mejorar o adecuar los citados túneles a las normativas europeas vigentes ya en aquellos momentos? </w:t>
      </w:r>
    </w:p>
    <w:p>
      <w:pPr>
        <w:pStyle w:val="0"/>
        <w:suppressAutoHyphens w:val="false"/>
        <w:rPr>
          <w:rStyle w:val="1"/>
        </w:rPr>
      </w:pPr>
      <w:r>
        <w:rPr>
          <w:rStyle w:val="1"/>
        </w:rPr>
        <w:t xml:space="preserve">En Iruña, a 22 de marzo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