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26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obras que ha debido acometer y sufragar el Gobierno de Navarra en los túneles de Belate desde su inauguración,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Con respecto a los túneles de Belate y las obras que desde su inauguración han sido necesarias realizar este parlamentario desea conocer: </w:t>
      </w:r>
    </w:p>
    <w:p>
      <w:pPr>
        <w:pStyle w:val="0"/>
        <w:suppressAutoHyphens w:val="false"/>
        <w:rPr>
          <w:rStyle w:val="1"/>
        </w:rPr>
      </w:pPr>
      <w:r>
        <w:rPr>
          <w:rStyle w:val="1"/>
        </w:rPr>
        <w:t xml:space="preserve">– Una relación de las obras que ha debido acometer y sufragar el Gobierno de Navarra en dichos túneles desde su inauguración hasta la actualidad. </w:t>
      </w:r>
    </w:p>
    <w:p>
      <w:pPr>
        <w:pStyle w:val="0"/>
        <w:suppressAutoHyphens w:val="false"/>
        <w:rPr>
          <w:rStyle w:val="1"/>
        </w:rPr>
      </w:pPr>
      <w:r>
        <w:rPr>
          <w:rStyle w:val="1"/>
        </w:rPr>
        <w:t xml:space="preserve">En Iruña, a 22 de marzo de 2018</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