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ha presentado su dimisión el cuarto letrado funcionario que en esta legislatura había asumido la máxima responsabilidad de la Secretaría General Técnica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el Pleno, a la siguiente pregunta: </w:t>
      </w:r>
    </w:p>
    <w:p>
      <w:pPr>
        <w:pStyle w:val="0"/>
        <w:suppressAutoHyphens w:val="false"/>
        <w:rPr>
          <w:rStyle w:val="1"/>
        </w:rPr>
      </w:pPr>
      <w:r>
        <w:rPr>
          <w:rStyle w:val="1"/>
        </w:rPr>
        <w:t xml:space="preserve">¿Cuáles han sido los motivos por los que ha presentado su dimisión el cuarto letrado funcionario que en los dos años y medio que llevamos de legislatura había asumido la máxima responsabilidad de la Secretaria General Técnica del Departamento de Educación? </w:t>
      </w:r>
    </w:p>
    <w:p>
      <w:pPr>
        <w:pStyle w:val="0"/>
        <w:suppressAutoHyphens w:val="false"/>
        <w:rPr>
          <w:rStyle w:val="1"/>
        </w:rPr>
      </w:pPr>
      <w:r>
        <w:rPr>
          <w:rStyle w:val="1"/>
        </w:rPr>
        <w:t xml:space="preserve">Corella, a 20 de marzo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