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diversas entidades locales se han visto perjudicadas en la resolución de la convocatoria del Programa de Empleo Social Protegido para el año 2018,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al Consejero de Derechos Sociales, para su contestación en el Pleno, la siguiente pregunta oral. </w:t>
      </w:r>
    </w:p>
    <w:p>
      <w:pPr>
        <w:pStyle w:val="0"/>
        <w:suppressAutoHyphens w:val="false"/>
        <w:rPr>
          <w:rStyle w:val="1"/>
        </w:rPr>
      </w:pPr>
      <w:r>
        <w:rPr>
          <w:rStyle w:val="1"/>
        </w:rPr>
        <w:t xml:space="preserve">¿Cuáles han sido los motivos por los que diversas entidades locales se han visto perjudicadas en la resolución de la convocatoria del Programa de Empleo Social Protegido para el año 2018? </w:t>
      </w:r>
    </w:p>
    <w:p>
      <w:pPr>
        <w:pStyle w:val="0"/>
        <w:suppressAutoHyphens w:val="false"/>
        <w:rPr>
          <w:rStyle w:val="1"/>
        </w:rPr>
      </w:pPr>
      <w:r>
        <w:rPr>
          <w:rStyle w:val="1"/>
        </w:rPr>
        <w:t xml:space="preserve">Pamplona, 28 de marzo de 2018</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