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asunción y transferencia de las competencias en materia de tráfico previsto en el artículo 49 de la Lorafna,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oral para que sea respondida por el Gobierno de Navarra: </w:t>
      </w:r>
    </w:p>
    <w:p>
      <w:pPr>
        <w:pStyle w:val="0"/>
        <w:suppressAutoHyphens w:val="false"/>
        <w:rPr>
          <w:rStyle w:val="1"/>
        </w:rPr>
      </w:pPr>
      <w:r>
        <w:rPr>
          <w:rStyle w:val="1"/>
        </w:rPr>
        <w:t xml:space="preserve">Con respecto a la asunción y transferencia de las competencias en materia de tráfico prevista en el artículo 49 de la Lorafna este parlamentario desea conocer: </w:t>
      </w:r>
    </w:p>
    <w:p>
      <w:pPr>
        <w:pStyle w:val="0"/>
        <w:suppressAutoHyphens w:val="false"/>
        <w:rPr>
          <w:rStyle w:val="1"/>
        </w:rPr>
      </w:pPr>
      <w:r>
        <w:rPr>
          <w:rStyle w:val="1"/>
        </w:rPr>
        <w:t xml:space="preserve">Los pasos dados y actuaciones previstas para la consecución de las competencias en materia de tráfico. </w:t>
      </w:r>
    </w:p>
    <w:p>
      <w:pPr>
        <w:pStyle w:val="0"/>
        <w:suppressAutoHyphens w:val="false"/>
        <w:rPr>
          <w:rStyle w:val="1"/>
        </w:rPr>
      </w:pPr>
      <w:r>
        <w:rPr>
          <w:rStyle w:val="1"/>
        </w:rPr>
        <w:t xml:space="preserve">En lruñea, a 28 de junio de 2018.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