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motivo por el que pudo volver a ser ocupado el palacio Marqués de Rozalejo después de haber sido desalojado por la Policía Nacional y la Policía Foral,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la siguiente pregunta oral para su respuesta en Pleno dirigida a la Consejera de Presidencia, Función Pública, Interior y Justicia, María José Beaumont.</w:t>
      </w:r>
    </w:p>
    <w:p>
      <w:pPr>
        <w:pStyle w:val="0"/>
        <w:suppressAutoHyphens w:val="false"/>
        <w:rPr>
          <w:rStyle w:val="1"/>
        </w:rPr>
      </w:pPr>
      <w:r>
        <w:rPr>
          <w:rStyle w:val="1"/>
        </w:rPr>
        <w:t xml:space="preserve">¿Cuál es el motivo por el que pudo volver a ser ocupado de manera ilegal el Palacio Marqués de Rozalejo después de haber sido desalojado por la Policía Nacional y la Policía Foral? </w:t>
      </w:r>
    </w:p>
    <w:p>
      <w:pPr>
        <w:pStyle w:val="0"/>
        <w:suppressAutoHyphens w:val="false"/>
        <w:rPr>
          <w:rStyle w:val="1"/>
        </w:rPr>
      </w:pPr>
      <w:r>
        <w:rPr>
          <w:rStyle w:val="1"/>
        </w:rPr>
        <w:t xml:space="preserve">Pamplona, 20 de agosto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