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Laura Pérez Ruano andreak aurkeztutako gaurkotasun handiko galdera, Ikeak bere zerga-betebeharrak beteko dituela bermatzeari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Laura Pérez Ruano andreak, Legebiltzarreko Erregelamenduan ezarritakoaren babesean, gaurkotasun handiko honako galdera hau egiten du, Nafarroako Gobernuko Ogasuneko eta Finantza Politikako kontseilariak ahoz erantzun dezan 2018ko irailaren 27ko Osoko Bilkuran:</w:t>
      </w:r>
    </w:p>
    <w:p>
      <w:pPr>
        <w:pStyle w:val="0"/>
        <w:suppressAutoHyphens w:val="false"/>
        <w:rPr>
          <w:rStyle w:val="1"/>
        </w:rPr>
      </w:pPr>
      <w:r>
        <w:rPr>
          <w:rStyle w:val="1"/>
        </w:rPr>
        <w:t xml:space="preserve">Nasuvinsa sozietate publikoak 3,5 milioi euro bideratuko ditu Super Ser zena eraisteko, gure erkidegoan merkataritza-lokal bat irekitzeko IKEAk jarritako baldintzetako bat betez. Lehenago ere iruzur fiskaleko kasu ezagunetan nahastuta egon den enpresa multinazional bat izanda, Gobernuak nola bermatuko du enpresa horrek Foru Ogasunarekiko betebeharrak betetzea?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