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24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contratación de monitores responsables de las piscinas ubicadas en varios centros públicos de Educación Especial,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24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de Unión del Pueblo Navarro (UPN), al amparo de lo dispuesto en el Reglamento de la Cámara, presenta, para su respuesta por escrito, las siguientes preguntas:</w:t>
      </w:r>
    </w:p>
    <w:p>
      <w:pPr>
        <w:pStyle w:val="0"/>
        <w:suppressAutoHyphens w:val="false"/>
        <w:rPr>
          <w:rStyle w:val="1"/>
        </w:rPr>
      </w:pPr>
      <w:r>
        <w:rPr>
          <w:rStyle w:val="1"/>
        </w:rPr>
        <w:t xml:space="preserve">– ¿Cuáles son los motivos por los que el gobierno no ha contratado para el comienzo del curso escolar a los monitores responsables de las piscinas ubicadas en los centros públicos de Educación Especial “Torre Monreal”, de Tudela, y “Andrés Muñoz”, de Pamplona, cuyos alumnos han comenzado el curso sin poder utilizar dichas infraestructuras al no haber contratado a los monitores necesarios para desarrollar actividades, entre ellas, dinamizar el aspecto psicomotriz?</w:t>
      </w:r>
    </w:p>
    <w:p>
      <w:pPr>
        <w:pStyle w:val="0"/>
        <w:suppressAutoHyphens w:val="false"/>
        <w:rPr>
          <w:rStyle w:val="1"/>
        </w:rPr>
      </w:pPr>
      <w:r>
        <w:rPr>
          <w:rStyle w:val="1"/>
        </w:rPr>
        <w:t xml:space="preserve">– ¿Cuándo está previsto que dicha contratación se realice y se pueda hacer uso de dichas infraestructuras?</w:t>
      </w:r>
    </w:p>
    <w:p>
      <w:pPr>
        <w:pStyle w:val="0"/>
        <w:suppressAutoHyphens w:val="false"/>
        <w:rPr>
          <w:rStyle w:val="1"/>
        </w:rPr>
      </w:pPr>
      <w:r>
        <w:rPr>
          <w:rStyle w:val="1"/>
        </w:rPr>
        <w:t xml:space="preserve">Corella, a 18 de septiembre de 2018</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