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la normativa en relación con la participación de las familias en el Programa de coeducación denominado Skolae,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día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la Comisión de Educación a la siguiente pregunta: </w:t>
      </w:r>
    </w:p>
    <w:p>
      <w:pPr>
        <w:pStyle w:val="0"/>
        <w:suppressAutoHyphens w:val="false"/>
        <w:rPr>
          <w:rStyle w:val="1"/>
        </w:rPr>
      </w:pPr>
      <w:r>
        <w:rPr>
          <w:rStyle w:val="1"/>
        </w:rPr>
        <w:t xml:space="preserve">-¿Por qué se ha incumplido la normativa en relación con la participación de las familias en relación con el Programa de coeducación denominado por el Departamento Skolae? </w:t>
      </w:r>
    </w:p>
    <w:p>
      <w:pPr>
        <w:pStyle w:val="0"/>
        <w:suppressAutoHyphens w:val="false"/>
        <w:rPr>
          <w:rStyle w:val="1"/>
        </w:rPr>
      </w:pPr>
      <w:r>
        <w:rPr>
          <w:rStyle w:val="1"/>
        </w:rPr>
        <w:t xml:space="preserve">Corella, a 11 de octubre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