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5034A6">
      <w:pPr>
        <w:pStyle w:val="EstiloPortada"/>
        <w:spacing w:after="180"/>
        <w:ind w:left="3752" w:right="-57"/>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F1A1A" w:rsidRPr="003A7956" w:rsidRDefault="00BF1A1A" w:rsidP="004C3423">
                            <w:pPr>
                              <w:spacing w:after="0"/>
                              <w:ind w:firstLine="0"/>
                              <w:jc w:val="center"/>
                              <w:rPr>
                                <w:sz w:val="18"/>
                                <w:szCs w:val="18"/>
                                <w:lang w:val="es-ES"/>
                              </w:rPr>
                            </w:pPr>
                            <w:r w:rsidRPr="003A7956">
                              <w:rPr>
                                <w:sz w:val="18"/>
                                <w:szCs w:val="18"/>
                                <w:lang w:val="es-ES"/>
                              </w:rPr>
                              <w:t>CAMARA DE</w:t>
                            </w:r>
                          </w:p>
                          <w:p w:rsidR="00BF1A1A" w:rsidRPr="003A7956" w:rsidRDefault="00BF1A1A" w:rsidP="004C3423">
                            <w:pPr>
                              <w:spacing w:after="0"/>
                              <w:ind w:firstLine="0"/>
                              <w:jc w:val="center"/>
                              <w:rPr>
                                <w:sz w:val="18"/>
                                <w:szCs w:val="18"/>
                                <w:lang w:val="es-ES"/>
                              </w:rPr>
                            </w:pPr>
                            <w:r w:rsidRPr="003A7956">
                              <w:rPr>
                                <w:sz w:val="18"/>
                                <w:szCs w:val="18"/>
                                <w:lang w:val="es-ES"/>
                              </w:rPr>
                              <w:t>COMPTOS</w:t>
                            </w:r>
                          </w:p>
                          <w:p w:rsidR="00BF1A1A" w:rsidRPr="003A7956" w:rsidRDefault="00BF1A1A" w:rsidP="004C3423">
                            <w:pPr>
                              <w:spacing w:after="0"/>
                              <w:ind w:firstLine="0"/>
                              <w:jc w:val="center"/>
                              <w:rPr>
                                <w:sz w:val="18"/>
                                <w:szCs w:val="18"/>
                                <w:lang w:val="es-ES"/>
                              </w:rPr>
                            </w:pPr>
                            <w:r w:rsidRPr="003A7956">
                              <w:rPr>
                                <w:sz w:val="18"/>
                                <w:szCs w:val="18"/>
                                <w:lang w:val="es-ES"/>
                              </w:rPr>
                              <w:t>DE NAVARRA</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NAFARROAKO</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KONTUEN</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GANBERA</w:t>
                            </w:r>
                          </w:p>
                          <w:p w:rsidR="00BF1A1A" w:rsidRPr="002C7026" w:rsidRDefault="00BF1A1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BF1A1A" w:rsidRPr="003A7956" w:rsidRDefault="00BF1A1A" w:rsidP="004C3423">
                      <w:pPr>
                        <w:spacing w:after="0"/>
                        <w:ind w:firstLine="0"/>
                        <w:jc w:val="center"/>
                        <w:rPr>
                          <w:sz w:val="18"/>
                          <w:szCs w:val="18"/>
                          <w:lang w:val="es-ES"/>
                        </w:rPr>
                      </w:pPr>
                      <w:r w:rsidRPr="003A7956">
                        <w:rPr>
                          <w:sz w:val="18"/>
                          <w:szCs w:val="18"/>
                          <w:lang w:val="es-ES"/>
                        </w:rPr>
                        <w:t>CAMARA DE</w:t>
                      </w:r>
                    </w:p>
                    <w:p w:rsidR="00BF1A1A" w:rsidRPr="003A7956" w:rsidRDefault="00BF1A1A" w:rsidP="004C3423">
                      <w:pPr>
                        <w:spacing w:after="0"/>
                        <w:ind w:firstLine="0"/>
                        <w:jc w:val="center"/>
                        <w:rPr>
                          <w:sz w:val="18"/>
                          <w:szCs w:val="18"/>
                          <w:lang w:val="es-ES"/>
                        </w:rPr>
                      </w:pPr>
                      <w:r w:rsidRPr="003A7956">
                        <w:rPr>
                          <w:sz w:val="18"/>
                          <w:szCs w:val="18"/>
                          <w:lang w:val="es-ES"/>
                        </w:rPr>
                        <w:t>COMPTOS</w:t>
                      </w:r>
                    </w:p>
                    <w:p w:rsidR="00BF1A1A" w:rsidRPr="003A7956" w:rsidRDefault="00BF1A1A" w:rsidP="004C3423">
                      <w:pPr>
                        <w:spacing w:after="0"/>
                        <w:ind w:firstLine="0"/>
                        <w:jc w:val="center"/>
                        <w:rPr>
                          <w:sz w:val="18"/>
                          <w:szCs w:val="18"/>
                          <w:lang w:val="es-ES"/>
                        </w:rPr>
                      </w:pPr>
                      <w:r w:rsidRPr="003A7956">
                        <w:rPr>
                          <w:sz w:val="18"/>
                          <w:szCs w:val="18"/>
                          <w:lang w:val="es-ES"/>
                        </w:rPr>
                        <w:t>DE NAVARRA</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NAFARROAKO</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KONTUEN</w:t>
                      </w:r>
                    </w:p>
                    <w:p w:rsidR="00BF1A1A" w:rsidRPr="003A7956" w:rsidRDefault="00BF1A1A" w:rsidP="004C3423">
                      <w:pPr>
                        <w:spacing w:after="0"/>
                        <w:ind w:firstLine="0"/>
                        <w:jc w:val="center"/>
                        <w:rPr>
                          <w:color w:val="808080"/>
                          <w:sz w:val="18"/>
                          <w:szCs w:val="18"/>
                          <w:lang w:val="es-ES"/>
                        </w:rPr>
                      </w:pPr>
                      <w:r w:rsidRPr="003A7956">
                        <w:rPr>
                          <w:color w:val="808080"/>
                          <w:sz w:val="18"/>
                          <w:szCs w:val="18"/>
                          <w:lang w:val="es-ES"/>
                        </w:rPr>
                        <w:t>GANBERA</w:t>
                      </w:r>
                    </w:p>
                    <w:p w:rsidR="00BF1A1A" w:rsidRPr="002C7026" w:rsidRDefault="00BF1A1A" w:rsidP="002C7026">
                      <w:pPr>
                        <w:spacing w:after="0"/>
                        <w:ind w:firstLine="0"/>
                        <w:jc w:val="center"/>
                        <w:rPr>
                          <w:rFonts w:ascii="Trajan" w:hAnsi="Trajan"/>
                          <w:color w:val="808080"/>
                          <w:sz w:val="18"/>
                          <w:szCs w:val="18"/>
                          <w:lang w:val="es-ES"/>
                        </w:rPr>
                      </w:pPr>
                    </w:p>
                  </w:txbxContent>
                </v:textbox>
              </v:shape>
            </w:pict>
          </mc:Fallback>
        </mc:AlternateContent>
      </w:r>
    </w:p>
    <w:p w:rsidR="001C3A32" w:rsidRPr="003A7131" w:rsidRDefault="00AB4A69" w:rsidP="005034A6">
      <w:pPr>
        <w:pStyle w:val="EstiloPortada"/>
        <w:spacing w:after="160"/>
        <w:ind w:left="3710" w:right="-1049"/>
        <w:rPr>
          <w:sz w:val="48"/>
          <w:szCs w:val="48"/>
        </w:rPr>
      </w:pPr>
      <w:r>
        <w:rPr>
          <w:sz w:val="48"/>
          <w:szCs w:val="48"/>
        </w:rPr>
        <w:t xml:space="preserve">Reestructuración del </w:t>
      </w:r>
      <w:r w:rsidR="0028212D">
        <w:rPr>
          <w:sz w:val="48"/>
          <w:szCs w:val="48"/>
        </w:rPr>
        <w:t>sector p</w:t>
      </w:r>
      <w:r w:rsidR="0028212D" w:rsidRPr="003A7131">
        <w:rPr>
          <w:sz w:val="48"/>
          <w:szCs w:val="48"/>
        </w:rPr>
        <w:t xml:space="preserve">úblico </w:t>
      </w:r>
      <w:r w:rsidR="0028212D">
        <w:rPr>
          <w:sz w:val="48"/>
          <w:szCs w:val="48"/>
        </w:rPr>
        <w:t xml:space="preserve">foral </w:t>
      </w:r>
      <w:r w:rsidR="002531B9" w:rsidRPr="003A7131">
        <w:rPr>
          <w:sz w:val="48"/>
          <w:szCs w:val="48"/>
        </w:rPr>
        <w:t>de Navarra</w:t>
      </w:r>
    </w:p>
    <w:p w:rsidR="00737513" w:rsidRPr="003A7131" w:rsidRDefault="002531B9" w:rsidP="005034A6">
      <w:pPr>
        <w:pStyle w:val="EstiloPortada"/>
        <w:ind w:left="3710"/>
        <w:rPr>
          <w:sz w:val="36"/>
          <w:szCs w:val="36"/>
        </w:rPr>
      </w:pPr>
      <w:r w:rsidRPr="003A7131">
        <w:rPr>
          <w:sz w:val="36"/>
          <w:szCs w:val="36"/>
        </w:rPr>
        <w:t xml:space="preserve">Ejercicios </w:t>
      </w:r>
      <w:r w:rsidR="00737513" w:rsidRPr="003A7131">
        <w:rPr>
          <w:sz w:val="36"/>
          <w:szCs w:val="36"/>
        </w:rPr>
        <w:t>2010-201</w:t>
      </w:r>
      <w:r w:rsidRPr="003A7131">
        <w:rPr>
          <w:sz w:val="36"/>
          <w:szCs w:val="36"/>
        </w:rPr>
        <w:t>6</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105D38" w:rsidRDefault="00105D38" w:rsidP="009936FC">
      <w:pPr>
        <w:pStyle w:val="Fechaportada"/>
      </w:pPr>
    </w:p>
    <w:p w:rsidR="00C778F1" w:rsidRDefault="00C778F1" w:rsidP="009936FC">
      <w:pPr>
        <w:pStyle w:val="Fechaportada"/>
      </w:pPr>
    </w:p>
    <w:p w:rsidR="00C778F1" w:rsidRDefault="00C778F1" w:rsidP="009936FC">
      <w:pPr>
        <w:pStyle w:val="Fechaportada"/>
      </w:pPr>
    </w:p>
    <w:p w:rsidR="009444FA" w:rsidRDefault="009444FA" w:rsidP="009936FC">
      <w:pPr>
        <w:pStyle w:val="Fechaportada"/>
      </w:pPr>
    </w:p>
    <w:p w:rsidR="00716463" w:rsidRPr="009444FA" w:rsidRDefault="00585F71" w:rsidP="009936FC">
      <w:pPr>
        <w:pStyle w:val="Fechaportada"/>
      </w:pPr>
      <w:r>
        <w:t>Octubre</w:t>
      </w:r>
      <w:r w:rsidR="00737513" w:rsidRPr="009444FA">
        <w:t xml:space="preserve"> </w:t>
      </w:r>
      <w:r w:rsidR="00253E78" w:rsidRPr="009444FA">
        <w:t>de 20</w:t>
      </w:r>
      <w:r w:rsidR="00737513" w:rsidRPr="009444FA">
        <w:t>18</w:t>
      </w:r>
    </w:p>
    <w:p w:rsidR="008E3FFE" w:rsidRPr="00164537" w:rsidRDefault="008E3FFE" w:rsidP="00891D73">
      <w:pPr>
        <w:pStyle w:val="ndice"/>
        <w:rPr>
          <w:rFonts w:ascii="Times New Roman" w:hAnsi="Times New Roman"/>
          <w:color w:val="auto"/>
        </w:rPr>
        <w:sectPr w:rsidR="008E3FFE" w:rsidRPr="00164537"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05D38" w:rsidRPr="009D1111" w:rsidRDefault="00105D38" w:rsidP="00105D38">
      <w:pPr>
        <w:tabs>
          <w:tab w:val="center" w:pos="2835"/>
          <w:tab w:val="center" w:pos="3969"/>
          <w:tab w:val="center" w:pos="5103"/>
          <w:tab w:val="center" w:pos="6237"/>
          <w:tab w:val="center" w:pos="7371"/>
        </w:tabs>
        <w:ind w:right="-436" w:firstLine="284"/>
        <w:jc w:val="right"/>
        <w:rPr>
          <w:i/>
          <w:spacing w:val="6"/>
          <w:sz w:val="16"/>
          <w:szCs w:val="16"/>
        </w:rPr>
      </w:pPr>
      <w:r w:rsidRPr="009D1111">
        <w:rPr>
          <w:i/>
          <w:spacing w:val="6"/>
          <w:sz w:val="16"/>
          <w:szCs w:val="16"/>
        </w:rPr>
        <w:t>PÁGINA</w:t>
      </w:r>
    </w:p>
    <w:p w:rsidR="00361EDC" w:rsidRDefault="00105D38">
      <w:pPr>
        <w:pStyle w:val="TDC1"/>
        <w:rPr>
          <w:rFonts w:asciiTheme="minorHAnsi" w:eastAsiaTheme="minorEastAsia" w:hAnsiTheme="minorHAnsi" w:cstheme="minorBidi"/>
          <w:smallCaps w:val="0"/>
          <w:noProof/>
          <w:szCs w:val="22"/>
          <w:lang w:val="es-ES" w:eastAsia="es-ES"/>
        </w:rPr>
      </w:pPr>
      <w:r w:rsidRPr="009D1111">
        <w:rPr>
          <w:sz w:val="24"/>
          <w:szCs w:val="24"/>
        </w:rPr>
        <w:fldChar w:fldCharType="begin"/>
      </w:r>
      <w:r w:rsidRPr="009D1111">
        <w:rPr>
          <w:sz w:val="24"/>
          <w:szCs w:val="24"/>
        </w:rPr>
        <w:instrText xml:space="preserve"> TOC \h \z \t "atitulo1;1;atitulo2;2" </w:instrText>
      </w:r>
      <w:r w:rsidRPr="009D1111">
        <w:rPr>
          <w:sz w:val="24"/>
          <w:szCs w:val="24"/>
        </w:rPr>
        <w:fldChar w:fldCharType="separate"/>
      </w:r>
      <w:hyperlink w:anchor="_Toc527376668" w:history="1">
        <w:r w:rsidR="00361EDC" w:rsidRPr="00BD0809">
          <w:rPr>
            <w:rStyle w:val="Hipervnculo"/>
            <w:noProof/>
          </w:rPr>
          <w:t>I. Introducción</w:t>
        </w:r>
        <w:r w:rsidR="00361EDC">
          <w:rPr>
            <w:noProof/>
            <w:webHidden/>
          </w:rPr>
          <w:tab/>
        </w:r>
        <w:r w:rsidR="00361EDC">
          <w:rPr>
            <w:noProof/>
            <w:webHidden/>
          </w:rPr>
          <w:fldChar w:fldCharType="begin"/>
        </w:r>
        <w:r w:rsidR="00361EDC">
          <w:rPr>
            <w:noProof/>
            <w:webHidden/>
          </w:rPr>
          <w:instrText xml:space="preserve"> PAGEREF _Toc527376668 \h </w:instrText>
        </w:r>
        <w:r w:rsidR="00361EDC">
          <w:rPr>
            <w:noProof/>
            <w:webHidden/>
          </w:rPr>
        </w:r>
        <w:r w:rsidR="00361EDC">
          <w:rPr>
            <w:noProof/>
            <w:webHidden/>
          </w:rPr>
          <w:fldChar w:fldCharType="separate"/>
        </w:r>
        <w:r w:rsidR="00361EDC">
          <w:rPr>
            <w:noProof/>
            <w:webHidden/>
          </w:rPr>
          <w:t>3</w:t>
        </w:r>
        <w:r w:rsidR="00361EDC">
          <w:rPr>
            <w:noProof/>
            <w:webHidden/>
          </w:rPr>
          <w:fldChar w:fldCharType="end"/>
        </w:r>
      </w:hyperlink>
    </w:p>
    <w:p w:rsidR="00361EDC" w:rsidRDefault="00010FE9">
      <w:pPr>
        <w:pStyle w:val="TDC1"/>
        <w:rPr>
          <w:rFonts w:asciiTheme="minorHAnsi" w:eastAsiaTheme="minorEastAsia" w:hAnsiTheme="minorHAnsi" w:cstheme="minorBidi"/>
          <w:smallCaps w:val="0"/>
          <w:noProof/>
          <w:szCs w:val="22"/>
          <w:lang w:val="es-ES" w:eastAsia="es-ES"/>
        </w:rPr>
      </w:pPr>
      <w:hyperlink w:anchor="_Toc527376669" w:history="1">
        <w:r w:rsidR="00361EDC" w:rsidRPr="00BD0809">
          <w:rPr>
            <w:rStyle w:val="Hipervnculo"/>
            <w:noProof/>
          </w:rPr>
          <w:t>II. El sector público foral de Navarra</w:t>
        </w:r>
        <w:r w:rsidR="00361EDC">
          <w:rPr>
            <w:noProof/>
            <w:webHidden/>
          </w:rPr>
          <w:tab/>
        </w:r>
        <w:r w:rsidR="00361EDC">
          <w:rPr>
            <w:noProof/>
            <w:webHidden/>
          </w:rPr>
          <w:fldChar w:fldCharType="begin"/>
        </w:r>
        <w:r w:rsidR="00361EDC">
          <w:rPr>
            <w:noProof/>
            <w:webHidden/>
          </w:rPr>
          <w:instrText xml:space="preserve"> PAGEREF _Toc527376669 \h </w:instrText>
        </w:r>
        <w:r w:rsidR="00361EDC">
          <w:rPr>
            <w:noProof/>
            <w:webHidden/>
          </w:rPr>
        </w:r>
        <w:r w:rsidR="00361EDC">
          <w:rPr>
            <w:noProof/>
            <w:webHidden/>
          </w:rPr>
          <w:fldChar w:fldCharType="separate"/>
        </w:r>
        <w:r w:rsidR="00361EDC">
          <w:rPr>
            <w:noProof/>
            <w:webHidden/>
          </w:rPr>
          <w:t>4</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0" w:history="1">
        <w:r w:rsidR="00361EDC" w:rsidRPr="00BD0809">
          <w:rPr>
            <w:rStyle w:val="Hipervnculo"/>
            <w:noProof/>
          </w:rPr>
          <w:t>II.1. Consideraciones generales</w:t>
        </w:r>
        <w:r w:rsidR="00361EDC">
          <w:rPr>
            <w:noProof/>
            <w:webHidden/>
          </w:rPr>
          <w:tab/>
        </w:r>
        <w:r w:rsidR="00361EDC">
          <w:rPr>
            <w:noProof/>
            <w:webHidden/>
          </w:rPr>
          <w:fldChar w:fldCharType="begin"/>
        </w:r>
        <w:r w:rsidR="00361EDC">
          <w:rPr>
            <w:noProof/>
            <w:webHidden/>
          </w:rPr>
          <w:instrText xml:space="preserve"> PAGEREF _Toc527376670 \h </w:instrText>
        </w:r>
        <w:r w:rsidR="00361EDC">
          <w:rPr>
            <w:noProof/>
            <w:webHidden/>
          </w:rPr>
        </w:r>
        <w:r w:rsidR="00361EDC">
          <w:rPr>
            <w:noProof/>
            <w:webHidden/>
          </w:rPr>
          <w:fldChar w:fldCharType="separate"/>
        </w:r>
        <w:r w:rsidR="00361EDC">
          <w:rPr>
            <w:noProof/>
            <w:webHidden/>
          </w:rPr>
          <w:t>4</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1" w:history="1">
        <w:r w:rsidR="00361EDC" w:rsidRPr="00BD0809">
          <w:rPr>
            <w:rStyle w:val="Hipervnculo"/>
            <w:noProof/>
          </w:rPr>
          <w:t>II.2. Planes de reordenación del sector público</w:t>
        </w:r>
        <w:r w:rsidR="00361EDC">
          <w:rPr>
            <w:noProof/>
            <w:webHidden/>
          </w:rPr>
          <w:tab/>
        </w:r>
        <w:r w:rsidR="00361EDC">
          <w:rPr>
            <w:noProof/>
            <w:webHidden/>
          </w:rPr>
          <w:fldChar w:fldCharType="begin"/>
        </w:r>
        <w:r w:rsidR="00361EDC">
          <w:rPr>
            <w:noProof/>
            <w:webHidden/>
          </w:rPr>
          <w:instrText xml:space="preserve"> PAGEREF _Toc527376671 \h </w:instrText>
        </w:r>
        <w:r w:rsidR="00361EDC">
          <w:rPr>
            <w:noProof/>
            <w:webHidden/>
          </w:rPr>
        </w:r>
        <w:r w:rsidR="00361EDC">
          <w:rPr>
            <w:noProof/>
            <w:webHidden/>
          </w:rPr>
          <w:fldChar w:fldCharType="separate"/>
        </w:r>
        <w:r w:rsidR="00361EDC">
          <w:rPr>
            <w:noProof/>
            <w:webHidden/>
          </w:rPr>
          <w:t>5</w:t>
        </w:r>
        <w:r w:rsidR="00361EDC">
          <w:rPr>
            <w:noProof/>
            <w:webHidden/>
          </w:rPr>
          <w:fldChar w:fldCharType="end"/>
        </w:r>
      </w:hyperlink>
    </w:p>
    <w:p w:rsidR="00361EDC" w:rsidRDefault="00010FE9">
      <w:pPr>
        <w:pStyle w:val="TDC1"/>
        <w:rPr>
          <w:rFonts w:asciiTheme="minorHAnsi" w:eastAsiaTheme="minorEastAsia" w:hAnsiTheme="minorHAnsi" w:cstheme="minorBidi"/>
          <w:smallCaps w:val="0"/>
          <w:noProof/>
          <w:szCs w:val="22"/>
          <w:lang w:val="es-ES" w:eastAsia="es-ES"/>
        </w:rPr>
      </w:pPr>
      <w:hyperlink w:anchor="_Toc527376672" w:history="1">
        <w:r w:rsidR="00361EDC" w:rsidRPr="00BD0809">
          <w:rPr>
            <w:rStyle w:val="Hipervnculo"/>
            <w:noProof/>
          </w:rPr>
          <w:t>III. Objetivos, alcance y limitaciones</w:t>
        </w:r>
        <w:r w:rsidR="00361EDC">
          <w:rPr>
            <w:noProof/>
            <w:webHidden/>
          </w:rPr>
          <w:tab/>
        </w:r>
        <w:r w:rsidR="00361EDC">
          <w:rPr>
            <w:noProof/>
            <w:webHidden/>
          </w:rPr>
          <w:fldChar w:fldCharType="begin"/>
        </w:r>
        <w:r w:rsidR="00361EDC">
          <w:rPr>
            <w:noProof/>
            <w:webHidden/>
          </w:rPr>
          <w:instrText xml:space="preserve"> PAGEREF _Toc527376672 \h </w:instrText>
        </w:r>
        <w:r w:rsidR="00361EDC">
          <w:rPr>
            <w:noProof/>
            <w:webHidden/>
          </w:rPr>
        </w:r>
        <w:r w:rsidR="00361EDC">
          <w:rPr>
            <w:noProof/>
            <w:webHidden/>
          </w:rPr>
          <w:fldChar w:fldCharType="separate"/>
        </w:r>
        <w:r w:rsidR="00361EDC">
          <w:rPr>
            <w:noProof/>
            <w:webHidden/>
          </w:rPr>
          <w:t>11</w:t>
        </w:r>
        <w:r w:rsidR="00361EDC">
          <w:rPr>
            <w:noProof/>
            <w:webHidden/>
          </w:rPr>
          <w:fldChar w:fldCharType="end"/>
        </w:r>
      </w:hyperlink>
    </w:p>
    <w:p w:rsidR="00361EDC" w:rsidRDefault="00010FE9">
      <w:pPr>
        <w:pStyle w:val="TDC1"/>
        <w:rPr>
          <w:rFonts w:asciiTheme="minorHAnsi" w:eastAsiaTheme="minorEastAsia" w:hAnsiTheme="minorHAnsi" w:cstheme="minorBidi"/>
          <w:smallCaps w:val="0"/>
          <w:noProof/>
          <w:szCs w:val="22"/>
          <w:lang w:val="es-ES" w:eastAsia="es-ES"/>
        </w:rPr>
      </w:pPr>
      <w:hyperlink w:anchor="_Toc527376673" w:history="1">
        <w:r w:rsidR="00361EDC" w:rsidRPr="00BD0809">
          <w:rPr>
            <w:rStyle w:val="Hipervnculo"/>
            <w:noProof/>
          </w:rPr>
          <w:t>IV. Conclusiones y recomendaciones</w:t>
        </w:r>
        <w:r w:rsidR="00361EDC">
          <w:rPr>
            <w:noProof/>
            <w:webHidden/>
          </w:rPr>
          <w:tab/>
        </w:r>
        <w:r w:rsidR="00361EDC">
          <w:rPr>
            <w:noProof/>
            <w:webHidden/>
          </w:rPr>
          <w:fldChar w:fldCharType="begin"/>
        </w:r>
        <w:r w:rsidR="00361EDC">
          <w:rPr>
            <w:noProof/>
            <w:webHidden/>
          </w:rPr>
          <w:instrText xml:space="preserve"> PAGEREF _Toc527376673 \h </w:instrText>
        </w:r>
        <w:r w:rsidR="00361EDC">
          <w:rPr>
            <w:noProof/>
            <w:webHidden/>
          </w:rPr>
        </w:r>
        <w:r w:rsidR="00361EDC">
          <w:rPr>
            <w:noProof/>
            <w:webHidden/>
          </w:rPr>
          <w:fldChar w:fldCharType="separate"/>
        </w:r>
        <w:r w:rsidR="00361EDC">
          <w:rPr>
            <w:noProof/>
            <w:webHidden/>
          </w:rPr>
          <w:t>12</w:t>
        </w:r>
        <w:r w:rsidR="00361EDC">
          <w:rPr>
            <w:noProof/>
            <w:webHidden/>
          </w:rPr>
          <w:fldChar w:fldCharType="end"/>
        </w:r>
      </w:hyperlink>
    </w:p>
    <w:p w:rsidR="00361EDC" w:rsidRDefault="00010FE9">
      <w:pPr>
        <w:pStyle w:val="TDC1"/>
        <w:rPr>
          <w:rFonts w:asciiTheme="minorHAnsi" w:eastAsiaTheme="minorEastAsia" w:hAnsiTheme="minorHAnsi" w:cstheme="minorBidi"/>
          <w:smallCaps w:val="0"/>
          <w:noProof/>
          <w:szCs w:val="22"/>
          <w:lang w:val="es-ES" w:eastAsia="es-ES"/>
        </w:rPr>
      </w:pPr>
      <w:hyperlink w:anchor="_Toc527376674" w:history="1">
        <w:r w:rsidR="00361EDC" w:rsidRPr="00BD0809">
          <w:rPr>
            <w:rStyle w:val="Hipervnculo"/>
            <w:noProof/>
          </w:rPr>
          <w:t>V. Análisis del proceso de reordenación del sector público foral de Navarra</w:t>
        </w:r>
        <w:r w:rsidR="00361EDC">
          <w:rPr>
            <w:noProof/>
            <w:webHidden/>
          </w:rPr>
          <w:tab/>
        </w:r>
        <w:r w:rsidR="00361EDC">
          <w:rPr>
            <w:noProof/>
            <w:webHidden/>
          </w:rPr>
          <w:fldChar w:fldCharType="begin"/>
        </w:r>
        <w:r w:rsidR="00361EDC">
          <w:rPr>
            <w:noProof/>
            <w:webHidden/>
          </w:rPr>
          <w:instrText xml:space="preserve"> PAGEREF _Toc527376674 \h </w:instrText>
        </w:r>
        <w:r w:rsidR="00361EDC">
          <w:rPr>
            <w:noProof/>
            <w:webHidden/>
          </w:rPr>
        </w:r>
        <w:r w:rsidR="00361EDC">
          <w:rPr>
            <w:noProof/>
            <w:webHidden/>
          </w:rPr>
          <w:fldChar w:fldCharType="separate"/>
        </w:r>
        <w:r w:rsidR="00361EDC">
          <w:rPr>
            <w:noProof/>
            <w:webHidden/>
          </w:rPr>
          <w:t>14</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5" w:history="1">
        <w:r w:rsidR="00361EDC" w:rsidRPr="00BD0809">
          <w:rPr>
            <w:rStyle w:val="Hipervnculo"/>
            <w:noProof/>
          </w:rPr>
          <w:t>V.1. Evolución del número de entidades</w:t>
        </w:r>
        <w:r w:rsidR="00361EDC">
          <w:rPr>
            <w:noProof/>
            <w:webHidden/>
          </w:rPr>
          <w:tab/>
        </w:r>
        <w:r w:rsidR="00361EDC">
          <w:rPr>
            <w:noProof/>
            <w:webHidden/>
          </w:rPr>
          <w:fldChar w:fldCharType="begin"/>
        </w:r>
        <w:r w:rsidR="00361EDC">
          <w:rPr>
            <w:noProof/>
            <w:webHidden/>
          </w:rPr>
          <w:instrText xml:space="preserve"> PAGEREF _Toc527376675 \h </w:instrText>
        </w:r>
        <w:r w:rsidR="00361EDC">
          <w:rPr>
            <w:noProof/>
            <w:webHidden/>
          </w:rPr>
        </w:r>
        <w:r w:rsidR="00361EDC">
          <w:rPr>
            <w:noProof/>
            <w:webHidden/>
          </w:rPr>
          <w:fldChar w:fldCharType="separate"/>
        </w:r>
        <w:r w:rsidR="00361EDC">
          <w:rPr>
            <w:noProof/>
            <w:webHidden/>
          </w:rPr>
          <w:t>14</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6" w:history="1">
        <w:r w:rsidR="00361EDC" w:rsidRPr="00BD0809">
          <w:rPr>
            <w:rStyle w:val="Hipervnculo"/>
            <w:noProof/>
          </w:rPr>
          <w:t>V.2. Efectos económicos de la reestructuración</w:t>
        </w:r>
        <w:r w:rsidR="00361EDC">
          <w:rPr>
            <w:noProof/>
            <w:webHidden/>
          </w:rPr>
          <w:tab/>
        </w:r>
        <w:r w:rsidR="00361EDC">
          <w:rPr>
            <w:noProof/>
            <w:webHidden/>
          </w:rPr>
          <w:fldChar w:fldCharType="begin"/>
        </w:r>
        <w:r w:rsidR="00361EDC">
          <w:rPr>
            <w:noProof/>
            <w:webHidden/>
          </w:rPr>
          <w:instrText xml:space="preserve"> PAGEREF _Toc527376676 \h </w:instrText>
        </w:r>
        <w:r w:rsidR="00361EDC">
          <w:rPr>
            <w:noProof/>
            <w:webHidden/>
          </w:rPr>
        </w:r>
        <w:r w:rsidR="00361EDC">
          <w:rPr>
            <w:noProof/>
            <w:webHidden/>
          </w:rPr>
          <w:fldChar w:fldCharType="separate"/>
        </w:r>
        <w:r w:rsidR="00361EDC">
          <w:rPr>
            <w:noProof/>
            <w:webHidden/>
          </w:rPr>
          <w:t>15</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7" w:history="1">
        <w:r w:rsidR="00361EDC" w:rsidRPr="00BD0809">
          <w:rPr>
            <w:rStyle w:val="Hipervnculo"/>
            <w:noProof/>
          </w:rPr>
          <w:t>V.3. Funciones afectadas por la reestructuración</w:t>
        </w:r>
        <w:r w:rsidR="00361EDC">
          <w:rPr>
            <w:noProof/>
            <w:webHidden/>
          </w:rPr>
          <w:tab/>
        </w:r>
        <w:r w:rsidR="00361EDC">
          <w:rPr>
            <w:noProof/>
            <w:webHidden/>
          </w:rPr>
          <w:fldChar w:fldCharType="begin"/>
        </w:r>
        <w:r w:rsidR="00361EDC">
          <w:rPr>
            <w:noProof/>
            <w:webHidden/>
          </w:rPr>
          <w:instrText xml:space="preserve"> PAGEREF _Toc527376677 \h </w:instrText>
        </w:r>
        <w:r w:rsidR="00361EDC">
          <w:rPr>
            <w:noProof/>
            <w:webHidden/>
          </w:rPr>
        </w:r>
        <w:r w:rsidR="00361EDC">
          <w:rPr>
            <w:noProof/>
            <w:webHidden/>
          </w:rPr>
          <w:fldChar w:fldCharType="separate"/>
        </w:r>
        <w:r w:rsidR="00361EDC">
          <w:rPr>
            <w:noProof/>
            <w:webHidden/>
          </w:rPr>
          <w:t>21</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78" w:history="1">
        <w:r w:rsidR="00361EDC" w:rsidRPr="00BD0809">
          <w:rPr>
            <w:rStyle w:val="Hipervnculo"/>
            <w:noProof/>
          </w:rPr>
          <w:t>V.4. Cumplimiento de los planes de reordenación</w:t>
        </w:r>
        <w:r w:rsidR="00361EDC">
          <w:rPr>
            <w:noProof/>
            <w:webHidden/>
          </w:rPr>
          <w:tab/>
        </w:r>
        <w:r w:rsidR="00361EDC">
          <w:rPr>
            <w:noProof/>
            <w:webHidden/>
          </w:rPr>
          <w:fldChar w:fldCharType="begin"/>
        </w:r>
        <w:r w:rsidR="00361EDC">
          <w:rPr>
            <w:noProof/>
            <w:webHidden/>
          </w:rPr>
          <w:instrText xml:space="preserve"> PAGEREF _Toc527376678 \h </w:instrText>
        </w:r>
        <w:r w:rsidR="00361EDC">
          <w:rPr>
            <w:noProof/>
            <w:webHidden/>
          </w:rPr>
        </w:r>
        <w:r w:rsidR="00361EDC">
          <w:rPr>
            <w:noProof/>
            <w:webHidden/>
          </w:rPr>
          <w:fldChar w:fldCharType="separate"/>
        </w:r>
        <w:r w:rsidR="00361EDC">
          <w:rPr>
            <w:noProof/>
            <w:webHidden/>
          </w:rPr>
          <w:t>22</w:t>
        </w:r>
        <w:r w:rsidR="00361EDC">
          <w:rPr>
            <w:noProof/>
            <w:webHidden/>
          </w:rPr>
          <w:fldChar w:fldCharType="end"/>
        </w:r>
      </w:hyperlink>
    </w:p>
    <w:p w:rsidR="00361EDC" w:rsidRDefault="00010FE9">
      <w:pPr>
        <w:pStyle w:val="TDC1"/>
        <w:rPr>
          <w:rFonts w:asciiTheme="minorHAnsi" w:eastAsiaTheme="minorEastAsia" w:hAnsiTheme="minorHAnsi" w:cstheme="minorBidi"/>
          <w:smallCaps w:val="0"/>
          <w:noProof/>
          <w:szCs w:val="22"/>
          <w:lang w:val="es-ES" w:eastAsia="es-ES"/>
        </w:rPr>
      </w:pPr>
      <w:hyperlink w:anchor="_Toc527376679" w:history="1">
        <w:r w:rsidR="00361EDC" w:rsidRPr="00BD0809">
          <w:rPr>
            <w:rStyle w:val="Hipervnculo"/>
            <w:noProof/>
          </w:rPr>
          <w:t>Anexos</w:t>
        </w:r>
        <w:r w:rsidR="00361EDC">
          <w:rPr>
            <w:noProof/>
            <w:webHidden/>
          </w:rPr>
          <w:tab/>
        </w:r>
        <w:r w:rsidR="00361EDC">
          <w:rPr>
            <w:noProof/>
            <w:webHidden/>
          </w:rPr>
          <w:fldChar w:fldCharType="begin"/>
        </w:r>
        <w:r w:rsidR="00361EDC">
          <w:rPr>
            <w:noProof/>
            <w:webHidden/>
          </w:rPr>
          <w:instrText xml:space="preserve"> PAGEREF _Toc527376679 \h </w:instrText>
        </w:r>
        <w:r w:rsidR="00361EDC">
          <w:rPr>
            <w:noProof/>
            <w:webHidden/>
          </w:rPr>
        </w:r>
        <w:r w:rsidR="00361EDC">
          <w:rPr>
            <w:noProof/>
            <w:webHidden/>
          </w:rPr>
          <w:fldChar w:fldCharType="separate"/>
        </w:r>
        <w:r w:rsidR="00361EDC">
          <w:rPr>
            <w:noProof/>
            <w:webHidden/>
          </w:rPr>
          <w:t>27</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80" w:history="1">
        <w:r w:rsidR="00361EDC" w:rsidRPr="00BD0809">
          <w:rPr>
            <w:rStyle w:val="Hipervnculo"/>
            <w:noProof/>
          </w:rPr>
          <w:t>Anexo 1. Marco Jurídico</w:t>
        </w:r>
        <w:r w:rsidR="00361EDC">
          <w:rPr>
            <w:noProof/>
            <w:webHidden/>
          </w:rPr>
          <w:tab/>
        </w:r>
        <w:r w:rsidR="00361EDC">
          <w:rPr>
            <w:noProof/>
            <w:webHidden/>
          </w:rPr>
          <w:fldChar w:fldCharType="begin"/>
        </w:r>
        <w:r w:rsidR="00361EDC">
          <w:rPr>
            <w:noProof/>
            <w:webHidden/>
          </w:rPr>
          <w:instrText xml:space="preserve"> PAGEREF _Toc527376680 \h </w:instrText>
        </w:r>
        <w:r w:rsidR="00361EDC">
          <w:rPr>
            <w:noProof/>
            <w:webHidden/>
          </w:rPr>
        </w:r>
        <w:r w:rsidR="00361EDC">
          <w:rPr>
            <w:noProof/>
            <w:webHidden/>
          </w:rPr>
          <w:fldChar w:fldCharType="separate"/>
        </w:r>
        <w:r w:rsidR="00361EDC">
          <w:rPr>
            <w:noProof/>
            <w:webHidden/>
          </w:rPr>
          <w:t>27</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81" w:history="1">
        <w:r w:rsidR="00361EDC" w:rsidRPr="00BD0809">
          <w:rPr>
            <w:rStyle w:val="Hipervnculo"/>
            <w:noProof/>
          </w:rPr>
          <w:t>Anexo 2. Relación de entes y organismos públicos y su evolución</w:t>
        </w:r>
        <w:r w:rsidR="00361EDC">
          <w:rPr>
            <w:noProof/>
            <w:webHidden/>
          </w:rPr>
          <w:tab/>
        </w:r>
        <w:r w:rsidR="00361EDC">
          <w:rPr>
            <w:noProof/>
            <w:webHidden/>
          </w:rPr>
          <w:fldChar w:fldCharType="begin"/>
        </w:r>
        <w:r w:rsidR="00361EDC">
          <w:rPr>
            <w:noProof/>
            <w:webHidden/>
          </w:rPr>
          <w:instrText xml:space="preserve"> PAGEREF _Toc527376681 \h </w:instrText>
        </w:r>
        <w:r w:rsidR="00361EDC">
          <w:rPr>
            <w:noProof/>
            <w:webHidden/>
          </w:rPr>
        </w:r>
        <w:r w:rsidR="00361EDC">
          <w:rPr>
            <w:noProof/>
            <w:webHidden/>
          </w:rPr>
          <w:fldChar w:fldCharType="separate"/>
        </w:r>
        <w:r w:rsidR="00361EDC">
          <w:rPr>
            <w:noProof/>
            <w:webHidden/>
          </w:rPr>
          <w:t>29</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82" w:history="1">
        <w:r w:rsidR="00361EDC" w:rsidRPr="00BD0809">
          <w:rPr>
            <w:rStyle w:val="Hipervnculo"/>
            <w:noProof/>
          </w:rPr>
          <w:t>Anexo 3. Relación de sociedades absorbidas y absorbentes</w:t>
        </w:r>
        <w:r w:rsidR="00361EDC">
          <w:rPr>
            <w:noProof/>
            <w:webHidden/>
          </w:rPr>
          <w:tab/>
        </w:r>
        <w:r w:rsidR="00361EDC">
          <w:rPr>
            <w:noProof/>
            <w:webHidden/>
          </w:rPr>
          <w:fldChar w:fldCharType="begin"/>
        </w:r>
        <w:r w:rsidR="00361EDC">
          <w:rPr>
            <w:noProof/>
            <w:webHidden/>
          </w:rPr>
          <w:instrText xml:space="preserve"> PAGEREF _Toc527376682 \h </w:instrText>
        </w:r>
        <w:r w:rsidR="00361EDC">
          <w:rPr>
            <w:noProof/>
            <w:webHidden/>
          </w:rPr>
        </w:r>
        <w:r w:rsidR="00361EDC">
          <w:rPr>
            <w:noProof/>
            <w:webHidden/>
          </w:rPr>
          <w:fldChar w:fldCharType="separate"/>
        </w:r>
        <w:r w:rsidR="00361EDC">
          <w:rPr>
            <w:noProof/>
            <w:webHidden/>
          </w:rPr>
          <w:t>30</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83" w:history="1">
        <w:r w:rsidR="00361EDC" w:rsidRPr="00BD0809">
          <w:rPr>
            <w:rStyle w:val="Hipervnculo"/>
            <w:noProof/>
          </w:rPr>
          <w:t>Anexo 4. Relación de sociedades públicas y su evolución</w:t>
        </w:r>
        <w:r w:rsidR="00361EDC">
          <w:rPr>
            <w:noProof/>
            <w:webHidden/>
          </w:rPr>
          <w:tab/>
        </w:r>
        <w:r w:rsidR="00361EDC">
          <w:rPr>
            <w:noProof/>
            <w:webHidden/>
          </w:rPr>
          <w:fldChar w:fldCharType="begin"/>
        </w:r>
        <w:r w:rsidR="00361EDC">
          <w:rPr>
            <w:noProof/>
            <w:webHidden/>
          </w:rPr>
          <w:instrText xml:space="preserve"> PAGEREF _Toc527376683 \h </w:instrText>
        </w:r>
        <w:r w:rsidR="00361EDC">
          <w:rPr>
            <w:noProof/>
            <w:webHidden/>
          </w:rPr>
        </w:r>
        <w:r w:rsidR="00361EDC">
          <w:rPr>
            <w:noProof/>
            <w:webHidden/>
          </w:rPr>
          <w:fldChar w:fldCharType="separate"/>
        </w:r>
        <w:r w:rsidR="00361EDC">
          <w:rPr>
            <w:noProof/>
            <w:webHidden/>
          </w:rPr>
          <w:t>31</w:t>
        </w:r>
        <w:r w:rsidR="00361EDC">
          <w:rPr>
            <w:noProof/>
            <w:webHidden/>
          </w:rPr>
          <w:fldChar w:fldCharType="end"/>
        </w:r>
      </w:hyperlink>
    </w:p>
    <w:p w:rsidR="00361EDC" w:rsidRDefault="00010FE9">
      <w:pPr>
        <w:pStyle w:val="TDC2"/>
        <w:rPr>
          <w:rFonts w:asciiTheme="minorHAnsi" w:eastAsiaTheme="minorEastAsia" w:hAnsiTheme="minorHAnsi" w:cstheme="minorBidi"/>
          <w:noProof/>
          <w:szCs w:val="22"/>
          <w:lang w:val="es-ES" w:eastAsia="es-ES"/>
        </w:rPr>
      </w:pPr>
      <w:hyperlink w:anchor="_Toc527376684" w:history="1">
        <w:r w:rsidR="00361EDC" w:rsidRPr="00BD0809">
          <w:rPr>
            <w:rStyle w:val="Hipervnculo"/>
            <w:noProof/>
          </w:rPr>
          <w:t>Anexo 5. Relación de fundaciones públicas y su evolución</w:t>
        </w:r>
        <w:r w:rsidR="00361EDC">
          <w:rPr>
            <w:noProof/>
            <w:webHidden/>
          </w:rPr>
          <w:tab/>
        </w:r>
        <w:r w:rsidR="00361EDC">
          <w:rPr>
            <w:noProof/>
            <w:webHidden/>
          </w:rPr>
          <w:fldChar w:fldCharType="begin"/>
        </w:r>
        <w:r w:rsidR="00361EDC">
          <w:rPr>
            <w:noProof/>
            <w:webHidden/>
          </w:rPr>
          <w:instrText xml:space="preserve"> PAGEREF _Toc527376684 \h </w:instrText>
        </w:r>
        <w:r w:rsidR="00361EDC">
          <w:rPr>
            <w:noProof/>
            <w:webHidden/>
          </w:rPr>
        </w:r>
        <w:r w:rsidR="00361EDC">
          <w:rPr>
            <w:noProof/>
            <w:webHidden/>
          </w:rPr>
          <w:fldChar w:fldCharType="separate"/>
        </w:r>
        <w:r w:rsidR="00361EDC">
          <w:rPr>
            <w:noProof/>
            <w:webHidden/>
          </w:rPr>
          <w:t>32</w:t>
        </w:r>
        <w:r w:rsidR="00361EDC">
          <w:rPr>
            <w:noProof/>
            <w:webHidden/>
          </w:rPr>
          <w:fldChar w:fldCharType="end"/>
        </w:r>
      </w:hyperlink>
    </w:p>
    <w:p w:rsidR="00891D73" w:rsidRDefault="00105D38" w:rsidP="00105D38">
      <w:pPr>
        <w:pStyle w:val="texto"/>
      </w:pPr>
      <w:r w:rsidRPr="009D1111">
        <w:rPr>
          <w:sz w:val="24"/>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7115B" w:rsidRPr="003C6BE1" w:rsidRDefault="0017115B" w:rsidP="0017115B">
      <w:pPr>
        <w:pStyle w:val="atitulo1"/>
      </w:pPr>
      <w:bookmarkStart w:id="1" w:name="_Toc521909253"/>
      <w:bookmarkStart w:id="2" w:name="_Toc527376668"/>
      <w:r w:rsidRPr="003C6BE1">
        <w:lastRenderedPageBreak/>
        <w:t>I. Introducción</w:t>
      </w:r>
      <w:bookmarkEnd w:id="1"/>
      <w:bookmarkEnd w:id="2"/>
    </w:p>
    <w:p w:rsidR="0017115B" w:rsidRDefault="0017115B" w:rsidP="0017115B">
      <w:pPr>
        <w:pStyle w:val="texto"/>
        <w:tabs>
          <w:tab w:val="clear" w:pos="2835"/>
          <w:tab w:val="clear" w:pos="3969"/>
          <w:tab w:val="clear" w:pos="5103"/>
          <w:tab w:val="clear" w:pos="6237"/>
          <w:tab w:val="clear" w:pos="7371"/>
        </w:tabs>
        <w:spacing w:line="240" w:lineRule="atLeast"/>
        <w:rPr>
          <w:szCs w:val="26"/>
        </w:rPr>
      </w:pPr>
      <w:r w:rsidRPr="00C809C1">
        <w:rPr>
          <w:szCs w:val="26"/>
        </w:rPr>
        <w:t xml:space="preserve"> </w:t>
      </w:r>
      <w:r>
        <w:t xml:space="preserve">La Cámara de Comptos incluyó en su programa de trabajo del año 2018 la realización de un informe de fiscalización sobre la reestructuración del </w:t>
      </w:r>
      <w:r w:rsidR="00237B81">
        <w:t>sector público</w:t>
      </w:r>
      <w:r>
        <w:t xml:space="preserve"> </w:t>
      </w:r>
      <w:r w:rsidR="00D22D3C">
        <w:t xml:space="preserve">foral </w:t>
      </w:r>
      <w:r>
        <w:t xml:space="preserve">de Navarra durante el período 2010-2016. </w:t>
      </w:r>
    </w:p>
    <w:p w:rsidR="0017115B" w:rsidRDefault="0017115B" w:rsidP="0017115B">
      <w:pPr>
        <w:pStyle w:val="texto"/>
        <w:tabs>
          <w:tab w:val="clear" w:pos="2835"/>
          <w:tab w:val="clear" w:pos="3969"/>
          <w:tab w:val="clear" w:pos="5103"/>
          <w:tab w:val="clear" w:pos="6237"/>
          <w:tab w:val="clear" w:pos="7371"/>
        </w:tabs>
        <w:spacing w:line="240" w:lineRule="atLeast"/>
        <w:rPr>
          <w:szCs w:val="26"/>
        </w:rPr>
      </w:pPr>
      <w:r>
        <w:rPr>
          <w:szCs w:val="26"/>
        </w:rPr>
        <w:t>Este trabajo se realiza en coordinación con el Tribunal de Cuentas y los Ó</w:t>
      </w:r>
      <w:r>
        <w:rPr>
          <w:szCs w:val="26"/>
        </w:rPr>
        <w:t>r</w:t>
      </w:r>
      <w:r>
        <w:rPr>
          <w:szCs w:val="26"/>
        </w:rPr>
        <w:t xml:space="preserve">ganos Autonómicos de Control Externo (OCEX) </w:t>
      </w:r>
      <w:r w:rsidR="00F64545">
        <w:rPr>
          <w:szCs w:val="26"/>
        </w:rPr>
        <w:t>y tiene por objeto la verific</w:t>
      </w:r>
      <w:r w:rsidR="00F64545">
        <w:rPr>
          <w:szCs w:val="26"/>
        </w:rPr>
        <w:t>a</w:t>
      </w:r>
      <w:r w:rsidR="00F64545">
        <w:rPr>
          <w:szCs w:val="26"/>
        </w:rPr>
        <w:t xml:space="preserve">ción de </w:t>
      </w:r>
      <w:r>
        <w:rPr>
          <w:szCs w:val="26"/>
        </w:rPr>
        <w:t xml:space="preserve">los procesos de </w:t>
      </w:r>
      <w:r w:rsidR="007275C0">
        <w:rPr>
          <w:szCs w:val="26"/>
        </w:rPr>
        <w:t xml:space="preserve">reordenación </w:t>
      </w:r>
      <w:r>
        <w:rPr>
          <w:szCs w:val="26"/>
        </w:rPr>
        <w:t>del sector público autonómico</w:t>
      </w:r>
      <w:r w:rsidR="00F64545">
        <w:rPr>
          <w:szCs w:val="26"/>
        </w:rPr>
        <w:t xml:space="preserve"> durante el periodo </w:t>
      </w:r>
      <w:r w:rsidR="002F5514">
        <w:rPr>
          <w:szCs w:val="26"/>
        </w:rPr>
        <w:t>citado anteriormente</w:t>
      </w:r>
      <w:r>
        <w:rPr>
          <w:szCs w:val="26"/>
        </w:rPr>
        <w:t xml:space="preserve">. </w:t>
      </w:r>
      <w:r w:rsidR="00194097">
        <w:rPr>
          <w:szCs w:val="26"/>
        </w:rPr>
        <w:t xml:space="preserve"> </w:t>
      </w:r>
    </w:p>
    <w:p w:rsidR="00A17B6C" w:rsidRDefault="00A17B6C" w:rsidP="0017115B">
      <w:pPr>
        <w:pStyle w:val="texto"/>
        <w:tabs>
          <w:tab w:val="clear" w:pos="2835"/>
          <w:tab w:val="clear" w:pos="3969"/>
          <w:tab w:val="clear" w:pos="5103"/>
          <w:tab w:val="clear" w:pos="6237"/>
          <w:tab w:val="clear" w:pos="7371"/>
        </w:tabs>
        <w:spacing w:line="240" w:lineRule="atLeast"/>
        <w:rPr>
          <w:szCs w:val="26"/>
        </w:rPr>
      </w:pPr>
      <w:r>
        <w:rPr>
          <w:szCs w:val="26"/>
        </w:rPr>
        <w:t xml:space="preserve">La reordenación del sector público surge a instancias de un </w:t>
      </w:r>
      <w:r w:rsidR="009F49E0" w:rsidRPr="0013528B">
        <w:rPr>
          <w:lang w:val="es-ES"/>
        </w:rPr>
        <w:t>acuerdo marco</w:t>
      </w:r>
      <w:r w:rsidRPr="0013528B">
        <w:rPr>
          <w:lang w:val="es-ES"/>
        </w:rPr>
        <w:t xml:space="preserve"> </w:t>
      </w:r>
      <w:r w:rsidR="00B117B9">
        <w:rPr>
          <w:lang w:val="es-ES"/>
        </w:rPr>
        <w:t>de 2010</w:t>
      </w:r>
      <w:r>
        <w:rPr>
          <w:lang w:val="es-ES"/>
        </w:rPr>
        <w:t xml:space="preserve"> impulsado desde el Estado, por el que </w:t>
      </w:r>
      <w:r w:rsidRPr="0013528B">
        <w:rPr>
          <w:lang w:val="es-ES"/>
        </w:rPr>
        <w:t xml:space="preserve">las </w:t>
      </w:r>
      <w:r w:rsidR="009F49E0" w:rsidRPr="0013528B">
        <w:rPr>
          <w:lang w:val="es-ES"/>
        </w:rPr>
        <w:t>comunidades autónomas</w:t>
      </w:r>
      <w:r w:rsidRPr="0013528B">
        <w:rPr>
          <w:lang w:val="es-ES"/>
        </w:rPr>
        <w:t xml:space="preserve"> y </w:t>
      </w:r>
      <w:r w:rsidR="009F49E0" w:rsidRPr="0013528B">
        <w:rPr>
          <w:lang w:val="es-ES"/>
        </w:rPr>
        <w:t xml:space="preserve">ciudades </w:t>
      </w:r>
      <w:r w:rsidRPr="0013528B">
        <w:rPr>
          <w:lang w:val="es-ES"/>
        </w:rPr>
        <w:t xml:space="preserve">con </w:t>
      </w:r>
      <w:r w:rsidR="009F49E0" w:rsidRPr="0013528B">
        <w:rPr>
          <w:lang w:val="es-ES"/>
        </w:rPr>
        <w:t>estatuto de autono</w:t>
      </w:r>
      <w:r w:rsidR="009F49E0">
        <w:rPr>
          <w:lang w:val="es-ES"/>
        </w:rPr>
        <w:t>mía</w:t>
      </w:r>
      <w:r>
        <w:rPr>
          <w:lang w:val="es-ES"/>
        </w:rPr>
        <w:t xml:space="preserve"> se comprometen a elaborar sus respectivos planes de reordenación y su sostenibilidad en las finanzas públicas. </w:t>
      </w:r>
    </w:p>
    <w:p w:rsidR="0017115B" w:rsidRDefault="0017115B" w:rsidP="0017115B">
      <w:pPr>
        <w:pStyle w:val="texto"/>
        <w:tabs>
          <w:tab w:val="clear" w:pos="2835"/>
          <w:tab w:val="clear" w:pos="3969"/>
          <w:tab w:val="clear" w:pos="5103"/>
          <w:tab w:val="clear" w:pos="6237"/>
          <w:tab w:val="clear" w:pos="7371"/>
        </w:tabs>
        <w:spacing w:line="240" w:lineRule="atLeast"/>
        <w:rPr>
          <w:szCs w:val="26"/>
        </w:rPr>
      </w:pPr>
      <w:r w:rsidRPr="00C809C1">
        <w:rPr>
          <w:szCs w:val="26"/>
        </w:rPr>
        <w:t>El trabajo lo ha realizado un e</w:t>
      </w:r>
      <w:r>
        <w:rPr>
          <w:szCs w:val="26"/>
        </w:rPr>
        <w:t>quipo integrado por una técnica</w:t>
      </w:r>
      <w:r w:rsidRPr="00C809C1">
        <w:rPr>
          <w:szCs w:val="26"/>
        </w:rPr>
        <w:t xml:space="preserve"> de auditoria y un auditor, </w:t>
      </w:r>
      <w:r>
        <w:rPr>
          <w:szCs w:val="26"/>
        </w:rPr>
        <w:t xml:space="preserve">desde mayo hasta agosto </w:t>
      </w:r>
      <w:r w:rsidRPr="00C809C1">
        <w:rPr>
          <w:szCs w:val="26"/>
        </w:rPr>
        <w:t>de 2018</w:t>
      </w:r>
      <w:r w:rsidR="00A55AA8">
        <w:rPr>
          <w:szCs w:val="26"/>
        </w:rPr>
        <w:t>,</w:t>
      </w:r>
      <w:r w:rsidRPr="00C809C1">
        <w:rPr>
          <w:szCs w:val="26"/>
        </w:rPr>
        <w:t xml:space="preserve"> con la colaboración de los serv</w:t>
      </w:r>
      <w:r w:rsidRPr="00C809C1">
        <w:rPr>
          <w:szCs w:val="26"/>
        </w:rPr>
        <w:t>i</w:t>
      </w:r>
      <w:r w:rsidRPr="00C809C1">
        <w:rPr>
          <w:szCs w:val="26"/>
        </w:rPr>
        <w:t xml:space="preserve">cios jurídicos, informáticos y administrativos de la Cámara. </w:t>
      </w:r>
    </w:p>
    <w:p w:rsidR="0017115B" w:rsidRPr="007275C0" w:rsidRDefault="0017115B" w:rsidP="007275C0">
      <w:pPr>
        <w:pStyle w:val="texto"/>
        <w:tabs>
          <w:tab w:val="clear" w:pos="2835"/>
          <w:tab w:val="clear" w:pos="3969"/>
          <w:tab w:val="clear" w:pos="5103"/>
          <w:tab w:val="clear" w:pos="6237"/>
          <w:tab w:val="clear" w:pos="7371"/>
        </w:tabs>
        <w:spacing w:line="240" w:lineRule="atLeast"/>
      </w:pPr>
      <w:r w:rsidRPr="007275C0">
        <w:t>E</w:t>
      </w:r>
      <w:r w:rsidR="00F64545" w:rsidRPr="007275C0">
        <w:t xml:space="preserve">l informe se estructura en </w:t>
      </w:r>
      <w:r w:rsidR="0014118E">
        <w:t xml:space="preserve">cinco </w:t>
      </w:r>
      <w:r w:rsidRPr="007275C0">
        <w:t xml:space="preserve">epígrafes, incluida esta introducción. En el segundo epígrafe </w:t>
      </w:r>
      <w:r w:rsidR="00736D70">
        <w:t xml:space="preserve">se define el </w:t>
      </w:r>
      <w:r w:rsidR="00237B81">
        <w:t>sector público</w:t>
      </w:r>
      <w:r w:rsidR="00736D70">
        <w:t xml:space="preserve"> </w:t>
      </w:r>
      <w:r w:rsidR="00D22D3C">
        <w:t xml:space="preserve">foral </w:t>
      </w:r>
      <w:r w:rsidR="00736D70">
        <w:t>de Navarra y los planes de reordenación que se han llevado a cabo en distintos ámbitos</w:t>
      </w:r>
      <w:r w:rsidR="007275C0" w:rsidRPr="007275C0">
        <w:t xml:space="preserve">. En </w:t>
      </w:r>
      <w:r w:rsidRPr="007275C0">
        <w:t>el tercer ep</w:t>
      </w:r>
      <w:r w:rsidRPr="007275C0">
        <w:t>í</w:t>
      </w:r>
      <w:r w:rsidRPr="007275C0">
        <w:t>grafe</w:t>
      </w:r>
      <w:r w:rsidR="00736D70" w:rsidRPr="00736D70">
        <w:t xml:space="preserve"> </w:t>
      </w:r>
      <w:r w:rsidR="00736D70" w:rsidRPr="007275C0">
        <w:t>indicamos los objetivos</w:t>
      </w:r>
      <w:r w:rsidR="00736D70">
        <w:t xml:space="preserve">, </w:t>
      </w:r>
      <w:r w:rsidR="00736D70" w:rsidRPr="007275C0">
        <w:t xml:space="preserve">alcance </w:t>
      </w:r>
      <w:r w:rsidR="00736D70">
        <w:t xml:space="preserve">y limitaciones </w:t>
      </w:r>
      <w:r w:rsidR="00736D70" w:rsidRPr="007275C0">
        <w:t>de la fiscalización</w:t>
      </w:r>
      <w:r w:rsidR="0014118E">
        <w:t xml:space="preserve">. En el cuarto epígrafe se exponen </w:t>
      </w:r>
      <w:r w:rsidR="007275C0" w:rsidRPr="007275C0">
        <w:t>las conclusio</w:t>
      </w:r>
      <w:r w:rsidR="00736D70">
        <w:t>nes y recomendaciones</w:t>
      </w:r>
      <w:r w:rsidR="007275C0" w:rsidRPr="007275C0">
        <w:t xml:space="preserve">. </w:t>
      </w:r>
      <w:r w:rsidRPr="007275C0">
        <w:t xml:space="preserve">Por último, en el </w:t>
      </w:r>
      <w:r w:rsidR="0014118E">
        <w:t xml:space="preserve">quinto </w:t>
      </w:r>
      <w:r w:rsidR="007275C0" w:rsidRPr="007275C0">
        <w:t xml:space="preserve">se describe el análisis </w:t>
      </w:r>
      <w:r w:rsidR="0014118E">
        <w:t xml:space="preserve">realizado en </w:t>
      </w:r>
      <w:r w:rsidR="007275C0" w:rsidRPr="007275C0">
        <w:t>los distintos procesos y sus efe</w:t>
      </w:r>
      <w:r w:rsidR="007275C0" w:rsidRPr="007275C0">
        <w:t>c</w:t>
      </w:r>
      <w:r w:rsidR="0014118E">
        <w:t>tos, así como su nivel de cumplimiento</w:t>
      </w:r>
      <w:r w:rsidR="00B117B9">
        <w:t>.</w:t>
      </w:r>
    </w:p>
    <w:p w:rsidR="007275C0" w:rsidRDefault="007275C0" w:rsidP="007275C0">
      <w:pPr>
        <w:pStyle w:val="texto"/>
        <w:tabs>
          <w:tab w:val="clear" w:pos="2835"/>
          <w:tab w:val="clear" w:pos="3969"/>
          <w:tab w:val="clear" w:pos="5103"/>
          <w:tab w:val="clear" w:pos="6237"/>
          <w:tab w:val="clear" w:pos="7371"/>
        </w:tabs>
        <w:spacing w:line="240" w:lineRule="atLeast"/>
        <w:rPr>
          <w:color w:val="FF0000"/>
        </w:rPr>
      </w:pPr>
      <w:r>
        <w:t xml:space="preserve">Incluye además, </w:t>
      </w:r>
      <w:r w:rsidR="0014118E">
        <w:t xml:space="preserve">cinco </w:t>
      </w:r>
      <w:r>
        <w:t>anexos relacionados con información más detallada sobre algunos de los datos expuestos en el informe.</w:t>
      </w:r>
    </w:p>
    <w:p w:rsidR="0070412C" w:rsidRPr="000E63B3" w:rsidRDefault="0070412C" w:rsidP="0070412C">
      <w:pPr>
        <w:pStyle w:val="texto"/>
        <w:tabs>
          <w:tab w:val="clear" w:pos="2835"/>
          <w:tab w:val="clear" w:pos="3969"/>
          <w:tab w:val="clear" w:pos="5103"/>
          <w:tab w:val="clear" w:pos="6237"/>
          <w:tab w:val="clear" w:pos="7371"/>
        </w:tabs>
        <w:spacing w:after="160" w:line="240" w:lineRule="atLeast"/>
        <w:rPr>
          <w:szCs w:val="26"/>
        </w:rPr>
      </w:pPr>
      <w:r w:rsidRPr="00EB6645">
        <w:rPr>
          <w:szCs w:val="26"/>
        </w:rPr>
        <w:t>Los resultados de esta actuación se pusieron de manifiesto</w:t>
      </w:r>
      <w:r>
        <w:rPr>
          <w:szCs w:val="26"/>
        </w:rPr>
        <w:t xml:space="preserve"> al Consejero de</w:t>
      </w:r>
      <w:r w:rsidR="003E747D">
        <w:rPr>
          <w:szCs w:val="26"/>
        </w:rPr>
        <w:t xml:space="preserve">l Departamento de </w:t>
      </w:r>
      <w:r>
        <w:rPr>
          <w:szCs w:val="26"/>
        </w:rPr>
        <w:t>Hacienda y Política Financiera del Gobierno de Navarra</w:t>
      </w:r>
      <w:r w:rsidRPr="00EB6645">
        <w:rPr>
          <w:szCs w:val="26"/>
        </w:rPr>
        <w:t xml:space="preserve"> </w:t>
      </w:r>
      <w:r>
        <w:rPr>
          <w:szCs w:val="26"/>
        </w:rPr>
        <w:t xml:space="preserve"> y al </w:t>
      </w:r>
      <w:r w:rsidR="003E747D">
        <w:rPr>
          <w:szCs w:val="26"/>
        </w:rPr>
        <w:t xml:space="preserve">Director Financiero y de Control en CPEN </w:t>
      </w:r>
      <w:r w:rsidRPr="00EB6645">
        <w:rPr>
          <w:szCs w:val="26"/>
        </w:rPr>
        <w:t xml:space="preserve">para que formulasen, en su caso, las alegaciones que estimasen oportunas, de conformidad con </w:t>
      </w:r>
      <w:r w:rsidRPr="00462DB1">
        <w:rPr>
          <w:szCs w:val="26"/>
        </w:rPr>
        <w:t xml:space="preserve">lo previsto en el art. </w:t>
      </w:r>
      <w:r w:rsidRPr="00F6277D">
        <w:rPr>
          <w:szCs w:val="26"/>
        </w:rPr>
        <w:t>11.2 de la Ley Foral 19/1984, reguladora de la Cámara de Comptos de Nav</w:t>
      </w:r>
      <w:r w:rsidRPr="00F6277D">
        <w:rPr>
          <w:szCs w:val="26"/>
        </w:rPr>
        <w:t>a</w:t>
      </w:r>
      <w:r w:rsidRPr="00F6277D">
        <w:rPr>
          <w:szCs w:val="26"/>
        </w:rPr>
        <w:t>rra</w:t>
      </w:r>
      <w:r w:rsidRPr="000E63B3">
        <w:rPr>
          <w:szCs w:val="26"/>
        </w:rPr>
        <w:t>. Transcurrido el plazo no se han presentado alegaciones.</w:t>
      </w:r>
    </w:p>
    <w:p w:rsidR="0017115B" w:rsidRPr="00C809C1" w:rsidRDefault="0017115B" w:rsidP="0017115B">
      <w:pPr>
        <w:pStyle w:val="texto"/>
        <w:tabs>
          <w:tab w:val="clear" w:pos="2835"/>
          <w:tab w:val="clear" w:pos="3969"/>
          <w:tab w:val="clear" w:pos="5103"/>
          <w:tab w:val="clear" w:pos="6237"/>
          <w:tab w:val="clear" w:pos="7371"/>
        </w:tabs>
        <w:spacing w:line="240" w:lineRule="atLeast"/>
        <w:rPr>
          <w:szCs w:val="26"/>
        </w:rPr>
      </w:pPr>
      <w:r w:rsidRPr="00C809C1">
        <w:rPr>
          <w:szCs w:val="26"/>
        </w:rPr>
        <w:t xml:space="preserve">Agradecemos al personal de la </w:t>
      </w:r>
      <w:r>
        <w:rPr>
          <w:szCs w:val="26"/>
        </w:rPr>
        <w:t>Dirección General del Presupuesto</w:t>
      </w:r>
      <w:r w:rsidR="00613FA1">
        <w:rPr>
          <w:szCs w:val="26"/>
        </w:rPr>
        <w:t xml:space="preserve"> del D</w:t>
      </w:r>
      <w:r w:rsidR="00613FA1">
        <w:rPr>
          <w:szCs w:val="26"/>
        </w:rPr>
        <w:t>e</w:t>
      </w:r>
      <w:r w:rsidR="00613FA1">
        <w:rPr>
          <w:szCs w:val="26"/>
        </w:rPr>
        <w:t>partamento de Hacienda y Política Financiera</w:t>
      </w:r>
      <w:r>
        <w:rPr>
          <w:szCs w:val="26"/>
        </w:rPr>
        <w:t xml:space="preserve">, </w:t>
      </w:r>
      <w:r w:rsidR="00F64545">
        <w:rPr>
          <w:szCs w:val="26"/>
        </w:rPr>
        <w:t xml:space="preserve">del </w:t>
      </w:r>
      <w:r>
        <w:rPr>
          <w:szCs w:val="26"/>
        </w:rPr>
        <w:t>Servicio de Secretariado del Gobierno y Acción Normativa del Departamento de Presidencia, Función P</w:t>
      </w:r>
      <w:r>
        <w:rPr>
          <w:szCs w:val="26"/>
        </w:rPr>
        <w:t>ú</w:t>
      </w:r>
      <w:r>
        <w:rPr>
          <w:szCs w:val="26"/>
        </w:rPr>
        <w:t xml:space="preserve">blica, Interior y Justicia, así como </w:t>
      </w:r>
      <w:r w:rsidRPr="00C809C1">
        <w:rPr>
          <w:szCs w:val="26"/>
        </w:rPr>
        <w:t>de</w:t>
      </w:r>
      <w:r>
        <w:rPr>
          <w:szCs w:val="26"/>
        </w:rPr>
        <w:t xml:space="preserve"> </w:t>
      </w:r>
      <w:r w:rsidRPr="00C809C1">
        <w:rPr>
          <w:szCs w:val="26"/>
        </w:rPr>
        <w:t>l</w:t>
      </w:r>
      <w:r>
        <w:rPr>
          <w:szCs w:val="26"/>
        </w:rPr>
        <w:t>a Corporación Pública Empresarial de Navarra</w:t>
      </w:r>
      <w:r w:rsidRPr="00C809C1">
        <w:rPr>
          <w:szCs w:val="26"/>
        </w:rPr>
        <w:t xml:space="preserve"> la colaboración prestada en la realización de este trabajo. </w:t>
      </w:r>
    </w:p>
    <w:p w:rsidR="0017115B" w:rsidRDefault="0017115B" w:rsidP="0017115B">
      <w:pPr>
        <w:rPr>
          <w:sz w:val="26"/>
          <w:szCs w:val="26"/>
        </w:rPr>
      </w:pPr>
    </w:p>
    <w:p w:rsidR="0017115B" w:rsidRDefault="0017115B" w:rsidP="0017115B">
      <w:pPr>
        <w:pStyle w:val="texto"/>
        <w:tabs>
          <w:tab w:val="clear" w:pos="2835"/>
          <w:tab w:val="clear" w:pos="3969"/>
          <w:tab w:val="clear" w:pos="5103"/>
          <w:tab w:val="clear" w:pos="6237"/>
          <w:tab w:val="clear" w:pos="7371"/>
        </w:tabs>
        <w:spacing w:line="240" w:lineRule="atLeast"/>
        <w:rPr>
          <w:szCs w:val="26"/>
        </w:rPr>
      </w:pPr>
    </w:p>
    <w:p w:rsidR="0017115B" w:rsidRDefault="0017115B" w:rsidP="0017115B">
      <w:pPr>
        <w:spacing w:after="0"/>
        <w:ind w:firstLine="0"/>
        <w:jc w:val="left"/>
        <w:rPr>
          <w:rFonts w:ascii="Arial" w:hAnsi="Arial"/>
          <w:b/>
          <w:color w:val="000000"/>
          <w:kern w:val="28"/>
          <w:sz w:val="25"/>
          <w:szCs w:val="26"/>
        </w:rPr>
      </w:pPr>
      <w:bookmarkStart w:id="3" w:name="_Toc188167192"/>
      <w:bookmarkStart w:id="4" w:name="_Toc462142139"/>
      <w:bookmarkStart w:id="5" w:name="_Toc500414324"/>
      <w:r>
        <w:br w:type="page"/>
      </w:r>
    </w:p>
    <w:p w:rsidR="00AB4A69" w:rsidRDefault="00AB4A69" w:rsidP="00AB4A69">
      <w:pPr>
        <w:pStyle w:val="atitulo1"/>
      </w:pPr>
      <w:bookmarkStart w:id="6" w:name="_Toc527376669"/>
      <w:bookmarkStart w:id="7" w:name="_Toc521909254"/>
      <w:r>
        <w:lastRenderedPageBreak/>
        <w:t>I</w:t>
      </w:r>
      <w:r w:rsidRPr="003C6BE1">
        <w:t xml:space="preserve">I. </w:t>
      </w:r>
      <w:r>
        <w:t xml:space="preserve">El </w:t>
      </w:r>
      <w:r w:rsidR="00237B81">
        <w:t xml:space="preserve">sector público </w:t>
      </w:r>
      <w:r w:rsidR="00D22D3C">
        <w:t xml:space="preserve">foral </w:t>
      </w:r>
      <w:r>
        <w:t>de Navarra</w:t>
      </w:r>
      <w:bookmarkEnd w:id="6"/>
    </w:p>
    <w:p w:rsidR="00AB4A69" w:rsidRDefault="00AB4A69" w:rsidP="00AB4A69">
      <w:pPr>
        <w:pStyle w:val="atitulo2"/>
        <w:spacing w:before="240" w:after="200"/>
      </w:pPr>
      <w:bookmarkStart w:id="8" w:name="_Toc527376670"/>
      <w:r>
        <w:t>II.1. Consideraciones generales</w:t>
      </w:r>
      <w:bookmarkEnd w:id="8"/>
    </w:p>
    <w:p w:rsidR="00AB4A69" w:rsidRPr="002D15D3" w:rsidRDefault="00A379C8" w:rsidP="00AB4A69">
      <w:pPr>
        <w:pStyle w:val="texto"/>
        <w:spacing w:after="120"/>
        <w:rPr>
          <w:szCs w:val="26"/>
        </w:rPr>
      </w:pPr>
      <w:r>
        <w:rPr>
          <w:lang w:val="es-ES"/>
        </w:rPr>
        <w:t xml:space="preserve">El </w:t>
      </w:r>
      <w:r w:rsidR="00237B81">
        <w:rPr>
          <w:lang w:val="es-ES"/>
        </w:rPr>
        <w:t>sector público</w:t>
      </w:r>
      <w:r w:rsidR="00AB4A69">
        <w:rPr>
          <w:lang w:val="es-ES"/>
        </w:rPr>
        <w:t xml:space="preserve"> </w:t>
      </w:r>
      <w:r w:rsidR="00D22D3C">
        <w:rPr>
          <w:lang w:val="es-ES"/>
        </w:rPr>
        <w:t xml:space="preserve">foral </w:t>
      </w:r>
      <w:r w:rsidR="00AB4A69">
        <w:rPr>
          <w:lang w:val="es-ES"/>
        </w:rPr>
        <w:t>de Navarra según lo previsto en la Ley Foral 13/2007</w:t>
      </w:r>
      <w:r w:rsidR="007A3620">
        <w:rPr>
          <w:lang w:val="es-ES"/>
        </w:rPr>
        <w:t xml:space="preserve">, de 4 de abril, </w:t>
      </w:r>
      <w:r w:rsidR="00AB4A69">
        <w:rPr>
          <w:lang w:val="es-ES"/>
        </w:rPr>
        <w:t>de la Hacienda Pública de Navarra está formado por:</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La Administración de la Comunidad Foral de Navarra.</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 xml:space="preserve">El Parlamento de Navarra y sus órganos dependientes, siendo </w:t>
      </w:r>
      <w:r w:rsidR="007822FD">
        <w:rPr>
          <w:rFonts w:cs="Arial"/>
        </w:rPr>
        <w:t>e</w:t>
      </w:r>
      <w:r w:rsidRPr="00CA01EC">
        <w:rPr>
          <w:rFonts w:cs="Arial"/>
        </w:rPr>
        <w:t>stos la C</w:t>
      </w:r>
      <w:r w:rsidRPr="00CA01EC">
        <w:rPr>
          <w:rFonts w:cs="Arial"/>
        </w:rPr>
        <w:t>á</w:t>
      </w:r>
      <w:r w:rsidRPr="00CA01EC">
        <w:rPr>
          <w:rFonts w:cs="Arial"/>
        </w:rPr>
        <w:t xml:space="preserve">mara de Comptos y </w:t>
      </w:r>
      <w:r>
        <w:rPr>
          <w:rFonts w:cs="Arial"/>
        </w:rPr>
        <w:t xml:space="preserve">el </w:t>
      </w:r>
      <w:r w:rsidRPr="00CA01EC">
        <w:rPr>
          <w:rFonts w:cs="Arial"/>
        </w:rPr>
        <w:t xml:space="preserve">Defensor del Pueblo. </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El Consejo de Navarra y el Consejo Audiovisual de Navarra.</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Los organismos autónomos adscritos a la Administración de la Comunidad Foral de Navarra.</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Las entidades públicas empresariales de la Administración de la Comun</w:t>
      </w:r>
      <w:r w:rsidRPr="00CA01EC">
        <w:rPr>
          <w:rFonts w:cs="Arial"/>
        </w:rPr>
        <w:t>i</w:t>
      </w:r>
      <w:r w:rsidRPr="00CA01EC">
        <w:rPr>
          <w:rFonts w:cs="Arial"/>
        </w:rPr>
        <w:t>dad Foral de Navarra.</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Las sociedades públicas de la Comunidad Foral de Navarra a tenor de lo establecido en la Ley Foral 14/2007, de</w:t>
      </w:r>
      <w:r w:rsidR="00807AD0">
        <w:rPr>
          <w:rFonts w:cs="Arial"/>
        </w:rPr>
        <w:t xml:space="preserve"> </w:t>
      </w:r>
      <w:r w:rsidRPr="00CA01EC">
        <w:rPr>
          <w:rFonts w:cs="Arial"/>
        </w:rPr>
        <w:t xml:space="preserve"> 4</w:t>
      </w:r>
      <w:r w:rsidR="00807AD0">
        <w:rPr>
          <w:rFonts w:cs="Arial"/>
        </w:rPr>
        <w:t xml:space="preserve"> </w:t>
      </w:r>
      <w:r w:rsidRPr="00CA01EC">
        <w:rPr>
          <w:rFonts w:cs="Arial"/>
        </w:rPr>
        <w:t xml:space="preserve"> de abril, del </w:t>
      </w:r>
      <w:r w:rsidR="00807AD0">
        <w:rPr>
          <w:rFonts w:cs="Arial"/>
        </w:rPr>
        <w:t xml:space="preserve"> </w:t>
      </w:r>
      <w:r w:rsidRPr="00CA01EC">
        <w:rPr>
          <w:rFonts w:cs="Arial"/>
        </w:rPr>
        <w:t xml:space="preserve">Patrimonio </w:t>
      </w:r>
      <w:r w:rsidR="00807AD0">
        <w:rPr>
          <w:rFonts w:cs="Arial"/>
        </w:rPr>
        <w:t xml:space="preserve"> </w:t>
      </w:r>
      <w:r w:rsidRPr="00CA01EC">
        <w:rPr>
          <w:rFonts w:cs="Arial"/>
        </w:rPr>
        <w:t xml:space="preserve">de </w:t>
      </w:r>
      <w:r w:rsidR="00807AD0">
        <w:rPr>
          <w:rFonts w:cs="Arial"/>
        </w:rPr>
        <w:t xml:space="preserve"> </w:t>
      </w:r>
      <w:r w:rsidRPr="00CA01EC">
        <w:rPr>
          <w:rFonts w:cs="Arial"/>
        </w:rPr>
        <w:t>Nav</w:t>
      </w:r>
      <w:r w:rsidRPr="00CA01EC">
        <w:rPr>
          <w:rFonts w:cs="Arial"/>
        </w:rPr>
        <w:t>a</w:t>
      </w:r>
      <w:r w:rsidR="0086395C">
        <w:rPr>
          <w:rFonts w:cs="Arial"/>
        </w:rPr>
        <w:t>rra</w:t>
      </w:r>
      <w:r w:rsidRPr="00CA01EC">
        <w:rPr>
          <w:rFonts w:cs="Arial"/>
          <w:vertAlign w:val="superscript"/>
        </w:rPr>
        <w:footnoteReference w:id="1"/>
      </w:r>
      <w:r w:rsidR="00807AD0" w:rsidRPr="00807AD0">
        <w:rPr>
          <w:rFonts w:cs="Arial"/>
        </w:rPr>
        <w:t>.</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Las fundaciones públicas de la Administración de la Comunidad Foral de Navarra y de sus organismos públicos</w:t>
      </w:r>
      <w:r w:rsidRPr="00CA01EC">
        <w:rPr>
          <w:rFonts w:cs="Arial"/>
          <w:vertAlign w:val="superscript"/>
        </w:rPr>
        <w:footnoteReference w:id="2"/>
      </w:r>
      <w:r w:rsidRPr="00CA01EC">
        <w:rPr>
          <w:rFonts w:cs="Arial"/>
        </w:rPr>
        <w:t xml:space="preserve">. </w:t>
      </w:r>
    </w:p>
    <w:p w:rsidR="00AB4A69" w:rsidRPr="00CA01EC"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CA01EC">
        <w:rPr>
          <w:rFonts w:cs="Arial"/>
        </w:rPr>
        <w:t>Otros entes públicos de nueva creación, cuando la disposición que los cree así lo disponga expresamente.</w:t>
      </w:r>
    </w:p>
    <w:p w:rsidR="00814827" w:rsidRDefault="007A3620" w:rsidP="00AB4A69">
      <w:pPr>
        <w:pStyle w:val="texto"/>
      </w:pPr>
      <w:r>
        <w:t>Es decir, j</w:t>
      </w:r>
      <w:r w:rsidR="005C0934">
        <w:t>unto a la propia Administración de la Comunidad Foral y el Pa</w:t>
      </w:r>
      <w:r w:rsidR="005C0934">
        <w:t>r</w:t>
      </w:r>
      <w:r w:rsidR="005C0934">
        <w:t>lamento con sus órganos dependientes, con</w:t>
      </w:r>
      <w:r w:rsidR="0035621C">
        <w:t>figuran el sector público foral</w:t>
      </w:r>
      <w:r w:rsidR="005C0934">
        <w:t xml:space="preserve"> un conjunto de entidades de derecho público </w:t>
      </w:r>
      <w:r w:rsidR="00277040">
        <w:t>y</w:t>
      </w:r>
      <w:r w:rsidR="005C0934">
        <w:t xml:space="preserve"> privado </w:t>
      </w:r>
      <w:r w:rsidR="00AB4A69" w:rsidRPr="0076116B">
        <w:t>con personalidad jurídica propia, de naturaleza instrumental</w:t>
      </w:r>
      <w:r w:rsidR="00AB4A69">
        <w:t xml:space="preserve">, </w:t>
      </w:r>
      <w:r w:rsidR="00AB4A69" w:rsidRPr="0076116B">
        <w:t xml:space="preserve">con autonomía en su </w:t>
      </w:r>
      <w:r w:rsidR="009C4213">
        <w:t xml:space="preserve">gestión y que han sido creados y </w:t>
      </w:r>
      <w:r w:rsidR="00AB4A69" w:rsidRPr="0076116B">
        <w:t>financiados por la Administración de la Comunidad Foral de Nav</w:t>
      </w:r>
      <w:r w:rsidR="00AB4A69" w:rsidRPr="0076116B">
        <w:t>a</w:t>
      </w:r>
      <w:r w:rsidR="00AB4A69" w:rsidRPr="0076116B">
        <w:t xml:space="preserve">rra para el cumplimiento de los fines públicos </w:t>
      </w:r>
      <w:r w:rsidR="00AB4A69">
        <w:t>asignados y que</w:t>
      </w:r>
      <w:r>
        <w:t xml:space="preserve"> </w:t>
      </w:r>
      <w:r w:rsidR="0035621C">
        <w:t>se van a clasif</w:t>
      </w:r>
      <w:r w:rsidR="0035621C">
        <w:t>i</w:t>
      </w:r>
      <w:r w:rsidR="0035621C">
        <w:t>car en sector público administrativo, empresarial y fundacional</w:t>
      </w:r>
      <w:r w:rsidR="00B71398">
        <w:t>.</w:t>
      </w:r>
    </w:p>
    <w:p w:rsidR="00317FEF" w:rsidRDefault="00317FEF" w:rsidP="00AB4A69">
      <w:pPr>
        <w:pStyle w:val="texto"/>
        <w:spacing w:after="240"/>
        <w:rPr>
          <w:color w:val="FF0000"/>
        </w:rPr>
      </w:pPr>
    </w:p>
    <w:p w:rsidR="00E035E2" w:rsidRDefault="00E035E2" w:rsidP="00AB4A69">
      <w:pPr>
        <w:pStyle w:val="texto"/>
        <w:spacing w:after="240"/>
        <w:rPr>
          <w:color w:val="FF0000"/>
        </w:rPr>
      </w:pPr>
    </w:p>
    <w:p w:rsidR="00317FEF" w:rsidRDefault="00AB4A69" w:rsidP="00862DAE">
      <w:pPr>
        <w:pStyle w:val="texto"/>
        <w:spacing w:after="260"/>
      </w:pPr>
      <w:r w:rsidRPr="00317FEF">
        <w:lastRenderedPageBreak/>
        <w:t>La magnitud</w:t>
      </w:r>
      <w:r w:rsidRPr="00BD37EA">
        <w:rPr>
          <w:rStyle w:val="Refdenotaalpie"/>
        </w:rPr>
        <w:footnoteReference w:id="3"/>
      </w:r>
      <w:r w:rsidRPr="00317FEF">
        <w:t xml:space="preserve"> del sector público empresarial y fundacional en relación al </w:t>
      </w:r>
      <w:r w:rsidRPr="00B71398">
        <w:t xml:space="preserve">personal </w:t>
      </w:r>
      <w:r w:rsidR="00410CA6">
        <w:t xml:space="preserve">de la Administración de la Comunidad Foral </w:t>
      </w:r>
      <w:r w:rsidRPr="00B71398">
        <w:t xml:space="preserve">y </w:t>
      </w:r>
      <w:r w:rsidR="00410CA6">
        <w:t xml:space="preserve">a la </w:t>
      </w:r>
      <w:r w:rsidRPr="00B71398">
        <w:t>financiación pr</w:t>
      </w:r>
      <w:r w:rsidRPr="00B71398">
        <w:t>e</w:t>
      </w:r>
      <w:r w:rsidRPr="00B71398">
        <w:t>vista para sus actuaciones en los Presupuestos Generales de Navarra en el p</w:t>
      </w:r>
      <w:r w:rsidRPr="00B71398">
        <w:t>e</w:t>
      </w:r>
      <w:r w:rsidRPr="00B71398">
        <w:t>riodo 2010-2016</w:t>
      </w:r>
      <w:bookmarkStart w:id="9" w:name="_Toc521909260"/>
      <w:r w:rsidR="007A3620">
        <w:t xml:space="preserve"> </w:t>
      </w:r>
      <w:r w:rsidR="007A3620" w:rsidRPr="00B71398">
        <w:t>es la siguiente</w:t>
      </w:r>
      <w:r w:rsidR="007A3620">
        <w:t>:</w:t>
      </w:r>
    </w:p>
    <w:tbl>
      <w:tblPr>
        <w:tblW w:w="8678" w:type="dxa"/>
        <w:jc w:val="center"/>
        <w:tblCellMar>
          <w:left w:w="70" w:type="dxa"/>
          <w:right w:w="70" w:type="dxa"/>
        </w:tblCellMar>
        <w:tblLook w:val="04A0" w:firstRow="1" w:lastRow="0" w:firstColumn="1" w:lastColumn="0" w:noHBand="0" w:noVBand="1"/>
      </w:tblPr>
      <w:tblGrid>
        <w:gridCol w:w="6402"/>
        <w:gridCol w:w="2276"/>
      </w:tblGrid>
      <w:tr w:rsidR="00D718E7" w:rsidRPr="00317FEF" w:rsidTr="008C265C">
        <w:trPr>
          <w:trHeight w:val="300"/>
          <w:jc w:val="center"/>
        </w:trPr>
        <w:tc>
          <w:tcPr>
            <w:tcW w:w="6402" w:type="dxa"/>
            <w:tcBorders>
              <w:top w:val="single" w:sz="4" w:space="0" w:color="auto"/>
              <w:bottom w:val="single" w:sz="4" w:space="0" w:color="auto"/>
            </w:tcBorders>
            <w:shd w:val="clear" w:color="000000" w:fill="8DB4E2"/>
            <w:noWrap/>
            <w:vAlign w:val="center"/>
            <w:hideMark/>
          </w:tcPr>
          <w:p w:rsidR="00D718E7" w:rsidRPr="00317FEF" w:rsidRDefault="00D718E7" w:rsidP="00D718E7">
            <w:pPr>
              <w:spacing w:after="0"/>
              <w:ind w:firstLine="0"/>
              <w:jc w:val="left"/>
              <w:rPr>
                <w:rFonts w:ascii="Arial" w:hAnsi="Arial" w:cs="Arial"/>
                <w:sz w:val="16"/>
                <w:szCs w:val="16"/>
                <w:lang w:val="es-ES" w:eastAsia="es-ES"/>
              </w:rPr>
            </w:pPr>
            <w:r>
              <w:rPr>
                <w:rFonts w:ascii="Arial" w:hAnsi="Arial" w:cs="Arial"/>
                <w:sz w:val="16"/>
                <w:szCs w:val="16"/>
                <w:lang w:val="es-ES" w:eastAsia="es-ES"/>
              </w:rPr>
              <w:t>Personal</w:t>
            </w:r>
          </w:p>
        </w:tc>
        <w:tc>
          <w:tcPr>
            <w:tcW w:w="2276" w:type="dxa"/>
            <w:tcBorders>
              <w:top w:val="single" w:sz="4" w:space="0" w:color="auto"/>
              <w:bottom w:val="single" w:sz="4" w:space="0" w:color="auto"/>
            </w:tcBorders>
            <w:shd w:val="clear" w:color="000000" w:fill="8DB4E2"/>
            <w:noWrap/>
            <w:vAlign w:val="center"/>
            <w:hideMark/>
          </w:tcPr>
          <w:p w:rsidR="00D718E7" w:rsidRPr="00317FEF" w:rsidRDefault="00D718E7" w:rsidP="00D718E7">
            <w:pPr>
              <w:spacing w:after="0"/>
              <w:ind w:firstLine="0"/>
              <w:jc w:val="right"/>
              <w:rPr>
                <w:rFonts w:ascii="Arial" w:hAnsi="Arial" w:cs="Arial"/>
                <w:sz w:val="16"/>
                <w:szCs w:val="16"/>
                <w:lang w:val="es-ES" w:eastAsia="es-ES"/>
              </w:rPr>
            </w:pPr>
            <w:r>
              <w:rPr>
                <w:rFonts w:ascii="Arial" w:hAnsi="Arial" w:cs="Arial"/>
                <w:sz w:val="16"/>
                <w:szCs w:val="16"/>
                <w:lang w:val="es-ES" w:eastAsia="es-ES"/>
              </w:rPr>
              <w:t>Importe medio  2010-2016</w:t>
            </w:r>
          </w:p>
        </w:tc>
      </w:tr>
      <w:tr w:rsidR="00D718E7" w:rsidRPr="00317FEF" w:rsidTr="008C265C">
        <w:trPr>
          <w:trHeight w:val="255"/>
          <w:jc w:val="center"/>
        </w:trPr>
        <w:tc>
          <w:tcPr>
            <w:tcW w:w="6402" w:type="dxa"/>
            <w:tcBorders>
              <w:top w:val="single" w:sz="4" w:space="0" w:color="auto"/>
              <w:bottom w:val="single" w:sz="2" w:space="0" w:color="auto"/>
            </w:tcBorders>
            <w:shd w:val="clear" w:color="auto" w:fill="auto"/>
            <w:noWrap/>
            <w:vAlign w:val="center"/>
            <w:hideMark/>
          </w:tcPr>
          <w:p w:rsidR="00D718E7" w:rsidRPr="00317FEF" w:rsidRDefault="00D718E7" w:rsidP="00D718E7">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Empleados Administración Comunidad Foral</w:t>
            </w:r>
            <w:r w:rsidR="007A3620">
              <w:rPr>
                <w:rFonts w:ascii="Arial Narrow" w:hAnsi="Arial Narrow" w:cs="Arial"/>
                <w:sz w:val="18"/>
                <w:szCs w:val="18"/>
                <w:lang w:val="es-ES" w:eastAsia="es-ES"/>
              </w:rPr>
              <w:t xml:space="preserve"> y sus Organismos Autónomos</w:t>
            </w:r>
          </w:p>
        </w:tc>
        <w:tc>
          <w:tcPr>
            <w:tcW w:w="2276" w:type="dxa"/>
            <w:tcBorders>
              <w:top w:val="single" w:sz="4" w:space="0" w:color="auto"/>
              <w:bottom w:val="single" w:sz="2" w:space="0" w:color="auto"/>
            </w:tcBorders>
            <w:shd w:val="clear" w:color="auto" w:fill="auto"/>
            <w:noWrap/>
            <w:vAlign w:val="center"/>
          </w:tcPr>
          <w:p w:rsidR="00D718E7" w:rsidRPr="00317FEF" w:rsidRDefault="00D718E7" w:rsidP="00D718E7">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23.034</w:t>
            </w:r>
          </w:p>
        </w:tc>
      </w:tr>
      <w:tr w:rsidR="00D718E7" w:rsidRPr="00317FEF" w:rsidTr="008C265C">
        <w:trPr>
          <w:trHeight w:val="255"/>
          <w:jc w:val="center"/>
        </w:trPr>
        <w:tc>
          <w:tcPr>
            <w:tcW w:w="6402" w:type="dxa"/>
            <w:tcBorders>
              <w:top w:val="single" w:sz="2" w:space="0" w:color="auto"/>
              <w:bottom w:val="single" w:sz="4" w:space="0" w:color="auto"/>
            </w:tcBorders>
            <w:shd w:val="clear" w:color="auto" w:fill="auto"/>
            <w:noWrap/>
            <w:vAlign w:val="center"/>
            <w:hideMark/>
          </w:tcPr>
          <w:p w:rsidR="00D718E7" w:rsidRPr="00317FEF" w:rsidRDefault="00D718E7" w:rsidP="00D718E7">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Empleados Sociedades  Públicas</w:t>
            </w:r>
          </w:p>
        </w:tc>
        <w:tc>
          <w:tcPr>
            <w:tcW w:w="2276" w:type="dxa"/>
            <w:tcBorders>
              <w:top w:val="single" w:sz="2" w:space="0" w:color="auto"/>
              <w:bottom w:val="single" w:sz="4" w:space="0" w:color="auto"/>
            </w:tcBorders>
            <w:shd w:val="clear" w:color="auto" w:fill="auto"/>
            <w:noWrap/>
            <w:vAlign w:val="center"/>
          </w:tcPr>
          <w:p w:rsidR="00D718E7" w:rsidRPr="00317FEF" w:rsidRDefault="00D718E7" w:rsidP="00D718E7">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1.115</w:t>
            </w:r>
          </w:p>
        </w:tc>
      </w:tr>
      <w:tr w:rsidR="00D718E7" w:rsidRPr="00BD37EA" w:rsidTr="008C265C">
        <w:trPr>
          <w:trHeight w:val="300"/>
          <w:jc w:val="center"/>
        </w:trPr>
        <w:tc>
          <w:tcPr>
            <w:tcW w:w="6402" w:type="dxa"/>
            <w:tcBorders>
              <w:top w:val="single" w:sz="4" w:space="0" w:color="auto"/>
              <w:bottom w:val="single" w:sz="4" w:space="0" w:color="auto"/>
            </w:tcBorders>
            <w:shd w:val="clear" w:color="auto" w:fill="auto"/>
            <w:noWrap/>
            <w:vAlign w:val="center"/>
          </w:tcPr>
          <w:p w:rsidR="00D718E7" w:rsidRPr="00BD37EA" w:rsidRDefault="00D718E7" w:rsidP="00D718E7">
            <w:pPr>
              <w:spacing w:after="0"/>
              <w:ind w:firstLine="0"/>
              <w:jc w:val="left"/>
              <w:rPr>
                <w:rFonts w:ascii="Arial Narrow" w:hAnsi="Arial Narrow" w:cs="Arial"/>
                <w:b/>
                <w:sz w:val="18"/>
                <w:szCs w:val="18"/>
                <w:lang w:val="es-ES" w:eastAsia="es-ES"/>
              </w:rPr>
            </w:pPr>
            <w:r w:rsidRPr="00BD37EA">
              <w:rPr>
                <w:rFonts w:ascii="Arial Narrow" w:hAnsi="Arial Narrow" w:cs="Arial"/>
                <w:b/>
                <w:sz w:val="18"/>
                <w:szCs w:val="18"/>
                <w:lang w:val="es-ES" w:eastAsia="es-ES"/>
              </w:rPr>
              <w:t>Porcentaje</w:t>
            </w:r>
          </w:p>
        </w:tc>
        <w:tc>
          <w:tcPr>
            <w:tcW w:w="2276" w:type="dxa"/>
            <w:tcBorders>
              <w:top w:val="single" w:sz="4" w:space="0" w:color="auto"/>
              <w:bottom w:val="single" w:sz="4" w:space="0" w:color="auto"/>
            </w:tcBorders>
            <w:shd w:val="clear" w:color="auto" w:fill="auto"/>
            <w:noWrap/>
            <w:vAlign w:val="center"/>
          </w:tcPr>
          <w:p w:rsidR="00D718E7" w:rsidRPr="00BD37EA" w:rsidRDefault="00A847F9" w:rsidP="00D718E7">
            <w:pPr>
              <w:spacing w:after="0"/>
              <w:ind w:firstLine="0"/>
              <w:jc w:val="right"/>
              <w:rPr>
                <w:rFonts w:ascii="Arial Narrow" w:hAnsi="Arial Narrow" w:cs="Arial"/>
                <w:b/>
                <w:sz w:val="18"/>
                <w:szCs w:val="18"/>
                <w:lang w:val="es-ES" w:eastAsia="es-ES"/>
              </w:rPr>
            </w:pPr>
            <w:r>
              <w:rPr>
                <w:rFonts w:ascii="Arial Narrow" w:hAnsi="Arial Narrow" w:cs="Arial"/>
                <w:b/>
                <w:sz w:val="18"/>
                <w:szCs w:val="18"/>
                <w:lang w:val="es-ES" w:eastAsia="es-ES"/>
              </w:rPr>
              <w:t>4,76</w:t>
            </w:r>
          </w:p>
        </w:tc>
      </w:tr>
      <w:tr w:rsidR="00D718E7" w:rsidRPr="00317FEF" w:rsidTr="008C265C">
        <w:trPr>
          <w:trHeight w:val="255"/>
          <w:jc w:val="center"/>
        </w:trPr>
        <w:tc>
          <w:tcPr>
            <w:tcW w:w="6402" w:type="dxa"/>
            <w:tcBorders>
              <w:top w:val="single" w:sz="4" w:space="0" w:color="auto"/>
              <w:bottom w:val="single" w:sz="4" w:space="0" w:color="auto"/>
            </w:tcBorders>
            <w:shd w:val="clear" w:color="auto" w:fill="auto"/>
            <w:noWrap/>
            <w:vAlign w:val="center"/>
            <w:hideMark/>
          </w:tcPr>
          <w:p w:rsidR="00D718E7" w:rsidRPr="00317FEF" w:rsidRDefault="00D718E7" w:rsidP="00D718E7">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Empleados Fundaciones  Públicas</w:t>
            </w:r>
          </w:p>
        </w:tc>
        <w:tc>
          <w:tcPr>
            <w:tcW w:w="2276" w:type="dxa"/>
            <w:tcBorders>
              <w:top w:val="single" w:sz="4" w:space="0" w:color="auto"/>
              <w:bottom w:val="single" w:sz="4" w:space="0" w:color="auto"/>
            </w:tcBorders>
            <w:shd w:val="clear" w:color="auto" w:fill="auto"/>
            <w:noWrap/>
            <w:vAlign w:val="center"/>
          </w:tcPr>
          <w:p w:rsidR="00D718E7" w:rsidRPr="00317FEF" w:rsidRDefault="00D718E7" w:rsidP="00D718E7">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35</w:t>
            </w:r>
          </w:p>
        </w:tc>
      </w:tr>
      <w:tr w:rsidR="00D718E7" w:rsidRPr="00BD37EA" w:rsidTr="008C265C">
        <w:trPr>
          <w:trHeight w:val="300"/>
          <w:jc w:val="center"/>
        </w:trPr>
        <w:tc>
          <w:tcPr>
            <w:tcW w:w="6402" w:type="dxa"/>
            <w:tcBorders>
              <w:top w:val="single" w:sz="4" w:space="0" w:color="auto"/>
              <w:bottom w:val="single" w:sz="4" w:space="0" w:color="auto"/>
            </w:tcBorders>
            <w:shd w:val="clear" w:color="auto" w:fill="auto"/>
            <w:noWrap/>
            <w:vAlign w:val="center"/>
          </w:tcPr>
          <w:p w:rsidR="00D718E7" w:rsidRPr="00BD37EA" w:rsidRDefault="00D718E7" w:rsidP="00D718E7">
            <w:pPr>
              <w:spacing w:after="0"/>
              <w:ind w:firstLine="0"/>
              <w:jc w:val="left"/>
              <w:rPr>
                <w:rFonts w:ascii="Arial Narrow" w:hAnsi="Arial Narrow" w:cs="Arial"/>
                <w:b/>
                <w:sz w:val="18"/>
                <w:szCs w:val="18"/>
                <w:lang w:val="es-ES" w:eastAsia="es-ES"/>
              </w:rPr>
            </w:pPr>
            <w:r w:rsidRPr="00BD37EA">
              <w:rPr>
                <w:rFonts w:ascii="Arial Narrow" w:hAnsi="Arial Narrow" w:cs="Arial"/>
                <w:b/>
                <w:sz w:val="18"/>
                <w:szCs w:val="18"/>
                <w:lang w:val="es-ES" w:eastAsia="es-ES"/>
              </w:rPr>
              <w:t>Porcentaje</w:t>
            </w:r>
          </w:p>
        </w:tc>
        <w:tc>
          <w:tcPr>
            <w:tcW w:w="2276" w:type="dxa"/>
            <w:tcBorders>
              <w:top w:val="single" w:sz="4" w:space="0" w:color="auto"/>
              <w:bottom w:val="single" w:sz="4" w:space="0" w:color="auto"/>
            </w:tcBorders>
            <w:shd w:val="clear" w:color="auto" w:fill="auto"/>
            <w:noWrap/>
            <w:vAlign w:val="center"/>
          </w:tcPr>
          <w:p w:rsidR="00D718E7" w:rsidRPr="00BD37EA" w:rsidRDefault="00D718E7" w:rsidP="00A847F9">
            <w:pPr>
              <w:spacing w:after="0"/>
              <w:ind w:firstLine="0"/>
              <w:jc w:val="right"/>
              <w:rPr>
                <w:rFonts w:ascii="Arial Narrow" w:hAnsi="Arial Narrow" w:cs="Arial"/>
                <w:b/>
                <w:sz w:val="18"/>
                <w:szCs w:val="18"/>
                <w:lang w:val="es-ES" w:eastAsia="es-ES"/>
              </w:rPr>
            </w:pPr>
            <w:r>
              <w:rPr>
                <w:rFonts w:ascii="Arial Narrow" w:hAnsi="Arial Narrow" w:cs="Arial"/>
                <w:b/>
                <w:sz w:val="18"/>
                <w:szCs w:val="18"/>
                <w:lang w:val="es-ES" w:eastAsia="es-ES"/>
              </w:rPr>
              <w:t>0,1</w:t>
            </w:r>
            <w:r w:rsidR="00A847F9">
              <w:rPr>
                <w:rFonts w:ascii="Arial Narrow" w:hAnsi="Arial Narrow" w:cs="Arial"/>
                <w:b/>
                <w:sz w:val="18"/>
                <w:szCs w:val="18"/>
                <w:lang w:val="es-ES" w:eastAsia="es-ES"/>
              </w:rPr>
              <w:t>6</w:t>
            </w:r>
          </w:p>
        </w:tc>
      </w:tr>
    </w:tbl>
    <w:p w:rsidR="00D718E7" w:rsidRPr="00862DAE" w:rsidRDefault="00D718E7" w:rsidP="00862DAE">
      <w:pPr>
        <w:pStyle w:val="texto"/>
        <w:spacing w:after="80"/>
        <w:rPr>
          <w:sz w:val="18"/>
          <w:szCs w:val="18"/>
        </w:rPr>
      </w:pPr>
    </w:p>
    <w:p w:rsidR="0035621C" w:rsidRPr="00862DAE" w:rsidRDefault="00862DAE" w:rsidP="00356313">
      <w:pPr>
        <w:pStyle w:val="texto"/>
        <w:spacing w:after="100"/>
        <w:jc w:val="center"/>
        <w:rPr>
          <w:rFonts w:ascii="Arial Narrow" w:hAnsi="Arial Narrow"/>
          <w:sz w:val="16"/>
          <w:szCs w:val="16"/>
        </w:rPr>
      </w:pPr>
      <w:r>
        <w:rPr>
          <w:rFonts w:ascii="Arial Narrow" w:hAnsi="Arial Narrow"/>
          <w:sz w:val="16"/>
          <w:szCs w:val="16"/>
        </w:rPr>
        <w:t xml:space="preserve">                                                                                                                                         </w:t>
      </w:r>
      <w:r w:rsidR="00356313">
        <w:rPr>
          <w:rFonts w:ascii="Arial Narrow" w:hAnsi="Arial Narrow"/>
          <w:sz w:val="16"/>
          <w:szCs w:val="16"/>
        </w:rPr>
        <w:tab/>
      </w:r>
      <w:r w:rsidR="00356313">
        <w:rPr>
          <w:rFonts w:ascii="Arial Narrow" w:hAnsi="Arial Narrow"/>
          <w:sz w:val="16"/>
          <w:szCs w:val="16"/>
        </w:rPr>
        <w:tab/>
        <w:t xml:space="preserve">                  </w:t>
      </w:r>
      <w:r>
        <w:rPr>
          <w:rFonts w:ascii="Arial Narrow" w:hAnsi="Arial Narrow"/>
          <w:sz w:val="16"/>
          <w:szCs w:val="16"/>
        </w:rPr>
        <w:t xml:space="preserve">   </w:t>
      </w:r>
      <w:r w:rsidR="00BD37EA" w:rsidRPr="00862DAE">
        <w:rPr>
          <w:rFonts w:ascii="Arial Narrow" w:hAnsi="Arial Narrow"/>
          <w:sz w:val="16"/>
          <w:szCs w:val="16"/>
        </w:rPr>
        <w:t>(en miles de euros)</w:t>
      </w:r>
    </w:p>
    <w:tbl>
      <w:tblPr>
        <w:tblW w:w="8664" w:type="dxa"/>
        <w:jc w:val="center"/>
        <w:tblCellMar>
          <w:left w:w="70" w:type="dxa"/>
          <w:right w:w="70" w:type="dxa"/>
        </w:tblCellMar>
        <w:tblLook w:val="04A0" w:firstRow="1" w:lastRow="0" w:firstColumn="1" w:lastColumn="0" w:noHBand="0" w:noVBand="1"/>
      </w:tblPr>
      <w:tblGrid>
        <w:gridCol w:w="6388"/>
        <w:gridCol w:w="2276"/>
      </w:tblGrid>
      <w:tr w:rsidR="0035621C" w:rsidRPr="00317FEF" w:rsidTr="008C265C">
        <w:trPr>
          <w:trHeight w:val="300"/>
          <w:jc w:val="center"/>
        </w:trPr>
        <w:tc>
          <w:tcPr>
            <w:tcW w:w="6388" w:type="dxa"/>
            <w:tcBorders>
              <w:top w:val="single" w:sz="4" w:space="0" w:color="auto"/>
              <w:bottom w:val="single" w:sz="4" w:space="0" w:color="auto"/>
            </w:tcBorders>
            <w:shd w:val="clear" w:color="000000" w:fill="8DB4E2"/>
            <w:noWrap/>
            <w:vAlign w:val="center"/>
            <w:hideMark/>
          </w:tcPr>
          <w:p w:rsidR="0035621C" w:rsidRPr="00317FEF" w:rsidRDefault="00D718E7" w:rsidP="0035621C">
            <w:pPr>
              <w:spacing w:after="0"/>
              <w:ind w:firstLine="0"/>
              <w:jc w:val="left"/>
              <w:rPr>
                <w:rFonts w:ascii="Arial" w:hAnsi="Arial" w:cs="Arial"/>
                <w:sz w:val="16"/>
                <w:szCs w:val="16"/>
                <w:lang w:val="es-ES" w:eastAsia="es-ES"/>
              </w:rPr>
            </w:pPr>
            <w:r>
              <w:rPr>
                <w:rFonts w:ascii="Arial" w:hAnsi="Arial" w:cs="Arial"/>
                <w:sz w:val="16"/>
                <w:szCs w:val="16"/>
                <w:lang w:val="es-ES" w:eastAsia="es-ES"/>
              </w:rPr>
              <w:t>Financiación actuaciones</w:t>
            </w:r>
          </w:p>
        </w:tc>
        <w:tc>
          <w:tcPr>
            <w:tcW w:w="2276" w:type="dxa"/>
            <w:tcBorders>
              <w:top w:val="single" w:sz="4" w:space="0" w:color="auto"/>
              <w:bottom w:val="single" w:sz="4" w:space="0" w:color="auto"/>
            </w:tcBorders>
            <w:shd w:val="clear" w:color="000000" w:fill="8DB4E2"/>
            <w:noWrap/>
            <w:vAlign w:val="center"/>
            <w:hideMark/>
          </w:tcPr>
          <w:p w:rsidR="0035621C" w:rsidRPr="00317FEF" w:rsidRDefault="0035621C" w:rsidP="0035621C">
            <w:pPr>
              <w:spacing w:after="0"/>
              <w:ind w:firstLine="0"/>
              <w:jc w:val="right"/>
              <w:rPr>
                <w:rFonts w:ascii="Arial" w:hAnsi="Arial" w:cs="Arial"/>
                <w:sz w:val="16"/>
                <w:szCs w:val="16"/>
                <w:lang w:val="es-ES" w:eastAsia="es-ES"/>
              </w:rPr>
            </w:pPr>
            <w:r>
              <w:rPr>
                <w:rFonts w:ascii="Arial" w:hAnsi="Arial" w:cs="Arial"/>
                <w:sz w:val="16"/>
                <w:szCs w:val="16"/>
                <w:lang w:val="es-ES" w:eastAsia="es-ES"/>
              </w:rPr>
              <w:t xml:space="preserve">Importe medio </w:t>
            </w:r>
            <w:r w:rsidR="00BD37EA">
              <w:rPr>
                <w:rFonts w:ascii="Arial" w:hAnsi="Arial" w:cs="Arial"/>
                <w:sz w:val="16"/>
                <w:szCs w:val="16"/>
                <w:lang w:val="es-ES" w:eastAsia="es-ES"/>
              </w:rPr>
              <w:t xml:space="preserve"> </w:t>
            </w:r>
            <w:r>
              <w:rPr>
                <w:rFonts w:ascii="Arial" w:hAnsi="Arial" w:cs="Arial"/>
                <w:sz w:val="16"/>
                <w:szCs w:val="16"/>
                <w:lang w:val="es-ES" w:eastAsia="es-ES"/>
              </w:rPr>
              <w:t>2010-2016</w:t>
            </w:r>
          </w:p>
        </w:tc>
      </w:tr>
      <w:tr w:rsidR="0035621C" w:rsidTr="008C265C">
        <w:trPr>
          <w:trHeight w:val="255"/>
          <w:jc w:val="center"/>
        </w:trPr>
        <w:tc>
          <w:tcPr>
            <w:tcW w:w="6388" w:type="dxa"/>
            <w:tcBorders>
              <w:top w:val="single" w:sz="4" w:space="0" w:color="auto"/>
              <w:bottom w:val="single" w:sz="2" w:space="0" w:color="auto"/>
            </w:tcBorders>
            <w:shd w:val="clear" w:color="auto" w:fill="auto"/>
            <w:noWrap/>
            <w:vAlign w:val="center"/>
          </w:tcPr>
          <w:p w:rsidR="0035621C" w:rsidRDefault="007A3620" w:rsidP="00410CA6">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w:t>
            </w:r>
            <w:r w:rsidR="0035621C">
              <w:rPr>
                <w:rFonts w:ascii="Arial Narrow" w:hAnsi="Arial Narrow" w:cs="Arial"/>
                <w:sz w:val="18"/>
                <w:szCs w:val="18"/>
                <w:lang w:val="es-ES" w:eastAsia="es-ES"/>
              </w:rPr>
              <w:t xml:space="preserve">artidas </w:t>
            </w:r>
            <w:r w:rsidR="00410CA6">
              <w:rPr>
                <w:rFonts w:ascii="Arial Narrow" w:hAnsi="Arial Narrow" w:cs="Arial"/>
                <w:sz w:val="18"/>
                <w:szCs w:val="18"/>
                <w:lang w:val="es-ES" w:eastAsia="es-ES"/>
              </w:rPr>
              <w:t xml:space="preserve">capítulos 2,4,6 y 7 de los  </w:t>
            </w:r>
            <w:r w:rsidR="0035621C">
              <w:rPr>
                <w:rFonts w:ascii="Arial Narrow" w:hAnsi="Arial Narrow" w:cs="Arial"/>
                <w:sz w:val="18"/>
                <w:szCs w:val="18"/>
                <w:lang w:val="es-ES" w:eastAsia="es-ES"/>
              </w:rPr>
              <w:t>Presupuestos Generales de Navarra</w:t>
            </w:r>
          </w:p>
        </w:tc>
        <w:tc>
          <w:tcPr>
            <w:tcW w:w="2276" w:type="dxa"/>
            <w:tcBorders>
              <w:top w:val="single" w:sz="4" w:space="0" w:color="auto"/>
              <w:bottom w:val="single" w:sz="2" w:space="0" w:color="auto"/>
            </w:tcBorders>
            <w:shd w:val="clear" w:color="auto" w:fill="auto"/>
            <w:noWrap/>
            <w:vAlign w:val="center"/>
          </w:tcPr>
          <w:p w:rsidR="0035621C" w:rsidRDefault="00BD37EA" w:rsidP="0035621C">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2.580.411</w:t>
            </w:r>
          </w:p>
        </w:tc>
      </w:tr>
      <w:tr w:rsidR="0035621C" w:rsidTr="008C265C">
        <w:trPr>
          <w:trHeight w:val="255"/>
          <w:jc w:val="center"/>
        </w:trPr>
        <w:tc>
          <w:tcPr>
            <w:tcW w:w="6388" w:type="dxa"/>
            <w:tcBorders>
              <w:top w:val="single" w:sz="2" w:space="0" w:color="auto"/>
              <w:bottom w:val="single" w:sz="4" w:space="0" w:color="auto"/>
            </w:tcBorders>
            <w:shd w:val="clear" w:color="auto" w:fill="auto"/>
            <w:noWrap/>
            <w:vAlign w:val="center"/>
          </w:tcPr>
          <w:p w:rsidR="0035621C" w:rsidRDefault="007A3620" w:rsidP="007A3620">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 xml:space="preserve">Ingresos </w:t>
            </w:r>
            <w:r w:rsidR="00410CA6">
              <w:rPr>
                <w:rFonts w:ascii="Arial Narrow" w:hAnsi="Arial Narrow" w:cs="Arial"/>
                <w:sz w:val="18"/>
                <w:szCs w:val="18"/>
                <w:lang w:val="es-ES" w:eastAsia="es-ES"/>
              </w:rPr>
              <w:t xml:space="preserve">de explotación </w:t>
            </w:r>
            <w:r>
              <w:rPr>
                <w:rFonts w:ascii="Arial Narrow" w:hAnsi="Arial Narrow" w:cs="Arial"/>
                <w:sz w:val="18"/>
                <w:szCs w:val="18"/>
                <w:lang w:val="es-ES" w:eastAsia="es-ES"/>
              </w:rPr>
              <w:t xml:space="preserve">y subvenciones en las </w:t>
            </w:r>
            <w:r w:rsidR="00BD37EA">
              <w:rPr>
                <w:rFonts w:ascii="Arial Narrow" w:hAnsi="Arial Narrow" w:cs="Arial"/>
                <w:sz w:val="18"/>
                <w:szCs w:val="18"/>
                <w:lang w:val="es-ES" w:eastAsia="es-ES"/>
              </w:rPr>
              <w:t>Sociedades Públicas</w:t>
            </w:r>
          </w:p>
        </w:tc>
        <w:tc>
          <w:tcPr>
            <w:tcW w:w="2276" w:type="dxa"/>
            <w:tcBorders>
              <w:top w:val="single" w:sz="2" w:space="0" w:color="auto"/>
              <w:bottom w:val="single" w:sz="4" w:space="0" w:color="auto"/>
            </w:tcBorders>
            <w:shd w:val="clear" w:color="auto" w:fill="auto"/>
            <w:noWrap/>
            <w:vAlign w:val="center"/>
          </w:tcPr>
          <w:p w:rsidR="0035621C" w:rsidRDefault="00BD37EA" w:rsidP="0035621C">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58.350</w:t>
            </w:r>
          </w:p>
        </w:tc>
      </w:tr>
      <w:tr w:rsidR="0035621C" w:rsidRPr="00BD37EA" w:rsidTr="008C265C">
        <w:trPr>
          <w:trHeight w:val="300"/>
          <w:jc w:val="center"/>
        </w:trPr>
        <w:tc>
          <w:tcPr>
            <w:tcW w:w="6388" w:type="dxa"/>
            <w:tcBorders>
              <w:top w:val="single" w:sz="4" w:space="0" w:color="auto"/>
              <w:bottom w:val="single" w:sz="4" w:space="0" w:color="auto"/>
            </w:tcBorders>
            <w:shd w:val="clear" w:color="auto" w:fill="auto"/>
            <w:noWrap/>
            <w:vAlign w:val="center"/>
          </w:tcPr>
          <w:p w:rsidR="0035621C" w:rsidRPr="00BD37EA" w:rsidRDefault="00BD37EA" w:rsidP="0035621C">
            <w:pPr>
              <w:spacing w:after="0"/>
              <w:ind w:firstLine="0"/>
              <w:jc w:val="left"/>
              <w:rPr>
                <w:rFonts w:ascii="Arial Narrow" w:hAnsi="Arial Narrow" w:cs="Arial"/>
                <w:b/>
                <w:sz w:val="18"/>
                <w:szCs w:val="18"/>
                <w:lang w:val="es-ES" w:eastAsia="es-ES"/>
              </w:rPr>
            </w:pPr>
            <w:r w:rsidRPr="00BD37EA">
              <w:rPr>
                <w:rFonts w:ascii="Arial Narrow" w:hAnsi="Arial Narrow" w:cs="Arial"/>
                <w:b/>
                <w:sz w:val="18"/>
                <w:szCs w:val="18"/>
                <w:lang w:val="es-ES" w:eastAsia="es-ES"/>
              </w:rPr>
              <w:t>Porcentaje</w:t>
            </w:r>
          </w:p>
        </w:tc>
        <w:tc>
          <w:tcPr>
            <w:tcW w:w="2276" w:type="dxa"/>
            <w:tcBorders>
              <w:top w:val="single" w:sz="4" w:space="0" w:color="auto"/>
              <w:bottom w:val="single" w:sz="4" w:space="0" w:color="auto"/>
            </w:tcBorders>
            <w:shd w:val="clear" w:color="auto" w:fill="auto"/>
            <w:noWrap/>
            <w:vAlign w:val="center"/>
          </w:tcPr>
          <w:p w:rsidR="0035621C" w:rsidRPr="00BD37EA" w:rsidRDefault="00A847F9" w:rsidP="00A847F9">
            <w:pPr>
              <w:spacing w:after="0"/>
              <w:ind w:firstLine="0"/>
              <w:jc w:val="right"/>
              <w:rPr>
                <w:rFonts w:ascii="Arial Narrow" w:hAnsi="Arial Narrow" w:cs="Arial"/>
                <w:b/>
                <w:sz w:val="18"/>
                <w:szCs w:val="18"/>
                <w:lang w:val="es-ES" w:eastAsia="es-ES"/>
              </w:rPr>
            </w:pPr>
            <w:r>
              <w:rPr>
                <w:rFonts w:ascii="Arial Narrow" w:hAnsi="Arial Narrow" w:cs="Arial"/>
                <w:b/>
                <w:sz w:val="18"/>
                <w:szCs w:val="18"/>
                <w:lang w:val="es-ES" w:eastAsia="es-ES"/>
              </w:rPr>
              <w:t>2,26</w:t>
            </w:r>
          </w:p>
        </w:tc>
      </w:tr>
      <w:tr w:rsidR="0035621C" w:rsidTr="008C265C">
        <w:trPr>
          <w:trHeight w:val="255"/>
          <w:jc w:val="center"/>
        </w:trPr>
        <w:tc>
          <w:tcPr>
            <w:tcW w:w="6388" w:type="dxa"/>
            <w:tcBorders>
              <w:top w:val="single" w:sz="4" w:space="0" w:color="auto"/>
              <w:bottom w:val="single" w:sz="2" w:space="0" w:color="auto"/>
            </w:tcBorders>
            <w:shd w:val="clear" w:color="auto" w:fill="auto"/>
            <w:noWrap/>
            <w:vAlign w:val="center"/>
          </w:tcPr>
          <w:p w:rsidR="0035621C" w:rsidRDefault="007A3620" w:rsidP="0035621C">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w:t>
            </w:r>
            <w:r w:rsidR="00BD37EA">
              <w:rPr>
                <w:rFonts w:ascii="Arial Narrow" w:hAnsi="Arial Narrow" w:cs="Arial"/>
                <w:sz w:val="18"/>
                <w:szCs w:val="18"/>
                <w:lang w:val="es-ES" w:eastAsia="es-ES"/>
              </w:rPr>
              <w:t>artidas activos financieros Presupuestos Generales de Navarra</w:t>
            </w:r>
          </w:p>
        </w:tc>
        <w:tc>
          <w:tcPr>
            <w:tcW w:w="2276" w:type="dxa"/>
            <w:tcBorders>
              <w:top w:val="single" w:sz="4" w:space="0" w:color="auto"/>
              <w:bottom w:val="single" w:sz="2" w:space="0" w:color="auto"/>
            </w:tcBorders>
            <w:shd w:val="clear" w:color="auto" w:fill="auto"/>
            <w:noWrap/>
            <w:vAlign w:val="center"/>
          </w:tcPr>
          <w:p w:rsidR="0035621C" w:rsidRDefault="00BD37EA" w:rsidP="00BD37EA">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75.230</w:t>
            </w:r>
          </w:p>
        </w:tc>
      </w:tr>
      <w:tr w:rsidR="00BD37EA" w:rsidTr="008C265C">
        <w:trPr>
          <w:trHeight w:val="255"/>
          <w:jc w:val="center"/>
        </w:trPr>
        <w:tc>
          <w:tcPr>
            <w:tcW w:w="6388" w:type="dxa"/>
            <w:tcBorders>
              <w:top w:val="single" w:sz="2" w:space="0" w:color="auto"/>
              <w:bottom w:val="single" w:sz="4" w:space="0" w:color="auto"/>
            </w:tcBorders>
            <w:shd w:val="clear" w:color="auto" w:fill="auto"/>
            <w:noWrap/>
            <w:vAlign w:val="center"/>
          </w:tcPr>
          <w:p w:rsidR="00BD37EA" w:rsidRDefault="007A3620" w:rsidP="0035621C">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 xml:space="preserve">Aportaciones capital </w:t>
            </w:r>
            <w:r w:rsidR="00BD37EA">
              <w:rPr>
                <w:rFonts w:ascii="Arial Narrow" w:hAnsi="Arial Narrow" w:cs="Arial"/>
                <w:sz w:val="18"/>
                <w:szCs w:val="18"/>
                <w:lang w:val="es-ES" w:eastAsia="es-ES"/>
              </w:rPr>
              <w:t xml:space="preserve"> Sociedades Públicas</w:t>
            </w:r>
          </w:p>
        </w:tc>
        <w:tc>
          <w:tcPr>
            <w:tcW w:w="2276" w:type="dxa"/>
            <w:tcBorders>
              <w:top w:val="single" w:sz="2" w:space="0" w:color="auto"/>
              <w:bottom w:val="single" w:sz="4" w:space="0" w:color="auto"/>
            </w:tcBorders>
            <w:shd w:val="clear" w:color="auto" w:fill="auto"/>
            <w:noWrap/>
            <w:vAlign w:val="center"/>
          </w:tcPr>
          <w:p w:rsidR="00BD37EA" w:rsidRDefault="009F380B" w:rsidP="00BD37EA">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14.588</w:t>
            </w:r>
          </w:p>
        </w:tc>
      </w:tr>
      <w:tr w:rsidR="00BD37EA" w:rsidRPr="00BD37EA" w:rsidTr="008C265C">
        <w:trPr>
          <w:trHeight w:val="300"/>
          <w:jc w:val="center"/>
        </w:trPr>
        <w:tc>
          <w:tcPr>
            <w:tcW w:w="6388" w:type="dxa"/>
            <w:tcBorders>
              <w:top w:val="single" w:sz="4" w:space="0" w:color="auto"/>
              <w:bottom w:val="single" w:sz="4" w:space="0" w:color="auto"/>
            </w:tcBorders>
            <w:shd w:val="clear" w:color="auto" w:fill="auto"/>
            <w:noWrap/>
            <w:vAlign w:val="center"/>
          </w:tcPr>
          <w:p w:rsidR="00BD37EA" w:rsidRPr="00BD37EA" w:rsidRDefault="00BD37EA" w:rsidP="0035621C">
            <w:pPr>
              <w:spacing w:after="0"/>
              <w:ind w:firstLine="0"/>
              <w:jc w:val="left"/>
              <w:rPr>
                <w:rFonts w:ascii="Arial Narrow" w:hAnsi="Arial Narrow" w:cs="Arial"/>
                <w:b/>
                <w:sz w:val="18"/>
                <w:szCs w:val="18"/>
                <w:lang w:val="es-ES" w:eastAsia="es-ES"/>
              </w:rPr>
            </w:pPr>
            <w:r w:rsidRPr="00BD37EA">
              <w:rPr>
                <w:rFonts w:ascii="Arial Narrow" w:hAnsi="Arial Narrow" w:cs="Arial"/>
                <w:b/>
                <w:sz w:val="18"/>
                <w:szCs w:val="18"/>
                <w:lang w:val="es-ES" w:eastAsia="es-ES"/>
              </w:rPr>
              <w:t>Porcentaje</w:t>
            </w:r>
          </w:p>
        </w:tc>
        <w:tc>
          <w:tcPr>
            <w:tcW w:w="2276" w:type="dxa"/>
            <w:tcBorders>
              <w:top w:val="single" w:sz="4" w:space="0" w:color="auto"/>
              <w:bottom w:val="single" w:sz="4" w:space="0" w:color="auto"/>
            </w:tcBorders>
            <w:shd w:val="clear" w:color="auto" w:fill="auto"/>
            <w:noWrap/>
            <w:vAlign w:val="center"/>
          </w:tcPr>
          <w:p w:rsidR="00BD37EA" w:rsidRPr="00BD37EA" w:rsidRDefault="00A847F9" w:rsidP="00A847F9">
            <w:pPr>
              <w:spacing w:after="0"/>
              <w:ind w:firstLine="0"/>
              <w:jc w:val="right"/>
              <w:rPr>
                <w:rFonts w:ascii="Arial Narrow" w:hAnsi="Arial Narrow" w:cs="Arial"/>
                <w:b/>
                <w:sz w:val="18"/>
                <w:szCs w:val="18"/>
                <w:lang w:val="es-ES" w:eastAsia="es-ES"/>
              </w:rPr>
            </w:pPr>
            <w:r>
              <w:rPr>
                <w:rFonts w:ascii="Arial Narrow" w:hAnsi="Arial Narrow" w:cs="Arial"/>
                <w:b/>
                <w:sz w:val="18"/>
                <w:szCs w:val="18"/>
                <w:lang w:val="es-ES" w:eastAsia="es-ES"/>
              </w:rPr>
              <w:t>19,39</w:t>
            </w:r>
          </w:p>
        </w:tc>
      </w:tr>
      <w:tr w:rsidR="00BD37EA" w:rsidTr="008C265C">
        <w:trPr>
          <w:trHeight w:val="255"/>
          <w:jc w:val="center"/>
        </w:trPr>
        <w:tc>
          <w:tcPr>
            <w:tcW w:w="6388" w:type="dxa"/>
            <w:tcBorders>
              <w:top w:val="single" w:sz="4" w:space="0" w:color="auto"/>
              <w:bottom w:val="single" w:sz="2" w:space="0" w:color="auto"/>
            </w:tcBorders>
            <w:shd w:val="clear" w:color="auto" w:fill="auto"/>
            <w:noWrap/>
            <w:vAlign w:val="center"/>
          </w:tcPr>
          <w:p w:rsidR="00BD37EA" w:rsidRDefault="007A3620" w:rsidP="00410CA6">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P</w:t>
            </w:r>
            <w:r w:rsidR="00BD37EA">
              <w:rPr>
                <w:rFonts w:ascii="Arial Narrow" w:hAnsi="Arial Narrow" w:cs="Arial"/>
                <w:sz w:val="18"/>
                <w:szCs w:val="18"/>
                <w:lang w:val="es-ES" w:eastAsia="es-ES"/>
              </w:rPr>
              <w:t xml:space="preserve">artidas </w:t>
            </w:r>
            <w:r w:rsidR="00410CA6">
              <w:rPr>
                <w:rFonts w:ascii="Arial Narrow" w:hAnsi="Arial Narrow" w:cs="Arial"/>
                <w:sz w:val="18"/>
                <w:szCs w:val="18"/>
                <w:lang w:val="es-ES" w:eastAsia="es-ES"/>
              </w:rPr>
              <w:t xml:space="preserve">capítulos 4 y 7 de los </w:t>
            </w:r>
            <w:r w:rsidR="00BD37EA">
              <w:rPr>
                <w:rFonts w:ascii="Arial Narrow" w:hAnsi="Arial Narrow" w:cs="Arial"/>
                <w:sz w:val="18"/>
                <w:szCs w:val="18"/>
                <w:lang w:val="es-ES" w:eastAsia="es-ES"/>
              </w:rPr>
              <w:t>Presupuestos Generales de Navarra</w:t>
            </w:r>
          </w:p>
        </w:tc>
        <w:tc>
          <w:tcPr>
            <w:tcW w:w="2276" w:type="dxa"/>
            <w:tcBorders>
              <w:top w:val="single" w:sz="4" w:space="0" w:color="auto"/>
              <w:bottom w:val="single" w:sz="2" w:space="0" w:color="auto"/>
            </w:tcBorders>
            <w:shd w:val="clear" w:color="auto" w:fill="auto"/>
            <w:noWrap/>
            <w:vAlign w:val="center"/>
          </w:tcPr>
          <w:p w:rsidR="00BD37EA" w:rsidRDefault="00BD37EA" w:rsidP="007C6F82">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1.487.824</w:t>
            </w:r>
          </w:p>
        </w:tc>
      </w:tr>
      <w:tr w:rsidR="00BD37EA" w:rsidTr="008C265C">
        <w:trPr>
          <w:trHeight w:val="255"/>
          <w:jc w:val="center"/>
        </w:trPr>
        <w:tc>
          <w:tcPr>
            <w:tcW w:w="6388" w:type="dxa"/>
            <w:tcBorders>
              <w:top w:val="single" w:sz="2" w:space="0" w:color="auto"/>
              <w:bottom w:val="single" w:sz="4" w:space="0" w:color="auto"/>
            </w:tcBorders>
            <w:shd w:val="clear" w:color="auto" w:fill="auto"/>
            <w:noWrap/>
            <w:vAlign w:val="center"/>
          </w:tcPr>
          <w:p w:rsidR="00BD37EA" w:rsidRDefault="007A3620" w:rsidP="007A3620">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 xml:space="preserve">Ingresos </w:t>
            </w:r>
            <w:r w:rsidR="00410CA6">
              <w:rPr>
                <w:rFonts w:ascii="Arial Narrow" w:hAnsi="Arial Narrow" w:cs="Arial"/>
                <w:sz w:val="18"/>
                <w:szCs w:val="18"/>
                <w:lang w:val="es-ES" w:eastAsia="es-ES"/>
              </w:rPr>
              <w:t xml:space="preserve">de explotación </w:t>
            </w:r>
            <w:r>
              <w:rPr>
                <w:rFonts w:ascii="Arial Narrow" w:hAnsi="Arial Narrow" w:cs="Arial"/>
                <w:sz w:val="18"/>
                <w:szCs w:val="18"/>
                <w:lang w:val="es-ES" w:eastAsia="es-ES"/>
              </w:rPr>
              <w:t xml:space="preserve">y subvenciones en las </w:t>
            </w:r>
            <w:r w:rsidR="00BD37EA">
              <w:rPr>
                <w:rFonts w:ascii="Arial Narrow" w:hAnsi="Arial Narrow" w:cs="Arial"/>
                <w:sz w:val="18"/>
                <w:szCs w:val="18"/>
                <w:lang w:val="es-ES" w:eastAsia="es-ES"/>
              </w:rPr>
              <w:t>Fundaciones Públicas</w:t>
            </w:r>
          </w:p>
        </w:tc>
        <w:tc>
          <w:tcPr>
            <w:tcW w:w="2276" w:type="dxa"/>
            <w:tcBorders>
              <w:top w:val="single" w:sz="2" w:space="0" w:color="auto"/>
              <w:bottom w:val="single" w:sz="4" w:space="0" w:color="auto"/>
            </w:tcBorders>
            <w:shd w:val="clear" w:color="auto" w:fill="auto"/>
            <w:noWrap/>
            <w:vAlign w:val="center"/>
          </w:tcPr>
          <w:p w:rsidR="00BD37EA" w:rsidRDefault="00BD37EA" w:rsidP="007C6F82">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6.748</w:t>
            </w:r>
          </w:p>
        </w:tc>
      </w:tr>
      <w:tr w:rsidR="00BD37EA" w:rsidRPr="00BD37EA" w:rsidTr="008C265C">
        <w:trPr>
          <w:trHeight w:val="300"/>
          <w:jc w:val="center"/>
        </w:trPr>
        <w:tc>
          <w:tcPr>
            <w:tcW w:w="6388" w:type="dxa"/>
            <w:tcBorders>
              <w:top w:val="single" w:sz="4" w:space="0" w:color="auto"/>
              <w:bottom w:val="single" w:sz="4" w:space="0" w:color="auto"/>
            </w:tcBorders>
            <w:shd w:val="clear" w:color="auto" w:fill="auto"/>
            <w:noWrap/>
            <w:vAlign w:val="center"/>
          </w:tcPr>
          <w:p w:rsidR="00BD37EA" w:rsidRPr="00BD37EA" w:rsidRDefault="00BD37EA" w:rsidP="007C6F82">
            <w:pPr>
              <w:spacing w:after="0"/>
              <w:ind w:firstLine="0"/>
              <w:jc w:val="left"/>
              <w:rPr>
                <w:rFonts w:ascii="Arial Narrow" w:hAnsi="Arial Narrow" w:cs="Arial"/>
                <w:b/>
                <w:sz w:val="18"/>
                <w:szCs w:val="18"/>
                <w:lang w:val="es-ES" w:eastAsia="es-ES"/>
              </w:rPr>
            </w:pPr>
            <w:r w:rsidRPr="00BD37EA">
              <w:rPr>
                <w:rFonts w:ascii="Arial Narrow" w:hAnsi="Arial Narrow" w:cs="Arial"/>
                <w:b/>
                <w:sz w:val="18"/>
                <w:szCs w:val="18"/>
                <w:lang w:val="es-ES" w:eastAsia="es-ES"/>
              </w:rPr>
              <w:t>Porcentaje</w:t>
            </w:r>
          </w:p>
        </w:tc>
        <w:tc>
          <w:tcPr>
            <w:tcW w:w="2276" w:type="dxa"/>
            <w:tcBorders>
              <w:top w:val="single" w:sz="4" w:space="0" w:color="auto"/>
              <w:bottom w:val="single" w:sz="4" w:space="0" w:color="auto"/>
            </w:tcBorders>
            <w:shd w:val="clear" w:color="auto" w:fill="auto"/>
            <w:noWrap/>
            <w:vAlign w:val="center"/>
          </w:tcPr>
          <w:p w:rsidR="00BD37EA" w:rsidRPr="00BD37EA" w:rsidRDefault="00BD37EA" w:rsidP="007C6F82">
            <w:pPr>
              <w:spacing w:after="0"/>
              <w:ind w:firstLine="0"/>
              <w:jc w:val="right"/>
              <w:rPr>
                <w:rFonts w:ascii="Arial Narrow" w:hAnsi="Arial Narrow" w:cs="Arial"/>
                <w:b/>
                <w:sz w:val="18"/>
                <w:szCs w:val="18"/>
                <w:lang w:val="es-ES" w:eastAsia="es-ES"/>
              </w:rPr>
            </w:pPr>
            <w:r w:rsidRPr="00BD37EA">
              <w:rPr>
                <w:rFonts w:ascii="Arial Narrow" w:hAnsi="Arial Narrow" w:cs="Arial"/>
                <w:b/>
                <w:sz w:val="18"/>
                <w:szCs w:val="18"/>
                <w:lang w:val="es-ES" w:eastAsia="es-ES"/>
              </w:rPr>
              <w:t>0,45</w:t>
            </w:r>
          </w:p>
        </w:tc>
      </w:tr>
    </w:tbl>
    <w:p w:rsidR="00B71398" w:rsidRDefault="00B117B9" w:rsidP="00862DAE">
      <w:pPr>
        <w:pStyle w:val="texto"/>
        <w:spacing w:before="260"/>
      </w:pPr>
      <w:r>
        <w:t>L</w:t>
      </w:r>
      <w:r w:rsidR="00D718E7">
        <w:t xml:space="preserve">a </w:t>
      </w:r>
      <w:r w:rsidR="007C6F82">
        <w:t>estructura en personal</w:t>
      </w:r>
      <w:r w:rsidR="00B71398">
        <w:t xml:space="preserve"> y financiera de las sociedades y fundaciones p</w:t>
      </w:r>
      <w:r w:rsidR="00B71398">
        <w:t>ú</w:t>
      </w:r>
      <w:r w:rsidR="00B71398">
        <w:t>blicas</w:t>
      </w:r>
      <w:r w:rsidR="00607F5E">
        <w:t>,</w:t>
      </w:r>
      <w:r w:rsidR="00B71398">
        <w:t xml:space="preserve"> </w:t>
      </w:r>
      <w:r>
        <w:t xml:space="preserve">según los datos reflejados, </w:t>
      </w:r>
      <w:r w:rsidR="00B71398">
        <w:t xml:space="preserve">tienen una incidencia poco significativa en </w:t>
      </w:r>
      <w:r w:rsidR="00BD37EA">
        <w:t xml:space="preserve">relación con el conjunto de </w:t>
      </w:r>
      <w:r w:rsidR="00B71398">
        <w:t>magnitudes de</w:t>
      </w:r>
      <w:r w:rsidR="00BD37EA">
        <w:t>l</w:t>
      </w:r>
      <w:r w:rsidR="00B71398">
        <w:t xml:space="preserve"> personal y presupuestarias de la Administración d</w:t>
      </w:r>
      <w:r w:rsidR="007A3620">
        <w:t xml:space="preserve">e la Comunidad Foral </w:t>
      </w:r>
      <w:r w:rsidR="001E6D42">
        <w:t>y sus Organismos Autónomos.</w:t>
      </w:r>
    </w:p>
    <w:p w:rsidR="00AB4A69" w:rsidRPr="00727CA3" w:rsidRDefault="00AB4A69" w:rsidP="00AB4A69">
      <w:pPr>
        <w:pStyle w:val="atitulo2"/>
        <w:spacing w:before="240"/>
      </w:pPr>
      <w:bookmarkStart w:id="10" w:name="_Toc527376671"/>
      <w:r>
        <w:t xml:space="preserve">II.2. Planes de reordenación del </w:t>
      </w:r>
      <w:r w:rsidR="00237B81">
        <w:t>sector público</w:t>
      </w:r>
      <w:bookmarkEnd w:id="10"/>
      <w:r>
        <w:t xml:space="preserve"> </w:t>
      </w:r>
      <w:bookmarkEnd w:id="9"/>
    </w:p>
    <w:p w:rsidR="00AB4A69" w:rsidRPr="00AD7F66" w:rsidRDefault="00AB4A69" w:rsidP="00AB4A69">
      <w:pPr>
        <w:pStyle w:val="atitulo3"/>
        <w:spacing w:before="240"/>
        <w:rPr>
          <w:rFonts w:cs="Arial"/>
        </w:rPr>
      </w:pPr>
      <w:bookmarkStart w:id="11" w:name="_Toc521909261"/>
      <w:r>
        <w:rPr>
          <w:rFonts w:cs="Arial"/>
        </w:rPr>
        <w:t>II</w:t>
      </w:r>
      <w:r w:rsidRPr="00AD7F66">
        <w:rPr>
          <w:rFonts w:cs="Arial"/>
        </w:rPr>
        <w:t>.2.1. Acuerdos Marco de reordenación del sector público</w:t>
      </w:r>
      <w:bookmarkEnd w:id="11"/>
      <w:r w:rsidR="00B71398">
        <w:rPr>
          <w:rFonts w:cs="Arial"/>
        </w:rPr>
        <w:t xml:space="preserve"> </w:t>
      </w:r>
    </w:p>
    <w:p w:rsidR="00AB4A69" w:rsidRDefault="00AB4A69" w:rsidP="00AB4A69">
      <w:pPr>
        <w:pStyle w:val="texto"/>
        <w:rPr>
          <w:lang w:val="es-ES"/>
        </w:rPr>
      </w:pPr>
      <w:r w:rsidRPr="00E74521">
        <w:rPr>
          <w:lang w:val="es-ES"/>
        </w:rPr>
        <w:t>Las circunstancias económicas de los últimos años como consecuencia de la gra</w:t>
      </w:r>
      <w:r>
        <w:rPr>
          <w:lang w:val="es-ES"/>
        </w:rPr>
        <w:t>ve crisis económica</w:t>
      </w:r>
      <w:r w:rsidRPr="00E74521">
        <w:rPr>
          <w:lang w:val="es-ES"/>
        </w:rPr>
        <w:t>, supuso el inicio de sucesivas reformas en el ámbi</w:t>
      </w:r>
      <w:r>
        <w:rPr>
          <w:lang w:val="es-ES"/>
        </w:rPr>
        <w:t>to del sector p</w:t>
      </w:r>
      <w:r w:rsidRPr="00E74521">
        <w:rPr>
          <w:lang w:val="es-ES"/>
        </w:rPr>
        <w:t>úblico con el objetivo principal del sostenimiento de las finanzas p</w:t>
      </w:r>
      <w:r w:rsidRPr="00E74521">
        <w:rPr>
          <w:lang w:val="es-ES"/>
        </w:rPr>
        <w:t>ú</w:t>
      </w:r>
      <w:r w:rsidRPr="00E74521">
        <w:rPr>
          <w:lang w:val="es-ES"/>
        </w:rPr>
        <w:t>blicas, a</w:t>
      </w:r>
      <w:r>
        <w:rPr>
          <w:lang w:val="es-ES"/>
        </w:rPr>
        <w:t xml:space="preserve">fectando </w:t>
      </w:r>
      <w:r w:rsidRPr="00E74521">
        <w:rPr>
          <w:lang w:val="es-ES"/>
        </w:rPr>
        <w:t>entre otros extremos, al dimensionamiento de las estructuras en</w:t>
      </w:r>
      <w:r w:rsidR="007A3620">
        <w:rPr>
          <w:lang w:val="es-ES"/>
        </w:rPr>
        <w:t xml:space="preserve"> las distintas administraciones públicas.</w:t>
      </w:r>
    </w:p>
    <w:p w:rsidR="00AB4A69" w:rsidRPr="00E74521" w:rsidRDefault="00AB4A69" w:rsidP="00AB4A69">
      <w:pPr>
        <w:pStyle w:val="texto"/>
        <w:rPr>
          <w:lang w:val="es-ES"/>
        </w:rPr>
      </w:pPr>
      <w:r w:rsidRPr="00E74521">
        <w:rPr>
          <w:lang w:val="es-ES"/>
        </w:rPr>
        <w:t>A tal efecto, el Consejo de Pol</w:t>
      </w:r>
      <w:r>
        <w:rPr>
          <w:lang w:val="es-ES"/>
        </w:rPr>
        <w:t>ítica Fiscal y Financiera</w:t>
      </w:r>
      <w:r w:rsidRPr="00E74521">
        <w:rPr>
          <w:lang w:val="es-ES"/>
        </w:rPr>
        <w:t xml:space="preserve"> aprobó, entre otras medidas, dos acuerdos marco con las siguientes características:</w:t>
      </w:r>
    </w:p>
    <w:p w:rsidR="00AB4A69" w:rsidRPr="00CE48F6"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Pr>
          <w:rFonts w:cs="Arial"/>
        </w:rPr>
        <w:t xml:space="preserve">El Acuerdo </w:t>
      </w:r>
      <w:r w:rsidR="00814827">
        <w:rPr>
          <w:rFonts w:cs="Arial"/>
        </w:rPr>
        <w:t xml:space="preserve">Marco </w:t>
      </w:r>
      <w:r>
        <w:rPr>
          <w:rFonts w:cs="Arial"/>
        </w:rPr>
        <w:t>1/</w:t>
      </w:r>
      <w:r w:rsidRPr="00CE48F6">
        <w:rPr>
          <w:rFonts w:cs="Arial"/>
        </w:rPr>
        <w:t>2</w:t>
      </w:r>
      <w:r>
        <w:rPr>
          <w:rFonts w:cs="Arial"/>
        </w:rPr>
        <w:t>0</w:t>
      </w:r>
      <w:r w:rsidRPr="00CE48F6">
        <w:rPr>
          <w:rFonts w:cs="Arial"/>
        </w:rPr>
        <w:t>10, de 22 de marzo, con las Comunidades Aut</w:t>
      </w:r>
      <w:r w:rsidRPr="00CE48F6">
        <w:rPr>
          <w:rFonts w:cs="Arial"/>
        </w:rPr>
        <w:t>ó</w:t>
      </w:r>
      <w:r w:rsidRPr="00CE48F6">
        <w:rPr>
          <w:rFonts w:cs="Arial"/>
        </w:rPr>
        <w:t xml:space="preserve">nomas y Ciudades con Estatuto de Autonomía sobre la sostenibilidad de las </w:t>
      </w:r>
      <w:r w:rsidRPr="00CE48F6">
        <w:rPr>
          <w:rFonts w:cs="Arial"/>
        </w:rPr>
        <w:lastRenderedPageBreak/>
        <w:t xml:space="preserve">finanzas públicas 2010-2013. Este acuerdo establece, entre otros compromisos, </w:t>
      </w:r>
      <w:r w:rsidR="009C4213">
        <w:rPr>
          <w:rFonts w:cs="Arial"/>
        </w:rPr>
        <w:t xml:space="preserve">la </w:t>
      </w:r>
      <w:r w:rsidRPr="00CE48F6">
        <w:rPr>
          <w:rFonts w:cs="Arial"/>
        </w:rPr>
        <w:t>aproba</w:t>
      </w:r>
      <w:r w:rsidR="009C4213">
        <w:rPr>
          <w:rFonts w:cs="Arial"/>
        </w:rPr>
        <w:t xml:space="preserve">ción de planes </w:t>
      </w:r>
      <w:r w:rsidRPr="00CE48F6">
        <w:rPr>
          <w:rFonts w:cs="Arial"/>
        </w:rPr>
        <w:t xml:space="preserve">de racionalización </w:t>
      </w:r>
      <w:r w:rsidR="009C4213">
        <w:rPr>
          <w:rFonts w:cs="Arial"/>
        </w:rPr>
        <w:t xml:space="preserve">autonómicos sobre </w:t>
      </w:r>
      <w:r w:rsidRPr="00CE48F6">
        <w:rPr>
          <w:rFonts w:cs="Arial"/>
        </w:rPr>
        <w:t xml:space="preserve">las estructuras de sus respectivos sectores públicos, con el objetivo de mejorar la eficiencia y reducir el gasto público determinando como fecha inicial de referencia el 1 de julio de 2010. </w:t>
      </w:r>
    </w:p>
    <w:p w:rsidR="00AB4A69" w:rsidRDefault="00AB4A69" w:rsidP="00AB4A69">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80"/>
        <w:ind w:left="0" w:firstLine="289"/>
        <w:rPr>
          <w:rFonts w:cs="Arial"/>
        </w:rPr>
      </w:pPr>
      <w:r w:rsidRPr="00CE48F6">
        <w:rPr>
          <w:rFonts w:cs="Arial"/>
        </w:rPr>
        <w:t xml:space="preserve">El Acuerdo </w:t>
      </w:r>
      <w:r w:rsidR="009C4213">
        <w:rPr>
          <w:rFonts w:cs="Arial"/>
        </w:rPr>
        <w:t xml:space="preserve">Marco </w:t>
      </w:r>
      <w:r w:rsidRPr="00CE48F6">
        <w:rPr>
          <w:rFonts w:cs="Arial"/>
        </w:rPr>
        <w:t>5/2012, de 17 de enero, por el que se hace balance de las reestructuraciones a 1 de julio de 2011 y establece unos nuevos comprom</w:t>
      </w:r>
      <w:r w:rsidRPr="00CE48F6">
        <w:rPr>
          <w:rFonts w:cs="Arial"/>
        </w:rPr>
        <w:t>i</w:t>
      </w:r>
      <w:r w:rsidRPr="00CE48F6">
        <w:rPr>
          <w:rFonts w:cs="Arial"/>
        </w:rPr>
        <w:t>sos en la reordenación de los sectores públicos autonómicos. También se acuerda la constitución</w:t>
      </w:r>
      <w:r>
        <w:rPr>
          <w:rFonts w:cs="Arial"/>
        </w:rPr>
        <w:t xml:space="preserve"> en el Ministerio de Hacienda y Función Pública</w:t>
      </w:r>
      <w:r w:rsidRPr="00CE48F6">
        <w:rPr>
          <w:rFonts w:cs="Arial"/>
        </w:rPr>
        <w:t xml:space="preserve"> </w:t>
      </w:r>
      <w:r>
        <w:rPr>
          <w:rFonts w:cs="Arial"/>
        </w:rPr>
        <w:t xml:space="preserve">(en adelante MINHAFP) </w:t>
      </w:r>
      <w:r w:rsidRPr="00CE48F6">
        <w:rPr>
          <w:rFonts w:cs="Arial"/>
        </w:rPr>
        <w:t xml:space="preserve">de un Inventario de </w:t>
      </w:r>
      <w:r>
        <w:rPr>
          <w:rFonts w:cs="Arial"/>
        </w:rPr>
        <w:t>E</w:t>
      </w:r>
      <w:r w:rsidRPr="00CE48F6">
        <w:rPr>
          <w:rFonts w:cs="Arial"/>
        </w:rPr>
        <w:t xml:space="preserve">ntes </w:t>
      </w:r>
      <w:r>
        <w:rPr>
          <w:rFonts w:cs="Arial"/>
        </w:rPr>
        <w:t>Dependientes de las Comun</w:t>
      </w:r>
      <w:r>
        <w:rPr>
          <w:rFonts w:cs="Arial"/>
        </w:rPr>
        <w:t>i</w:t>
      </w:r>
      <w:r>
        <w:rPr>
          <w:rFonts w:cs="Arial"/>
        </w:rPr>
        <w:t xml:space="preserve">dades Autónomas </w:t>
      </w:r>
      <w:r w:rsidRPr="00CE48F6">
        <w:rPr>
          <w:rFonts w:cs="Arial"/>
        </w:rPr>
        <w:t xml:space="preserve">a partir de la información </w:t>
      </w:r>
      <w:r>
        <w:rPr>
          <w:rFonts w:cs="Arial"/>
        </w:rPr>
        <w:t xml:space="preserve">autonómica </w:t>
      </w:r>
      <w:r w:rsidRPr="00CE48F6">
        <w:rPr>
          <w:rFonts w:cs="Arial"/>
        </w:rPr>
        <w:t>suministrada</w:t>
      </w:r>
      <w:r>
        <w:rPr>
          <w:rFonts w:cs="Arial"/>
        </w:rPr>
        <w:t>,</w:t>
      </w:r>
      <w:r w:rsidRPr="00CE48F6">
        <w:rPr>
          <w:rFonts w:cs="Arial"/>
        </w:rPr>
        <w:t xml:space="preserve"> que d</w:t>
      </w:r>
      <w:r w:rsidRPr="00CE48F6">
        <w:rPr>
          <w:rFonts w:cs="Arial"/>
        </w:rPr>
        <w:t>e</w:t>
      </w:r>
      <w:r w:rsidRPr="00CE48F6">
        <w:rPr>
          <w:rFonts w:cs="Arial"/>
        </w:rPr>
        <w:t>berá remitirse junto a un plan de medidas para la reordenación y de los efectos</w:t>
      </w:r>
      <w:r>
        <w:rPr>
          <w:rFonts w:cs="Arial"/>
        </w:rPr>
        <w:t xml:space="preserve"> esperados en el citado proceso.</w:t>
      </w:r>
    </w:p>
    <w:p w:rsidR="00AB4A69" w:rsidRDefault="00AB4A69" w:rsidP="00AB4A69">
      <w:pPr>
        <w:pStyle w:val="texto"/>
        <w:spacing w:after="120"/>
      </w:pPr>
      <w:r>
        <w:t xml:space="preserve">Desde la Administración de la Comunidad Foral se </w:t>
      </w:r>
      <w:r w:rsidRPr="00573615">
        <w:t xml:space="preserve">ha suministrado </w:t>
      </w:r>
      <w:r>
        <w:t xml:space="preserve">al MINHAFP la información prevista en los citados acuerdos, </w:t>
      </w:r>
      <w:r w:rsidRPr="00573615">
        <w:t xml:space="preserve">cumpliendo de esta forma los compromisos asumidos.  </w:t>
      </w:r>
    </w:p>
    <w:p w:rsidR="00AB4A69" w:rsidRDefault="00410CA6" w:rsidP="00AB4A69">
      <w:pPr>
        <w:pStyle w:val="texto"/>
        <w:spacing w:after="120"/>
        <w:rPr>
          <w:lang w:val="es-ES"/>
        </w:rPr>
      </w:pPr>
      <w:r>
        <w:t>L</w:t>
      </w:r>
      <w:r w:rsidR="00AB4A69">
        <w:t>a información de entidades existentes y su evolución, consecuencia de pl</w:t>
      </w:r>
      <w:r w:rsidR="00AB4A69">
        <w:t>a</w:t>
      </w:r>
      <w:r w:rsidR="00AB4A69">
        <w:t xml:space="preserve">nes de reordenación que figura en el citado </w:t>
      </w:r>
      <w:r w:rsidR="00AB4A69">
        <w:rPr>
          <w:lang w:val="es-ES"/>
        </w:rPr>
        <w:t>Inventario, se realiza de conform</w:t>
      </w:r>
      <w:r w:rsidR="00AB4A69">
        <w:rPr>
          <w:lang w:val="es-ES"/>
        </w:rPr>
        <w:t>i</w:t>
      </w:r>
      <w:r w:rsidR="00AB4A69">
        <w:rPr>
          <w:lang w:val="es-ES"/>
        </w:rPr>
        <w:t xml:space="preserve">dad con los criterios previstos en la </w:t>
      </w:r>
      <w:r w:rsidR="00AB4A69" w:rsidRPr="00E74521">
        <w:rPr>
          <w:lang w:val="es-ES"/>
        </w:rPr>
        <w:t>Orden HAP/2105/2012</w:t>
      </w:r>
      <w:r w:rsidR="00AB4A69">
        <w:rPr>
          <w:rStyle w:val="Refdenotaalpie"/>
          <w:lang w:val="es-ES"/>
        </w:rPr>
        <w:footnoteReference w:id="4"/>
      </w:r>
      <w:r w:rsidR="00AB4A69">
        <w:rPr>
          <w:lang w:val="es-ES"/>
        </w:rPr>
        <w:t>; criterios no coi</w:t>
      </w:r>
      <w:r w:rsidR="00AB4A69">
        <w:rPr>
          <w:lang w:val="es-ES"/>
        </w:rPr>
        <w:t>n</w:t>
      </w:r>
      <w:r w:rsidR="00AB4A69">
        <w:rPr>
          <w:lang w:val="es-ES"/>
        </w:rPr>
        <w:t>cidentes con el alcance subjetivo de nuestra fiscalización y que supone una r</w:t>
      </w:r>
      <w:r w:rsidR="00AB4A69">
        <w:rPr>
          <w:lang w:val="es-ES"/>
        </w:rPr>
        <w:t>e</w:t>
      </w:r>
      <w:r w:rsidR="00AB4A69">
        <w:rPr>
          <w:lang w:val="es-ES"/>
        </w:rPr>
        <w:t xml:space="preserve">lación de entes </w:t>
      </w:r>
      <w:r w:rsidR="00814827">
        <w:rPr>
          <w:lang w:val="es-ES"/>
        </w:rPr>
        <w:t xml:space="preserve">diferente </w:t>
      </w:r>
      <w:r w:rsidR="00AB4A69">
        <w:rPr>
          <w:lang w:val="es-ES"/>
        </w:rPr>
        <w:t xml:space="preserve">que los contemplados en nuestro informe. </w:t>
      </w:r>
    </w:p>
    <w:p w:rsidR="00AB4A69" w:rsidRPr="00AD7F66" w:rsidRDefault="00AB4A69" w:rsidP="00AB4A69">
      <w:pPr>
        <w:pStyle w:val="atitulo3"/>
        <w:spacing w:before="240"/>
        <w:rPr>
          <w:rFonts w:cs="Arial"/>
        </w:rPr>
      </w:pPr>
      <w:bookmarkStart w:id="12" w:name="_Toc521909262"/>
      <w:r w:rsidRPr="00AD7F66">
        <w:rPr>
          <w:rFonts w:cs="Arial"/>
        </w:rPr>
        <w:t>I</w:t>
      </w:r>
      <w:r>
        <w:rPr>
          <w:rFonts w:cs="Arial"/>
        </w:rPr>
        <w:t>I</w:t>
      </w:r>
      <w:r w:rsidRPr="00AD7F66">
        <w:rPr>
          <w:rFonts w:cs="Arial"/>
        </w:rPr>
        <w:t xml:space="preserve">.2.2. Análisis de los Planes de Reordenación </w:t>
      </w:r>
      <w:r w:rsidR="00410CA6">
        <w:rPr>
          <w:rFonts w:cs="Arial"/>
        </w:rPr>
        <w:t xml:space="preserve">en el </w:t>
      </w:r>
      <w:r w:rsidR="00D22D3C">
        <w:rPr>
          <w:rFonts w:cs="Arial"/>
        </w:rPr>
        <w:t xml:space="preserve">sector público </w:t>
      </w:r>
      <w:r w:rsidR="00D22D3C" w:rsidRPr="00AD7F66">
        <w:rPr>
          <w:rFonts w:cs="Arial"/>
        </w:rPr>
        <w:t xml:space="preserve">foral </w:t>
      </w:r>
      <w:r w:rsidRPr="00AD7F66">
        <w:rPr>
          <w:rFonts w:cs="Arial"/>
        </w:rPr>
        <w:t>de Navarra</w:t>
      </w:r>
      <w:bookmarkEnd w:id="12"/>
    </w:p>
    <w:p w:rsidR="00AB4A69" w:rsidRPr="000E1E9C" w:rsidRDefault="00AB4A69" w:rsidP="00AB4A69">
      <w:pPr>
        <w:pStyle w:val="texto"/>
        <w:spacing w:after="300"/>
        <w:rPr>
          <w:spacing w:val="2"/>
          <w:lang w:val="es-ES"/>
        </w:rPr>
      </w:pPr>
      <w:r w:rsidRPr="000E1E9C">
        <w:rPr>
          <w:spacing w:val="2"/>
          <w:lang w:val="es-ES"/>
        </w:rPr>
        <w:t>E</w:t>
      </w:r>
      <w:r>
        <w:rPr>
          <w:spacing w:val="2"/>
          <w:lang w:val="es-ES"/>
        </w:rPr>
        <w:t>l conjunto de medidas adoptadas y que fo</w:t>
      </w:r>
      <w:r w:rsidRPr="000E1E9C">
        <w:rPr>
          <w:spacing w:val="2"/>
          <w:lang w:val="es-ES"/>
        </w:rPr>
        <w:t>rman parte de la información sum</w:t>
      </w:r>
      <w:r w:rsidRPr="000E1E9C">
        <w:rPr>
          <w:spacing w:val="2"/>
          <w:lang w:val="es-ES"/>
        </w:rPr>
        <w:t>i</w:t>
      </w:r>
      <w:r w:rsidRPr="000E1E9C">
        <w:rPr>
          <w:spacing w:val="2"/>
          <w:lang w:val="es-ES"/>
        </w:rPr>
        <w:t>nistrada al M</w:t>
      </w:r>
      <w:r>
        <w:rPr>
          <w:spacing w:val="2"/>
          <w:lang w:val="es-ES"/>
        </w:rPr>
        <w:t xml:space="preserve">INHAFP </w:t>
      </w:r>
      <w:r w:rsidR="007A3620" w:rsidRPr="000E1E9C">
        <w:rPr>
          <w:spacing w:val="2"/>
          <w:lang w:val="es-ES"/>
        </w:rPr>
        <w:t>se desarrolla a continua</w:t>
      </w:r>
      <w:r w:rsidR="007A3620">
        <w:rPr>
          <w:spacing w:val="2"/>
          <w:lang w:val="es-ES"/>
        </w:rPr>
        <w:t>ción.</w:t>
      </w:r>
    </w:p>
    <w:p w:rsidR="00AB4A69" w:rsidRPr="00F751D9" w:rsidRDefault="00AB4A69" w:rsidP="00AB4A69">
      <w:pPr>
        <w:pStyle w:val="atitulo3"/>
        <w:spacing w:before="300" w:after="200"/>
        <w:rPr>
          <w:i w:val="0"/>
          <w:sz w:val="24"/>
          <w:szCs w:val="24"/>
        </w:rPr>
      </w:pPr>
      <w:r w:rsidRPr="00F751D9">
        <w:rPr>
          <w:i w:val="0"/>
          <w:sz w:val="24"/>
          <w:szCs w:val="24"/>
        </w:rPr>
        <w:t xml:space="preserve">Sector </w:t>
      </w:r>
      <w:r w:rsidR="00237B81" w:rsidRPr="00F751D9">
        <w:rPr>
          <w:i w:val="0"/>
          <w:sz w:val="24"/>
          <w:szCs w:val="24"/>
        </w:rPr>
        <w:t xml:space="preserve">público </w:t>
      </w:r>
      <w:r w:rsidR="00B20E58" w:rsidRPr="00F751D9">
        <w:rPr>
          <w:i w:val="0"/>
          <w:sz w:val="24"/>
          <w:szCs w:val="24"/>
        </w:rPr>
        <w:t xml:space="preserve">administrativo </w:t>
      </w:r>
    </w:p>
    <w:p w:rsidR="00814827" w:rsidRDefault="00814827" w:rsidP="009C627D">
      <w:pPr>
        <w:pStyle w:val="texto"/>
        <w:spacing w:after="240"/>
      </w:pPr>
      <w:r>
        <w:t xml:space="preserve">La evolución se refleja en el siguiente cuadro: </w:t>
      </w:r>
    </w:p>
    <w:tbl>
      <w:tblPr>
        <w:tblW w:w="8635"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476"/>
        <w:gridCol w:w="737"/>
        <w:gridCol w:w="737"/>
        <w:gridCol w:w="737"/>
        <w:gridCol w:w="737"/>
        <w:gridCol w:w="737"/>
        <w:gridCol w:w="737"/>
        <w:gridCol w:w="737"/>
      </w:tblGrid>
      <w:tr w:rsidR="00B63E7F" w:rsidRPr="00F751D9" w:rsidTr="008D1C82">
        <w:trPr>
          <w:trHeight w:val="300"/>
          <w:jc w:val="center"/>
        </w:trPr>
        <w:tc>
          <w:tcPr>
            <w:tcW w:w="3476" w:type="dxa"/>
            <w:shd w:val="clear" w:color="auto" w:fill="8DB3E2" w:themeFill="text2" w:themeFillTint="66"/>
            <w:noWrap/>
            <w:vAlign w:val="center"/>
            <w:hideMark/>
          </w:tcPr>
          <w:p w:rsidR="00B63E7F" w:rsidRPr="00F751D9" w:rsidRDefault="00563DBA" w:rsidP="00563DBA">
            <w:pPr>
              <w:pStyle w:val="cuadroCabe"/>
              <w:jc w:val="left"/>
              <w:rPr>
                <w:rFonts w:cs="Arial"/>
                <w:szCs w:val="18"/>
              </w:rPr>
            </w:pPr>
            <w:r>
              <w:rPr>
                <w:rFonts w:cs="Arial"/>
                <w:szCs w:val="18"/>
              </w:rPr>
              <w:t xml:space="preserve">Entes </w:t>
            </w:r>
            <w:r w:rsidR="00B63E7F" w:rsidRPr="00F751D9">
              <w:rPr>
                <w:rFonts w:cs="Arial"/>
                <w:szCs w:val="18"/>
              </w:rPr>
              <w:t>Púb</w:t>
            </w:r>
            <w:r>
              <w:rPr>
                <w:rFonts w:cs="Arial"/>
                <w:szCs w:val="18"/>
              </w:rPr>
              <w:t>lico</w:t>
            </w:r>
            <w:r w:rsidR="00B63E7F" w:rsidRPr="00F751D9">
              <w:rPr>
                <w:rFonts w:cs="Arial"/>
                <w:szCs w:val="18"/>
              </w:rPr>
              <w:t>s</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 2010</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2011</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2012</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2013</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2014</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2015</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2016</w:t>
            </w:r>
          </w:p>
        </w:tc>
      </w:tr>
      <w:tr w:rsidR="00B63E7F" w:rsidRPr="00F751D9" w:rsidTr="008D1C82">
        <w:trPr>
          <w:trHeight w:val="255"/>
          <w:jc w:val="center"/>
        </w:trPr>
        <w:tc>
          <w:tcPr>
            <w:tcW w:w="3476" w:type="dxa"/>
            <w:shd w:val="clear" w:color="auto" w:fill="auto"/>
            <w:noWrap/>
            <w:vAlign w:val="center"/>
            <w:hideMark/>
          </w:tcPr>
          <w:p w:rsidR="00B63E7F" w:rsidRPr="00F751D9" w:rsidRDefault="00B63E7F" w:rsidP="00B63E7F">
            <w:pPr>
              <w:pStyle w:val="cuatexto"/>
              <w:jc w:val="left"/>
              <w:rPr>
                <w:szCs w:val="20"/>
              </w:rPr>
            </w:pPr>
            <w:r w:rsidRPr="00F751D9">
              <w:rPr>
                <w:szCs w:val="20"/>
              </w:rPr>
              <w:t xml:space="preserve">Total </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2</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c>
          <w:tcPr>
            <w:tcW w:w="737" w:type="dxa"/>
            <w:shd w:val="clear" w:color="auto" w:fill="auto"/>
            <w:noWrap/>
            <w:vAlign w:val="center"/>
            <w:hideMark/>
          </w:tcPr>
          <w:p w:rsidR="00B63E7F" w:rsidRPr="00F751D9" w:rsidRDefault="00B63E7F" w:rsidP="00B63E7F">
            <w:pPr>
              <w:pStyle w:val="cuatexto"/>
              <w:jc w:val="right"/>
              <w:rPr>
                <w:szCs w:val="20"/>
              </w:rPr>
            </w:pPr>
            <w:r>
              <w:rPr>
                <w:szCs w:val="20"/>
              </w:rPr>
              <w:t>1</w:t>
            </w:r>
          </w:p>
        </w:tc>
      </w:tr>
      <w:tr w:rsidR="00B63E7F" w:rsidRPr="00651C65" w:rsidTr="008D1C82">
        <w:trPr>
          <w:trHeight w:hRule="exact" w:val="170"/>
          <w:jc w:val="center"/>
        </w:trPr>
        <w:tc>
          <w:tcPr>
            <w:tcW w:w="3476" w:type="dxa"/>
            <w:shd w:val="clear" w:color="auto" w:fill="auto"/>
            <w:noWrap/>
            <w:vAlign w:val="center"/>
            <w:hideMark/>
          </w:tcPr>
          <w:p w:rsidR="00B63E7F" w:rsidRPr="00651C65" w:rsidRDefault="00B63E7F" w:rsidP="00B63E7F">
            <w:pPr>
              <w:spacing w:after="0"/>
              <w:ind w:firstLine="0"/>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c>
          <w:tcPr>
            <w:tcW w:w="737" w:type="dxa"/>
            <w:shd w:val="clear" w:color="auto" w:fill="auto"/>
            <w:noWrap/>
            <w:vAlign w:val="center"/>
            <w:hideMark/>
          </w:tcPr>
          <w:p w:rsidR="00B63E7F" w:rsidRPr="00651C65" w:rsidRDefault="00B63E7F" w:rsidP="00B63E7F">
            <w:pPr>
              <w:spacing w:after="0"/>
              <w:ind w:firstLine="0"/>
              <w:jc w:val="right"/>
              <w:rPr>
                <w:rFonts w:asciiTheme="minorHAnsi" w:hAnsiTheme="minorHAnsi"/>
                <w:color w:val="000000"/>
                <w:lang w:val="es-ES" w:eastAsia="es-ES"/>
              </w:rPr>
            </w:pPr>
          </w:p>
        </w:tc>
      </w:tr>
      <w:tr w:rsidR="00B63E7F" w:rsidRPr="00F751D9" w:rsidTr="008D1C82">
        <w:trPr>
          <w:trHeight w:val="312"/>
          <w:jc w:val="center"/>
        </w:trPr>
        <w:tc>
          <w:tcPr>
            <w:tcW w:w="3476" w:type="dxa"/>
            <w:shd w:val="clear" w:color="auto" w:fill="8DB3E2" w:themeFill="text2" w:themeFillTint="66"/>
            <w:noWrap/>
            <w:vAlign w:val="center"/>
            <w:hideMark/>
          </w:tcPr>
          <w:p w:rsidR="00B63E7F" w:rsidRPr="00F751D9" w:rsidRDefault="00B63E7F" w:rsidP="00B63E7F">
            <w:pPr>
              <w:pStyle w:val="cuadroCabe"/>
              <w:jc w:val="left"/>
              <w:rPr>
                <w:rFonts w:cs="Arial"/>
                <w:szCs w:val="18"/>
              </w:rPr>
            </w:pPr>
            <w:r w:rsidRPr="00F751D9">
              <w:rPr>
                <w:rFonts w:cs="Arial"/>
                <w:szCs w:val="18"/>
              </w:rPr>
              <w:t>Organismos Autónomos</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2010</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2011</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2012</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2013</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2014</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2015</w:t>
            </w:r>
          </w:p>
        </w:tc>
        <w:tc>
          <w:tcPr>
            <w:tcW w:w="737" w:type="dxa"/>
            <w:shd w:val="clear" w:color="auto" w:fill="8DB3E2" w:themeFill="text2" w:themeFillTint="66"/>
            <w:noWrap/>
            <w:vAlign w:val="center"/>
            <w:hideMark/>
          </w:tcPr>
          <w:p w:rsidR="00B63E7F" w:rsidRPr="00F751D9" w:rsidRDefault="00B63E7F" w:rsidP="00B63E7F">
            <w:pPr>
              <w:pStyle w:val="cuadroCabe"/>
              <w:jc w:val="right"/>
              <w:rPr>
                <w:rFonts w:cs="Arial"/>
                <w:szCs w:val="18"/>
              </w:rPr>
            </w:pPr>
            <w:r w:rsidRPr="00F751D9">
              <w:rPr>
                <w:rFonts w:cs="Arial"/>
                <w:szCs w:val="18"/>
              </w:rPr>
              <w:t>2016</w:t>
            </w:r>
          </w:p>
        </w:tc>
      </w:tr>
      <w:tr w:rsidR="00B63E7F" w:rsidRPr="00F751D9" w:rsidTr="008D1C82">
        <w:trPr>
          <w:trHeight w:val="255"/>
          <w:jc w:val="center"/>
        </w:trPr>
        <w:tc>
          <w:tcPr>
            <w:tcW w:w="3476" w:type="dxa"/>
            <w:shd w:val="clear" w:color="auto" w:fill="auto"/>
            <w:noWrap/>
            <w:vAlign w:val="center"/>
            <w:hideMark/>
          </w:tcPr>
          <w:p w:rsidR="00B63E7F" w:rsidRPr="00F751D9" w:rsidRDefault="00B63E7F" w:rsidP="00B63E7F">
            <w:pPr>
              <w:pStyle w:val="cuatexto"/>
              <w:jc w:val="left"/>
              <w:rPr>
                <w:szCs w:val="20"/>
              </w:rPr>
            </w:pPr>
            <w:r w:rsidRPr="00F751D9">
              <w:rPr>
                <w:szCs w:val="20"/>
              </w:rPr>
              <w:t>Total</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12</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11</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9</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9</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9</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8</w:t>
            </w:r>
          </w:p>
        </w:tc>
        <w:tc>
          <w:tcPr>
            <w:tcW w:w="737" w:type="dxa"/>
            <w:shd w:val="clear" w:color="auto" w:fill="auto"/>
            <w:noWrap/>
            <w:vAlign w:val="center"/>
            <w:hideMark/>
          </w:tcPr>
          <w:p w:rsidR="00B63E7F" w:rsidRPr="00F751D9" w:rsidRDefault="00B63E7F" w:rsidP="00B63E7F">
            <w:pPr>
              <w:pStyle w:val="cuatexto"/>
              <w:jc w:val="right"/>
              <w:rPr>
                <w:szCs w:val="20"/>
              </w:rPr>
            </w:pPr>
            <w:r w:rsidRPr="00F751D9">
              <w:rPr>
                <w:szCs w:val="20"/>
              </w:rPr>
              <w:t>8</w:t>
            </w:r>
          </w:p>
        </w:tc>
      </w:tr>
    </w:tbl>
    <w:p w:rsidR="009C4213" w:rsidRDefault="009C4213" w:rsidP="00D91B88">
      <w:pPr>
        <w:pStyle w:val="texto"/>
        <w:spacing w:before="240"/>
        <w:rPr>
          <w:spacing w:val="4"/>
          <w:lang w:val="es-ES"/>
        </w:rPr>
      </w:pPr>
      <w:r w:rsidRPr="000340C9">
        <w:rPr>
          <w:spacing w:val="0"/>
          <w:lang w:val="es-ES"/>
        </w:rPr>
        <w:t>En el Anexo 2 f</w:t>
      </w:r>
      <w:r w:rsidR="00B117B9">
        <w:rPr>
          <w:spacing w:val="0"/>
          <w:lang w:val="es-ES"/>
        </w:rPr>
        <w:t xml:space="preserve">igura el detalle de los distintos entes </w:t>
      </w:r>
      <w:r w:rsidR="00563DBA">
        <w:rPr>
          <w:spacing w:val="0"/>
          <w:lang w:val="es-ES"/>
        </w:rPr>
        <w:t xml:space="preserve">y </w:t>
      </w:r>
      <w:r>
        <w:rPr>
          <w:spacing w:val="0"/>
          <w:lang w:val="es-ES"/>
        </w:rPr>
        <w:t>organismos</w:t>
      </w:r>
      <w:r w:rsidR="00563DBA">
        <w:rPr>
          <w:spacing w:val="0"/>
          <w:lang w:val="es-ES"/>
        </w:rPr>
        <w:t xml:space="preserve"> autónomos.</w:t>
      </w:r>
    </w:p>
    <w:p w:rsidR="00A52177" w:rsidRDefault="00A52177" w:rsidP="00D91B88">
      <w:pPr>
        <w:pStyle w:val="texto"/>
        <w:spacing w:after="260"/>
      </w:pPr>
    </w:p>
    <w:p w:rsidR="00B63E7F" w:rsidRDefault="00B63E7F" w:rsidP="00D91B88">
      <w:pPr>
        <w:pStyle w:val="texto"/>
        <w:spacing w:after="260"/>
      </w:pPr>
      <w:r>
        <w:lastRenderedPageBreak/>
        <w:t>La reordenación se ha llevado a cabo de acuerdo a l</w:t>
      </w:r>
      <w:r w:rsidR="009C4213">
        <w:t xml:space="preserve">a </w:t>
      </w:r>
      <w:r>
        <w:t>siguiente</w:t>
      </w:r>
      <w:r w:rsidR="009C4213">
        <w:t xml:space="preserve"> información</w:t>
      </w:r>
      <w:r>
        <w:t>:</w:t>
      </w:r>
    </w:p>
    <w:tbl>
      <w:tblPr>
        <w:tblW w:w="8669" w:type="dxa"/>
        <w:jc w:val="center"/>
        <w:tblLayout w:type="fixed"/>
        <w:tblCellMar>
          <w:left w:w="70" w:type="dxa"/>
          <w:right w:w="70" w:type="dxa"/>
        </w:tblCellMar>
        <w:tblLook w:val="04A0" w:firstRow="1" w:lastRow="0" w:firstColumn="1" w:lastColumn="0" w:noHBand="0" w:noVBand="1"/>
      </w:tblPr>
      <w:tblGrid>
        <w:gridCol w:w="2473"/>
        <w:gridCol w:w="1207"/>
        <w:gridCol w:w="851"/>
        <w:gridCol w:w="1381"/>
        <w:gridCol w:w="2757"/>
      </w:tblGrid>
      <w:tr w:rsidR="00B63E7F" w:rsidRPr="00D17755" w:rsidTr="00B63E7F">
        <w:trPr>
          <w:trHeight w:val="340"/>
          <w:jc w:val="center"/>
        </w:trPr>
        <w:tc>
          <w:tcPr>
            <w:tcW w:w="2473" w:type="dxa"/>
            <w:tcBorders>
              <w:top w:val="single" w:sz="4" w:space="0" w:color="auto"/>
              <w:left w:val="nil"/>
              <w:bottom w:val="single" w:sz="4" w:space="0" w:color="auto"/>
              <w:right w:val="nil"/>
            </w:tcBorders>
            <w:shd w:val="clear" w:color="auto" w:fill="8DB3E2" w:themeFill="text2" w:themeFillTint="66"/>
            <w:noWrap/>
            <w:vAlign w:val="center"/>
            <w:hideMark/>
          </w:tcPr>
          <w:p w:rsidR="00B63E7F" w:rsidRPr="00D17755" w:rsidRDefault="00B63E7F" w:rsidP="00B63E7F">
            <w:pPr>
              <w:pStyle w:val="cuadroCabe"/>
              <w:jc w:val="left"/>
              <w:rPr>
                <w:sz w:val="15"/>
                <w:szCs w:val="15"/>
              </w:rPr>
            </w:pPr>
            <w:r w:rsidRPr="00D17755">
              <w:rPr>
                <w:sz w:val="15"/>
                <w:szCs w:val="15"/>
              </w:rPr>
              <w:t>Entidad</w:t>
            </w:r>
            <w:r w:rsidR="007C6F82">
              <w:rPr>
                <w:sz w:val="15"/>
                <w:szCs w:val="15"/>
              </w:rPr>
              <w:t xml:space="preserve"> suprimida</w:t>
            </w:r>
          </w:p>
        </w:tc>
        <w:tc>
          <w:tcPr>
            <w:tcW w:w="1207" w:type="dxa"/>
            <w:tcBorders>
              <w:top w:val="single" w:sz="4" w:space="0" w:color="auto"/>
              <w:left w:val="nil"/>
              <w:bottom w:val="single" w:sz="4" w:space="0" w:color="auto"/>
              <w:right w:val="nil"/>
            </w:tcBorders>
            <w:shd w:val="clear" w:color="auto" w:fill="8DB3E2" w:themeFill="text2" w:themeFillTint="66"/>
            <w:noWrap/>
            <w:vAlign w:val="center"/>
            <w:hideMark/>
          </w:tcPr>
          <w:p w:rsidR="00B63E7F" w:rsidRPr="00D17755" w:rsidRDefault="00B63E7F" w:rsidP="00B63E7F">
            <w:pPr>
              <w:pStyle w:val="cuadroCabe"/>
              <w:jc w:val="center"/>
              <w:rPr>
                <w:sz w:val="15"/>
                <w:szCs w:val="15"/>
              </w:rPr>
            </w:pPr>
            <w:r w:rsidRPr="00D17755">
              <w:rPr>
                <w:sz w:val="15"/>
                <w:szCs w:val="15"/>
              </w:rPr>
              <w:t>Forma de reordenación</w:t>
            </w:r>
          </w:p>
        </w:tc>
        <w:tc>
          <w:tcPr>
            <w:tcW w:w="851" w:type="dxa"/>
            <w:tcBorders>
              <w:top w:val="single" w:sz="4" w:space="0" w:color="auto"/>
              <w:left w:val="nil"/>
              <w:bottom w:val="single" w:sz="4" w:space="0" w:color="auto"/>
              <w:right w:val="nil"/>
            </w:tcBorders>
            <w:shd w:val="clear" w:color="auto" w:fill="8DB3E2" w:themeFill="text2" w:themeFillTint="66"/>
            <w:vAlign w:val="center"/>
            <w:hideMark/>
          </w:tcPr>
          <w:p w:rsidR="00B63E7F" w:rsidRPr="00D17755" w:rsidRDefault="00B63E7F" w:rsidP="00B63E7F">
            <w:pPr>
              <w:pStyle w:val="cuadroCabe"/>
              <w:jc w:val="center"/>
              <w:rPr>
                <w:sz w:val="15"/>
                <w:szCs w:val="15"/>
              </w:rPr>
            </w:pPr>
            <w:r w:rsidRPr="00D17755">
              <w:rPr>
                <w:sz w:val="15"/>
                <w:szCs w:val="15"/>
              </w:rPr>
              <w:t>Ejercicio</w:t>
            </w:r>
          </w:p>
        </w:tc>
        <w:tc>
          <w:tcPr>
            <w:tcW w:w="1381" w:type="dxa"/>
            <w:tcBorders>
              <w:top w:val="single" w:sz="4" w:space="0" w:color="auto"/>
              <w:left w:val="nil"/>
              <w:bottom w:val="single" w:sz="4" w:space="0" w:color="auto"/>
              <w:right w:val="nil"/>
            </w:tcBorders>
            <w:shd w:val="clear" w:color="auto" w:fill="8DB3E2" w:themeFill="text2" w:themeFillTint="66"/>
            <w:noWrap/>
            <w:vAlign w:val="center"/>
            <w:hideMark/>
          </w:tcPr>
          <w:p w:rsidR="00B63E7F" w:rsidRPr="00D17755" w:rsidRDefault="00B63E7F" w:rsidP="00B63E7F">
            <w:pPr>
              <w:pStyle w:val="cuadroCabe"/>
              <w:jc w:val="center"/>
              <w:rPr>
                <w:sz w:val="15"/>
                <w:szCs w:val="15"/>
              </w:rPr>
            </w:pPr>
            <w:r w:rsidRPr="00D17755">
              <w:rPr>
                <w:sz w:val="15"/>
                <w:szCs w:val="15"/>
              </w:rPr>
              <w:t>Disposición</w:t>
            </w:r>
            <w:r>
              <w:rPr>
                <w:sz w:val="15"/>
                <w:szCs w:val="15"/>
              </w:rPr>
              <w:t xml:space="preserve"> normativa</w:t>
            </w:r>
          </w:p>
        </w:tc>
        <w:tc>
          <w:tcPr>
            <w:tcW w:w="2757" w:type="dxa"/>
            <w:tcBorders>
              <w:top w:val="single" w:sz="4" w:space="0" w:color="auto"/>
              <w:left w:val="nil"/>
              <w:bottom w:val="single" w:sz="4" w:space="0" w:color="auto"/>
              <w:right w:val="nil"/>
            </w:tcBorders>
            <w:shd w:val="clear" w:color="auto" w:fill="8DB3E2" w:themeFill="text2" w:themeFillTint="66"/>
            <w:noWrap/>
            <w:vAlign w:val="center"/>
            <w:hideMark/>
          </w:tcPr>
          <w:p w:rsidR="00B63E7F" w:rsidRPr="00D17755" w:rsidRDefault="00B63E7F" w:rsidP="00B63E7F">
            <w:pPr>
              <w:pStyle w:val="cuadroCabe"/>
              <w:jc w:val="center"/>
              <w:rPr>
                <w:sz w:val="15"/>
                <w:szCs w:val="15"/>
              </w:rPr>
            </w:pPr>
            <w:r w:rsidRPr="00D17755">
              <w:rPr>
                <w:sz w:val="15"/>
                <w:szCs w:val="15"/>
              </w:rPr>
              <w:t xml:space="preserve">Entidad que asume </w:t>
            </w:r>
            <w:r>
              <w:rPr>
                <w:sz w:val="15"/>
                <w:szCs w:val="15"/>
              </w:rPr>
              <w:t>la continuidad en las funciones</w:t>
            </w:r>
          </w:p>
        </w:tc>
      </w:tr>
      <w:tr w:rsidR="00B63E7F" w:rsidRPr="00D17755" w:rsidTr="00983A8B">
        <w:trPr>
          <w:trHeight w:val="284"/>
          <w:jc w:val="center"/>
        </w:trPr>
        <w:tc>
          <w:tcPr>
            <w:tcW w:w="2473" w:type="dxa"/>
            <w:tcBorders>
              <w:top w:val="single" w:sz="4" w:space="0" w:color="auto"/>
              <w:left w:val="nil"/>
              <w:bottom w:val="single" w:sz="4" w:space="0" w:color="auto"/>
              <w:right w:val="nil"/>
            </w:tcBorders>
            <w:shd w:val="clear" w:color="auto" w:fill="auto"/>
            <w:noWrap/>
            <w:vAlign w:val="center"/>
          </w:tcPr>
          <w:p w:rsidR="00B63E7F" w:rsidRPr="00D17755" w:rsidRDefault="00B63E7F" w:rsidP="00563DBA">
            <w:pPr>
              <w:spacing w:after="0"/>
              <w:ind w:firstLine="0"/>
              <w:jc w:val="left"/>
              <w:rPr>
                <w:rFonts w:ascii="Arial" w:hAnsi="Arial"/>
                <w:b/>
                <w:spacing w:val="6"/>
                <w:sz w:val="15"/>
                <w:szCs w:val="15"/>
              </w:rPr>
            </w:pPr>
            <w:r w:rsidRPr="00D17755">
              <w:rPr>
                <w:rFonts w:ascii="Arial" w:hAnsi="Arial"/>
                <w:b/>
                <w:spacing w:val="6"/>
                <w:sz w:val="15"/>
                <w:szCs w:val="15"/>
              </w:rPr>
              <w:t>Ent</w:t>
            </w:r>
            <w:r w:rsidR="00563DBA">
              <w:rPr>
                <w:rFonts w:ascii="Arial" w:hAnsi="Arial"/>
                <w:b/>
                <w:spacing w:val="6"/>
                <w:sz w:val="15"/>
                <w:szCs w:val="15"/>
              </w:rPr>
              <w:t>es Público</w:t>
            </w:r>
            <w:r w:rsidRPr="00D17755">
              <w:rPr>
                <w:rFonts w:ascii="Arial" w:hAnsi="Arial"/>
                <w:b/>
                <w:spacing w:val="6"/>
                <w:sz w:val="15"/>
                <w:szCs w:val="15"/>
              </w:rPr>
              <w:t>s</w:t>
            </w:r>
          </w:p>
        </w:tc>
        <w:tc>
          <w:tcPr>
            <w:tcW w:w="1207"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center"/>
              <w:rPr>
                <w:rFonts w:ascii="Arial" w:hAnsi="Arial"/>
                <w:b/>
                <w:spacing w:val="6"/>
                <w:sz w:val="15"/>
                <w:szCs w:val="15"/>
              </w:rPr>
            </w:pPr>
          </w:p>
        </w:tc>
        <w:tc>
          <w:tcPr>
            <w:tcW w:w="851" w:type="dxa"/>
            <w:tcBorders>
              <w:top w:val="single" w:sz="4" w:space="0" w:color="auto"/>
              <w:left w:val="nil"/>
              <w:bottom w:val="single" w:sz="4" w:space="0" w:color="auto"/>
              <w:right w:val="nil"/>
            </w:tcBorders>
            <w:shd w:val="clear" w:color="auto" w:fill="auto"/>
            <w:vAlign w:val="center"/>
          </w:tcPr>
          <w:p w:rsidR="00B63E7F" w:rsidRPr="00D17755" w:rsidRDefault="00B63E7F" w:rsidP="00B63E7F">
            <w:pPr>
              <w:spacing w:after="0"/>
              <w:ind w:firstLine="0"/>
              <w:jc w:val="center"/>
              <w:rPr>
                <w:rFonts w:ascii="Arial" w:hAnsi="Arial"/>
                <w:b/>
                <w:spacing w:val="6"/>
                <w:sz w:val="15"/>
                <w:szCs w:val="15"/>
              </w:rPr>
            </w:pPr>
          </w:p>
        </w:tc>
        <w:tc>
          <w:tcPr>
            <w:tcW w:w="1381"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center"/>
              <w:rPr>
                <w:rFonts w:ascii="Arial" w:hAnsi="Arial"/>
                <w:b/>
                <w:spacing w:val="6"/>
                <w:sz w:val="15"/>
                <w:szCs w:val="15"/>
              </w:rPr>
            </w:pPr>
          </w:p>
        </w:tc>
        <w:tc>
          <w:tcPr>
            <w:tcW w:w="2757"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left"/>
              <w:rPr>
                <w:rFonts w:ascii="Arial" w:hAnsi="Arial"/>
                <w:b/>
                <w:spacing w:val="6"/>
                <w:sz w:val="15"/>
                <w:szCs w:val="15"/>
              </w:rPr>
            </w:pPr>
          </w:p>
        </w:tc>
      </w:tr>
      <w:tr w:rsidR="00B63E7F" w:rsidRPr="00D17755" w:rsidTr="00983A8B">
        <w:trPr>
          <w:trHeight w:val="284"/>
          <w:jc w:val="center"/>
        </w:trPr>
        <w:tc>
          <w:tcPr>
            <w:tcW w:w="2473"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left"/>
              <w:rPr>
                <w:rFonts w:ascii="Arial" w:hAnsi="Arial"/>
                <w:b/>
                <w:spacing w:val="6"/>
                <w:sz w:val="15"/>
                <w:szCs w:val="15"/>
              </w:rPr>
            </w:pPr>
            <w:r w:rsidRPr="00786731">
              <w:rPr>
                <w:rFonts w:ascii="Arial Narrow" w:hAnsi="Arial Narrow"/>
                <w:color w:val="000000"/>
                <w:sz w:val="16"/>
                <w:szCs w:val="16"/>
                <w:lang w:val="es-ES" w:eastAsia="es-ES"/>
              </w:rPr>
              <w:t>Consejo Audiovisual de Navarra</w:t>
            </w:r>
          </w:p>
        </w:tc>
        <w:tc>
          <w:tcPr>
            <w:tcW w:w="1207"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center"/>
              <w:rPr>
                <w:rFonts w:ascii="Arial" w:hAnsi="Arial"/>
                <w:b/>
                <w:spacing w:val="6"/>
                <w:sz w:val="15"/>
                <w:szCs w:val="15"/>
              </w:rPr>
            </w:pPr>
            <w:r w:rsidRPr="00786731">
              <w:rPr>
                <w:rFonts w:ascii="Arial Narrow" w:hAnsi="Arial Narrow"/>
                <w:color w:val="000000"/>
                <w:sz w:val="16"/>
                <w:szCs w:val="16"/>
                <w:lang w:val="es-ES" w:eastAsia="es-ES"/>
              </w:rPr>
              <w:t>Extinción</w:t>
            </w:r>
          </w:p>
        </w:tc>
        <w:tc>
          <w:tcPr>
            <w:tcW w:w="851" w:type="dxa"/>
            <w:tcBorders>
              <w:top w:val="single" w:sz="4" w:space="0" w:color="auto"/>
              <w:left w:val="nil"/>
              <w:bottom w:val="single" w:sz="4" w:space="0" w:color="auto"/>
              <w:right w:val="nil"/>
            </w:tcBorders>
            <w:shd w:val="clear" w:color="auto" w:fill="auto"/>
            <w:vAlign w:val="center"/>
          </w:tcPr>
          <w:p w:rsidR="00B63E7F" w:rsidRPr="00D17755" w:rsidRDefault="00B63E7F" w:rsidP="00B63E7F">
            <w:pPr>
              <w:spacing w:after="0"/>
              <w:ind w:firstLine="0"/>
              <w:jc w:val="center"/>
              <w:rPr>
                <w:rFonts w:ascii="Arial" w:hAnsi="Arial"/>
                <w:b/>
                <w:spacing w:val="6"/>
                <w:sz w:val="15"/>
                <w:szCs w:val="15"/>
              </w:rPr>
            </w:pPr>
            <w:r w:rsidRPr="00786731">
              <w:rPr>
                <w:rFonts w:ascii="Arial Narrow" w:hAnsi="Arial Narrow"/>
                <w:color w:val="000000"/>
                <w:sz w:val="16"/>
                <w:szCs w:val="16"/>
                <w:lang w:val="es-ES" w:eastAsia="es-ES"/>
              </w:rPr>
              <w:t>2011</w:t>
            </w:r>
          </w:p>
        </w:tc>
        <w:tc>
          <w:tcPr>
            <w:tcW w:w="1381" w:type="dxa"/>
            <w:tcBorders>
              <w:top w:val="single" w:sz="4" w:space="0" w:color="auto"/>
              <w:left w:val="nil"/>
              <w:bottom w:val="single" w:sz="4" w:space="0" w:color="auto"/>
              <w:right w:val="nil"/>
            </w:tcBorders>
            <w:shd w:val="clear" w:color="auto" w:fill="auto"/>
            <w:noWrap/>
            <w:vAlign w:val="center"/>
          </w:tcPr>
          <w:p w:rsidR="00B63E7F" w:rsidRPr="00D17755" w:rsidRDefault="00B63E7F" w:rsidP="00B63E7F">
            <w:pPr>
              <w:spacing w:after="0"/>
              <w:ind w:firstLine="0"/>
              <w:jc w:val="center"/>
              <w:rPr>
                <w:rFonts w:ascii="Arial" w:hAnsi="Arial"/>
                <w:b/>
                <w:spacing w:val="6"/>
                <w:sz w:val="15"/>
                <w:szCs w:val="15"/>
              </w:rPr>
            </w:pPr>
            <w:r w:rsidRPr="00786731">
              <w:rPr>
                <w:rFonts w:ascii="Arial Narrow" w:hAnsi="Arial Narrow"/>
                <w:color w:val="000000"/>
                <w:sz w:val="16"/>
                <w:szCs w:val="16"/>
                <w:lang w:val="es-ES" w:eastAsia="es-ES"/>
              </w:rPr>
              <w:t>Ley Foral 15/2011</w:t>
            </w:r>
          </w:p>
        </w:tc>
        <w:tc>
          <w:tcPr>
            <w:tcW w:w="2757" w:type="dxa"/>
            <w:tcBorders>
              <w:top w:val="single" w:sz="4" w:space="0" w:color="auto"/>
              <w:left w:val="nil"/>
              <w:bottom w:val="single" w:sz="4" w:space="0" w:color="auto"/>
              <w:right w:val="nil"/>
            </w:tcBorders>
            <w:shd w:val="clear" w:color="auto" w:fill="auto"/>
            <w:noWrap/>
            <w:vAlign w:val="center"/>
          </w:tcPr>
          <w:p w:rsidR="00B63E7F" w:rsidRPr="00786731" w:rsidRDefault="00B63E7F" w:rsidP="00B63E7F">
            <w:pPr>
              <w:spacing w:after="0"/>
              <w:ind w:firstLine="0"/>
              <w:jc w:val="left"/>
              <w:rPr>
                <w:rFonts w:ascii="Arial Narrow" w:hAnsi="Arial Narrow"/>
                <w:color w:val="000000"/>
                <w:sz w:val="16"/>
                <w:szCs w:val="16"/>
                <w:lang w:val="es-ES" w:eastAsia="es-ES"/>
              </w:rPr>
            </w:pPr>
            <w:r w:rsidRPr="004C08B5">
              <w:rPr>
                <w:rFonts w:ascii="Arial Narrow" w:hAnsi="Arial Narrow"/>
                <w:color w:val="000000"/>
                <w:sz w:val="16"/>
                <w:szCs w:val="16"/>
                <w:lang w:val="es-ES" w:eastAsia="es-ES"/>
              </w:rPr>
              <w:t>Departamento de Cultura, Turismo y Rel</w:t>
            </w:r>
            <w:r w:rsidRPr="004C08B5">
              <w:rPr>
                <w:rFonts w:ascii="Arial Narrow" w:hAnsi="Arial Narrow"/>
                <w:color w:val="000000"/>
                <w:sz w:val="16"/>
                <w:szCs w:val="16"/>
                <w:lang w:val="es-ES" w:eastAsia="es-ES"/>
              </w:rPr>
              <w:t>a</w:t>
            </w:r>
            <w:r w:rsidRPr="004C08B5">
              <w:rPr>
                <w:rFonts w:ascii="Arial Narrow" w:hAnsi="Arial Narrow"/>
                <w:color w:val="000000"/>
                <w:sz w:val="16"/>
                <w:szCs w:val="16"/>
                <w:lang w:val="es-ES" w:eastAsia="es-ES"/>
              </w:rPr>
              <w:t>ción Institucionales</w:t>
            </w:r>
            <w:r>
              <w:rPr>
                <w:rStyle w:val="Refdenotaalpie"/>
                <w:rFonts w:ascii="Arial Narrow" w:hAnsi="Arial Narrow"/>
                <w:color w:val="000000"/>
                <w:sz w:val="16"/>
                <w:szCs w:val="16"/>
                <w:lang w:val="es-ES" w:eastAsia="es-ES"/>
              </w:rPr>
              <w:footnoteReference w:id="5"/>
            </w:r>
          </w:p>
        </w:tc>
      </w:tr>
      <w:tr w:rsidR="00B63E7F" w:rsidRPr="00D17755" w:rsidTr="00983A8B">
        <w:trPr>
          <w:trHeight w:val="284"/>
          <w:jc w:val="center"/>
        </w:trPr>
        <w:tc>
          <w:tcPr>
            <w:tcW w:w="2473" w:type="dxa"/>
            <w:tcBorders>
              <w:top w:val="single" w:sz="4" w:space="0" w:color="auto"/>
              <w:left w:val="nil"/>
              <w:bottom w:val="single" w:sz="4" w:space="0" w:color="auto"/>
              <w:right w:val="nil"/>
            </w:tcBorders>
            <w:shd w:val="clear" w:color="auto" w:fill="auto"/>
            <w:noWrap/>
            <w:vAlign w:val="center"/>
            <w:hideMark/>
          </w:tcPr>
          <w:p w:rsidR="00B63E7F" w:rsidRPr="00D17755" w:rsidRDefault="00B63E7F" w:rsidP="00B63E7F">
            <w:pPr>
              <w:spacing w:after="0"/>
              <w:ind w:firstLine="0"/>
              <w:jc w:val="left"/>
              <w:rPr>
                <w:rFonts w:ascii="Arial" w:hAnsi="Arial"/>
                <w:b/>
                <w:spacing w:val="6"/>
                <w:sz w:val="15"/>
                <w:szCs w:val="15"/>
              </w:rPr>
            </w:pPr>
            <w:r w:rsidRPr="00D17755">
              <w:rPr>
                <w:rFonts w:ascii="Arial" w:hAnsi="Arial"/>
                <w:b/>
                <w:spacing w:val="6"/>
                <w:sz w:val="15"/>
                <w:szCs w:val="15"/>
              </w:rPr>
              <w:t>Organismos Autónomos</w:t>
            </w:r>
          </w:p>
        </w:tc>
        <w:tc>
          <w:tcPr>
            <w:tcW w:w="1207" w:type="dxa"/>
            <w:tcBorders>
              <w:top w:val="single" w:sz="4" w:space="0" w:color="auto"/>
              <w:left w:val="nil"/>
              <w:bottom w:val="single" w:sz="4" w:space="0" w:color="auto"/>
              <w:right w:val="nil"/>
            </w:tcBorders>
            <w:shd w:val="clear" w:color="auto" w:fill="auto"/>
            <w:noWrap/>
            <w:vAlign w:val="center"/>
            <w:hideMark/>
          </w:tcPr>
          <w:p w:rsidR="00B63E7F" w:rsidRPr="00D17755" w:rsidRDefault="00B63E7F" w:rsidP="00B63E7F">
            <w:pPr>
              <w:spacing w:after="0"/>
              <w:ind w:firstLine="0"/>
              <w:jc w:val="center"/>
              <w:rPr>
                <w:rFonts w:ascii="Arial" w:hAnsi="Arial"/>
                <w:b/>
                <w:spacing w:val="6"/>
                <w:sz w:val="15"/>
                <w:szCs w:val="15"/>
              </w:rPr>
            </w:pPr>
          </w:p>
        </w:tc>
        <w:tc>
          <w:tcPr>
            <w:tcW w:w="851" w:type="dxa"/>
            <w:tcBorders>
              <w:top w:val="single" w:sz="4" w:space="0" w:color="auto"/>
              <w:left w:val="nil"/>
              <w:bottom w:val="single" w:sz="4" w:space="0" w:color="auto"/>
              <w:right w:val="nil"/>
            </w:tcBorders>
            <w:shd w:val="clear" w:color="auto" w:fill="auto"/>
            <w:vAlign w:val="center"/>
            <w:hideMark/>
          </w:tcPr>
          <w:p w:rsidR="00B63E7F" w:rsidRPr="00D17755" w:rsidRDefault="00B63E7F" w:rsidP="00B63E7F">
            <w:pPr>
              <w:spacing w:after="0"/>
              <w:ind w:firstLine="0"/>
              <w:jc w:val="center"/>
              <w:rPr>
                <w:rFonts w:ascii="Arial" w:hAnsi="Arial"/>
                <w:b/>
                <w:spacing w:val="6"/>
                <w:sz w:val="15"/>
                <w:szCs w:val="15"/>
              </w:rPr>
            </w:pPr>
          </w:p>
        </w:tc>
        <w:tc>
          <w:tcPr>
            <w:tcW w:w="1381" w:type="dxa"/>
            <w:tcBorders>
              <w:top w:val="single" w:sz="4" w:space="0" w:color="auto"/>
              <w:left w:val="nil"/>
              <w:bottom w:val="single" w:sz="4" w:space="0" w:color="auto"/>
              <w:right w:val="nil"/>
            </w:tcBorders>
            <w:shd w:val="clear" w:color="auto" w:fill="auto"/>
            <w:noWrap/>
            <w:vAlign w:val="center"/>
            <w:hideMark/>
          </w:tcPr>
          <w:p w:rsidR="00B63E7F" w:rsidRPr="00D17755" w:rsidRDefault="00B63E7F" w:rsidP="00B63E7F">
            <w:pPr>
              <w:spacing w:after="0"/>
              <w:ind w:firstLine="0"/>
              <w:jc w:val="center"/>
              <w:rPr>
                <w:rFonts w:ascii="Arial" w:hAnsi="Arial"/>
                <w:b/>
                <w:spacing w:val="6"/>
                <w:sz w:val="15"/>
                <w:szCs w:val="15"/>
              </w:rPr>
            </w:pPr>
          </w:p>
        </w:tc>
        <w:tc>
          <w:tcPr>
            <w:tcW w:w="2757" w:type="dxa"/>
            <w:tcBorders>
              <w:top w:val="single" w:sz="4" w:space="0" w:color="auto"/>
              <w:left w:val="nil"/>
              <w:bottom w:val="single" w:sz="4" w:space="0" w:color="auto"/>
              <w:right w:val="nil"/>
            </w:tcBorders>
            <w:shd w:val="clear" w:color="auto" w:fill="auto"/>
            <w:noWrap/>
            <w:vAlign w:val="center"/>
            <w:hideMark/>
          </w:tcPr>
          <w:p w:rsidR="00B63E7F" w:rsidRPr="00D17755" w:rsidRDefault="00B63E7F" w:rsidP="00B63E7F">
            <w:pPr>
              <w:spacing w:after="0"/>
              <w:ind w:firstLine="0"/>
              <w:jc w:val="left"/>
              <w:rPr>
                <w:rFonts w:ascii="Arial" w:hAnsi="Arial"/>
                <w:b/>
                <w:spacing w:val="6"/>
                <w:sz w:val="15"/>
                <w:szCs w:val="15"/>
              </w:rPr>
            </w:pPr>
          </w:p>
        </w:tc>
      </w:tr>
      <w:tr w:rsidR="00B63E7F" w:rsidRPr="00786731" w:rsidTr="00983A8B">
        <w:trPr>
          <w:trHeight w:val="284"/>
          <w:jc w:val="center"/>
        </w:trPr>
        <w:tc>
          <w:tcPr>
            <w:tcW w:w="2473" w:type="dxa"/>
            <w:tcBorders>
              <w:top w:val="single" w:sz="4"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Estación de Viticultura y Enología de Navarra</w:t>
            </w:r>
          </w:p>
        </w:tc>
        <w:tc>
          <w:tcPr>
            <w:tcW w:w="1207" w:type="dxa"/>
            <w:tcBorders>
              <w:top w:val="single" w:sz="4"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Extinción</w:t>
            </w:r>
          </w:p>
        </w:tc>
        <w:tc>
          <w:tcPr>
            <w:tcW w:w="851" w:type="dxa"/>
            <w:tcBorders>
              <w:top w:val="single" w:sz="4" w:space="0" w:color="auto"/>
              <w:left w:val="nil"/>
              <w:bottom w:val="single" w:sz="2" w:space="0" w:color="auto"/>
              <w:right w:val="nil"/>
            </w:tcBorders>
            <w:shd w:val="clear" w:color="auto" w:fill="auto"/>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2011</w:t>
            </w:r>
          </w:p>
        </w:tc>
        <w:tc>
          <w:tcPr>
            <w:tcW w:w="1381" w:type="dxa"/>
            <w:tcBorders>
              <w:top w:val="single" w:sz="4"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Decreto Foral 142/2011</w:t>
            </w:r>
          </w:p>
        </w:tc>
        <w:tc>
          <w:tcPr>
            <w:tcW w:w="2757" w:type="dxa"/>
            <w:tcBorders>
              <w:top w:val="single" w:sz="4"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 xml:space="preserve">Departamento de Desarrollo Rural, </w:t>
            </w:r>
            <w:r>
              <w:rPr>
                <w:rFonts w:ascii="Arial Narrow" w:hAnsi="Arial Narrow"/>
                <w:color w:val="000000"/>
                <w:sz w:val="16"/>
                <w:szCs w:val="16"/>
                <w:lang w:val="es-ES" w:eastAsia="es-ES"/>
              </w:rPr>
              <w:t>Industria, Empleo y Medio Ambiente</w:t>
            </w:r>
            <w:r>
              <w:rPr>
                <w:rStyle w:val="Refdenotaalpie"/>
                <w:rFonts w:ascii="Arial Narrow" w:hAnsi="Arial Narrow"/>
                <w:color w:val="000000"/>
                <w:sz w:val="16"/>
                <w:szCs w:val="16"/>
                <w:lang w:val="es-ES" w:eastAsia="es-ES"/>
              </w:rPr>
              <w:footnoteReference w:id="6"/>
            </w:r>
          </w:p>
        </w:tc>
      </w:tr>
      <w:tr w:rsidR="00B63E7F" w:rsidRPr="00786731" w:rsidTr="00B63E7F">
        <w:trPr>
          <w:trHeight w:val="284"/>
          <w:jc w:val="center"/>
        </w:trPr>
        <w:tc>
          <w:tcPr>
            <w:tcW w:w="2473" w:type="dxa"/>
            <w:tcBorders>
              <w:top w:val="single" w:sz="2"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Instituto Navarro de Administración Pública</w:t>
            </w:r>
          </w:p>
        </w:tc>
        <w:tc>
          <w:tcPr>
            <w:tcW w:w="1207" w:type="dxa"/>
            <w:tcBorders>
              <w:top w:val="single" w:sz="2"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Extinción</w:t>
            </w:r>
          </w:p>
        </w:tc>
        <w:tc>
          <w:tcPr>
            <w:tcW w:w="851" w:type="dxa"/>
            <w:tcBorders>
              <w:top w:val="single" w:sz="2" w:space="0" w:color="auto"/>
              <w:left w:val="nil"/>
              <w:bottom w:val="single" w:sz="2" w:space="0" w:color="auto"/>
              <w:right w:val="nil"/>
            </w:tcBorders>
            <w:shd w:val="clear" w:color="auto" w:fill="auto"/>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2012</w:t>
            </w:r>
          </w:p>
        </w:tc>
        <w:tc>
          <w:tcPr>
            <w:tcW w:w="1381" w:type="dxa"/>
            <w:tcBorders>
              <w:top w:val="single" w:sz="2"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Decreto Foral 68/2012</w:t>
            </w:r>
          </w:p>
        </w:tc>
        <w:tc>
          <w:tcPr>
            <w:tcW w:w="2757" w:type="dxa"/>
            <w:tcBorders>
              <w:top w:val="single" w:sz="2" w:space="0" w:color="auto"/>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Departamento de Presidencia, Función Pública, Interior y Justicia</w:t>
            </w:r>
          </w:p>
        </w:tc>
      </w:tr>
      <w:tr w:rsidR="00B63E7F" w:rsidRPr="00786731" w:rsidTr="00B63E7F">
        <w:trPr>
          <w:trHeight w:val="284"/>
          <w:jc w:val="center"/>
        </w:trPr>
        <w:tc>
          <w:tcPr>
            <w:tcW w:w="2473" w:type="dxa"/>
            <w:tcBorders>
              <w:top w:val="single" w:sz="2" w:space="0" w:color="auto"/>
              <w:left w:val="nil"/>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 xml:space="preserve">Instituto Navarro Deporte </w:t>
            </w:r>
          </w:p>
        </w:tc>
        <w:tc>
          <w:tcPr>
            <w:tcW w:w="1207" w:type="dxa"/>
            <w:vMerge w:val="restart"/>
            <w:tcBorders>
              <w:top w:val="single" w:sz="2" w:space="0" w:color="auto"/>
              <w:left w:val="nil"/>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Unificación</w:t>
            </w:r>
          </w:p>
        </w:tc>
        <w:tc>
          <w:tcPr>
            <w:tcW w:w="851" w:type="dxa"/>
            <w:vMerge w:val="restart"/>
            <w:tcBorders>
              <w:top w:val="single" w:sz="2" w:space="0" w:color="auto"/>
              <w:left w:val="nil"/>
              <w:right w:val="nil"/>
            </w:tcBorders>
            <w:shd w:val="clear" w:color="auto" w:fill="auto"/>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2012</w:t>
            </w:r>
          </w:p>
        </w:tc>
        <w:tc>
          <w:tcPr>
            <w:tcW w:w="1381" w:type="dxa"/>
            <w:vMerge w:val="restart"/>
            <w:tcBorders>
              <w:top w:val="single" w:sz="2" w:space="0" w:color="auto"/>
              <w:left w:val="nil"/>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Decretos Forales 35/2012 y 73/2012</w:t>
            </w:r>
          </w:p>
        </w:tc>
        <w:tc>
          <w:tcPr>
            <w:tcW w:w="2757" w:type="dxa"/>
            <w:vMerge w:val="restart"/>
            <w:tcBorders>
              <w:top w:val="single" w:sz="2" w:space="0" w:color="auto"/>
              <w:left w:val="nil"/>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 xml:space="preserve">Instituto Navarro Deporte y Juventud </w:t>
            </w:r>
            <w:r>
              <w:rPr>
                <w:rFonts w:ascii="Arial Narrow" w:hAnsi="Arial Narrow"/>
                <w:color w:val="000000"/>
                <w:sz w:val="16"/>
                <w:szCs w:val="16"/>
                <w:lang w:val="es-ES" w:eastAsia="es-ES"/>
              </w:rPr>
              <w:t>del Departamento de Políticas Sociales</w:t>
            </w:r>
            <w:r>
              <w:rPr>
                <w:rStyle w:val="Refdenotaalpie"/>
                <w:rFonts w:ascii="Arial Narrow" w:hAnsi="Arial Narrow"/>
                <w:color w:val="000000"/>
                <w:sz w:val="16"/>
                <w:szCs w:val="16"/>
                <w:lang w:val="es-ES" w:eastAsia="es-ES"/>
              </w:rPr>
              <w:footnoteReference w:id="7"/>
            </w:r>
          </w:p>
        </w:tc>
      </w:tr>
      <w:tr w:rsidR="00B63E7F" w:rsidRPr="00786731" w:rsidTr="000E1A3E">
        <w:trPr>
          <w:trHeight w:val="284"/>
          <w:jc w:val="center"/>
        </w:trPr>
        <w:tc>
          <w:tcPr>
            <w:tcW w:w="2473" w:type="dxa"/>
            <w:tcBorders>
              <w:left w:val="nil"/>
              <w:bottom w:val="single" w:sz="2"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Instituto Navarro Juventud</w:t>
            </w:r>
          </w:p>
        </w:tc>
        <w:tc>
          <w:tcPr>
            <w:tcW w:w="1207" w:type="dxa"/>
            <w:vMerge/>
            <w:tcBorders>
              <w:left w:val="nil"/>
              <w:bottom w:val="single" w:sz="2" w:space="0" w:color="auto"/>
              <w:right w:val="nil"/>
            </w:tcBorders>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p>
        </w:tc>
        <w:tc>
          <w:tcPr>
            <w:tcW w:w="851" w:type="dxa"/>
            <w:vMerge/>
            <w:tcBorders>
              <w:left w:val="nil"/>
              <w:bottom w:val="single" w:sz="2" w:space="0" w:color="auto"/>
              <w:right w:val="nil"/>
            </w:tcBorders>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p>
        </w:tc>
        <w:tc>
          <w:tcPr>
            <w:tcW w:w="1381" w:type="dxa"/>
            <w:vMerge/>
            <w:tcBorders>
              <w:left w:val="nil"/>
              <w:bottom w:val="single" w:sz="2" w:space="0" w:color="auto"/>
              <w:right w:val="nil"/>
            </w:tcBorders>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p>
        </w:tc>
        <w:tc>
          <w:tcPr>
            <w:tcW w:w="2757" w:type="dxa"/>
            <w:vMerge/>
            <w:tcBorders>
              <w:left w:val="nil"/>
              <w:bottom w:val="single" w:sz="2" w:space="0" w:color="auto"/>
              <w:right w:val="nil"/>
            </w:tcBorders>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p>
        </w:tc>
      </w:tr>
      <w:tr w:rsidR="00B63E7F" w:rsidRPr="00786731" w:rsidTr="000E1A3E">
        <w:trPr>
          <w:trHeight w:val="284"/>
          <w:jc w:val="center"/>
        </w:trPr>
        <w:tc>
          <w:tcPr>
            <w:tcW w:w="2473" w:type="dxa"/>
            <w:tcBorders>
              <w:top w:val="single" w:sz="2" w:space="0" w:color="auto"/>
              <w:left w:val="nil"/>
              <w:bottom w:val="single" w:sz="4"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 xml:space="preserve">Agencia Navarra para las Emergencias </w:t>
            </w:r>
          </w:p>
        </w:tc>
        <w:tc>
          <w:tcPr>
            <w:tcW w:w="1207" w:type="dxa"/>
            <w:tcBorders>
              <w:top w:val="single" w:sz="2" w:space="0" w:color="auto"/>
              <w:left w:val="nil"/>
              <w:bottom w:val="single" w:sz="4"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Extinción</w:t>
            </w:r>
          </w:p>
        </w:tc>
        <w:tc>
          <w:tcPr>
            <w:tcW w:w="851" w:type="dxa"/>
            <w:tcBorders>
              <w:top w:val="single" w:sz="2" w:space="0" w:color="auto"/>
              <w:left w:val="nil"/>
              <w:bottom w:val="single" w:sz="4" w:space="0" w:color="auto"/>
              <w:right w:val="nil"/>
            </w:tcBorders>
            <w:shd w:val="clear" w:color="auto" w:fill="auto"/>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2015</w:t>
            </w:r>
          </w:p>
        </w:tc>
        <w:tc>
          <w:tcPr>
            <w:tcW w:w="1381" w:type="dxa"/>
            <w:tcBorders>
              <w:top w:val="single" w:sz="2" w:space="0" w:color="auto"/>
              <w:left w:val="nil"/>
              <w:bottom w:val="single" w:sz="4" w:space="0" w:color="auto"/>
              <w:right w:val="nil"/>
            </w:tcBorders>
            <w:shd w:val="clear" w:color="auto" w:fill="auto"/>
            <w:noWrap/>
            <w:vAlign w:val="center"/>
            <w:hideMark/>
          </w:tcPr>
          <w:p w:rsidR="00B63E7F" w:rsidRPr="00786731" w:rsidRDefault="00B63E7F" w:rsidP="00B63E7F">
            <w:pPr>
              <w:spacing w:after="0"/>
              <w:ind w:firstLine="0"/>
              <w:jc w:val="center"/>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Decreto Foral 197/2015</w:t>
            </w:r>
          </w:p>
        </w:tc>
        <w:tc>
          <w:tcPr>
            <w:tcW w:w="2757" w:type="dxa"/>
            <w:tcBorders>
              <w:top w:val="single" w:sz="2" w:space="0" w:color="auto"/>
              <w:left w:val="nil"/>
              <w:bottom w:val="single" w:sz="4" w:space="0" w:color="auto"/>
              <w:right w:val="nil"/>
            </w:tcBorders>
            <w:shd w:val="clear" w:color="auto" w:fill="auto"/>
            <w:noWrap/>
            <w:vAlign w:val="center"/>
            <w:hideMark/>
          </w:tcPr>
          <w:p w:rsidR="00B63E7F" w:rsidRPr="00786731" w:rsidRDefault="00B63E7F" w:rsidP="00B63E7F">
            <w:pPr>
              <w:spacing w:after="0"/>
              <w:ind w:firstLine="0"/>
              <w:jc w:val="left"/>
              <w:rPr>
                <w:rFonts w:ascii="Arial Narrow" w:hAnsi="Arial Narrow"/>
                <w:color w:val="000000"/>
                <w:sz w:val="16"/>
                <w:szCs w:val="16"/>
                <w:lang w:val="es-ES" w:eastAsia="es-ES"/>
              </w:rPr>
            </w:pPr>
            <w:r w:rsidRPr="00786731">
              <w:rPr>
                <w:rFonts w:ascii="Arial Narrow" w:hAnsi="Arial Narrow"/>
                <w:color w:val="000000"/>
                <w:sz w:val="16"/>
                <w:szCs w:val="16"/>
                <w:lang w:val="es-ES" w:eastAsia="es-ES"/>
              </w:rPr>
              <w:t>Departamento de Presidencia, Función Pública, Interior y Justicia</w:t>
            </w:r>
          </w:p>
        </w:tc>
      </w:tr>
    </w:tbl>
    <w:p w:rsidR="00B63E7F" w:rsidRDefault="00B63E7F" w:rsidP="00D91B88">
      <w:pPr>
        <w:pStyle w:val="texto"/>
        <w:spacing w:before="260"/>
        <w:rPr>
          <w:spacing w:val="4"/>
          <w:lang w:val="es-ES"/>
        </w:rPr>
      </w:pPr>
      <w:r>
        <w:rPr>
          <w:spacing w:val="4"/>
          <w:lang w:val="es-ES"/>
        </w:rPr>
        <w:t>L</w:t>
      </w:r>
      <w:r w:rsidR="00AB4A69" w:rsidRPr="00D87FA9">
        <w:rPr>
          <w:spacing w:val="4"/>
          <w:lang w:val="es-ES"/>
        </w:rPr>
        <w:t>a supre</w:t>
      </w:r>
      <w:r w:rsidR="00B117B9">
        <w:rPr>
          <w:spacing w:val="4"/>
          <w:lang w:val="es-ES"/>
        </w:rPr>
        <w:t>sión de estas</w:t>
      </w:r>
      <w:r>
        <w:rPr>
          <w:spacing w:val="4"/>
          <w:lang w:val="es-ES"/>
        </w:rPr>
        <w:t xml:space="preserve"> ent</w:t>
      </w:r>
      <w:r w:rsidR="00B117B9">
        <w:rPr>
          <w:spacing w:val="4"/>
          <w:lang w:val="es-ES"/>
        </w:rPr>
        <w:t xml:space="preserve">idades </w:t>
      </w:r>
      <w:r w:rsidR="00AB4A69" w:rsidRPr="00D87FA9">
        <w:rPr>
          <w:spacing w:val="4"/>
          <w:lang w:val="es-ES"/>
        </w:rPr>
        <w:t>se ha acordado mediante disposiciones no</w:t>
      </w:r>
      <w:r w:rsidR="00AB4A69" w:rsidRPr="00D87FA9">
        <w:rPr>
          <w:spacing w:val="4"/>
          <w:lang w:val="es-ES"/>
        </w:rPr>
        <w:t>r</w:t>
      </w:r>
      <w:r w:rsidR="00AB4A69" w:rsidRPr="00D87FA9">
        <w:rPr>
          <w:spacing w:val="4"/>
          <w:lang w:val="es-ES"/>
        </w:rPr>
        <w:t xml:space="preserve">mativas aprobadas por órgano competente en los términos del marco </w:t>
      </w:r>
      <w:r w:rsidR="00AB4A69">
        <w:rPr>
          <w:spacing w:val="4"/>
          <w:lang w:val="es-ES"/>
        </w:rPr>
        <w:t xml:space="preserve">jurídico </w:t>
      </w:r>
      <w:r w:rsidR="00AB4A69" w:rsidRPr="00D87FA9">
        <w:rPr>
          <w:spacing w:val="4"/>
          <w:lang w:val="es-ES"/>
        </w:rPr>
        <w:t>de la Co</w:t>
      </w:r>
      <w:r>
        <w:rPr>
          <w:spacing w:val="4"/>
          <w:lang w:val="es-ES"/>
        </w:rPr>
        <w:t>munidad Foral. N</w:t>
      </w:r>
      <w:r w:rsidR="00AB4A69" w:rsidRPr="00D87FA9">
        <w:rPr>
          <w:spacing w:val="4"/>
          <w:lang w:val="es-ES"/>
        </w:rPr>
        <w:t xml:space="preserve">o consta la aprobación de un plan de reordenación del sector público administrativo como instrumento planificador </w:t>
      </w:r>
      <w:r>
        <w:rPr>
          <w:spacing w:val="4"/>
          <w:lang w:val="es-ES"/>
        </w:rPr>
        <w:t>de este proceso.</w:t>
      </w:r>
    </w:p>
    <w:p w:rsidR="00AB4A69" w:rsidRPr="00F751D9" w:rsidRDefault="00AB4A69" w:rsidP="00D91B88">
      <w:pPr>
        <w:pStyle w:val="atitulo3"/>
        <w:spacing w:before="300" w:after="200"/>
        <w:rPr>
          <w:i w:val="0"/>
          <w:sz w:val="24"/>
          <w:szCs w:val="24"/>
        </w:rPr>
      </w:pPr>
      <w:r w:rsidRPr="00F751D9">
        <w:rPr>
          <w:i w:val="0"/>
          <w:sz w:val="24"/>
          <w:szCs w:val="24"/>
        </w:rPr>
        <w:t xml:space="preserve">Sector </w:t>
      </w:r>
      <w:r w:rsidR="00237B81" w:rsidRPr="00F751D9">
        <w:rPr>
          <w:i w:val="0"/>
          <w:sz w:val="24"/>
          <w:szCs w:val="24"/>
        </w:rPr>
        <w:t xml:space="preserve">público </w:t>
      </w:r>
      <w:r w:rsidR="00B20E58" w:rsidRPr="00F751D9">
        <w:rPr>
          <w:i w:val="0"/>
          <w:sz w:val="24"/>
          <w:szCs w:val="24"/>
        </w:rPr>
        <w:t>empresarial</w:t>
      </w:r>
    </w:p>
    <w:p w:rsidR="003D103F" w:rsidRDefault="003D103F" w:rsidP="00D91B88">
      <w:pPr>
        <w:pStyle w:val="texto"/>
        <w:spacing w:after="240"/>
        <w:rPr>
          <w:lang w:val="es-ES"/>
        </w:rPr>
      </w:pPr>
      <w:r>
        <w:rPr>
          <w:lang w:val="es-ES"/>
        </w:rPr>
        <w:t xml:space="preserve">La evolución se refleja en el siguiente cuadro: </w:t>
      </w:r>
    </w:p>
    <w:tbl>
      <w:tblPr>
        <w:tblW w:w="8727" w:type="dxa"/>
        <w:jc w:val="center"/>
        <w:tblCellMar>
          <w:left w:w="70" w:type="dxa"/>
          <w:right w:w="70" w:type="dxa"/>
        </w:tblCellMar>
        <w:tblLook w:val="04A0" w:firstRow="1" w:lastRow="0" w:firstColumn="1" w:lastColumn="0" w:noHBand="0" w:noVBand="1"/>
      </w:tblPr>
      <w:tblGrid>
        <w:gridCol w:w="4940"/>
        <w:gridCol w:w="541"/>
        <w:gridCol w:w="541"/>
        <w:gridCol w:w="541"/>
        <w:gridCol w:w="541"/>
        <w:gridCol w:w="541"/>
        <w:gridCol w:w="541"/>
        <w:gridCol w:w="541"/>
      </w:tblGrid>
      <w:tr w:rsidR="003D103F" w:rsidRPr="00004620" w:rsidTr="003D103F">
        <w:trPr>
          <w:trHeight w:val="312"/>
          <w:jc w:val="center"/>
        </w:trPr>
        <w:tc>
          <w:tcPr>
            <w:tcW w:w="4940"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left"/>
              <w:rPr>
                <w:rFonts w:ascii="Arial" w:hAnsi="Arial" w:cs="Arial"/>
                <w:color w:val="000000"/>
                <w:sz w:val="17"/>
                <w:szCs w:val="17"/>
                <w:lang w:val="es-ES" w:eastAsia="es-ES"/>
              </w:rPr>
            </w:pPr>
            <w:r w:rsidRPr="00004620">
              <w:rPr>
                <w:rFonts w:ascii="Arial" w:hAnsi="Arial" w:cs="Arial"/>
                <w:color w:val="000000"/>
                <w:sz w:val="17"/>
                <w:szCs w:val="17"/>
                <w:lang w:eastAsia="es-ES"/>
              </w:rPr>
              <w:t>Sociedades Públicas</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eastAsia="es-ES"/>
              </w:rPr>
              <w:t>2010</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eastAsia="es-ES"/>
              </w:rPr>
              <w:t>2011</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2012</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2013</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2014</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2015</w:t>
            </w:r>
          </w:p>
        </w:tc>
        <w:tc>
          <w:tcPr>
            <w:tcW w:w="541" w:type="dxa"/>
            <w:tcBorders>
              <w:top w:val="single" w:sz="4" w:space="0" w:color="auto"/>
              <w:bottom w:val="single" w:sz="4" w:space="0" w:color="auto"/>
            </w:tcBorders>
            <w:shd w:val="clear" w:color="000000" w:fill="8DB4E2"/>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2016</w:t>
            </w:r>
          </w:p>
        </w:tc>
      </w:tr>
      <w:tr w:rsidR="003D103F" w:rsidRPr="00004620" w:rsidTr="003D103F">
        <w:trPr>
          <w:trHeight w:val="255"/>
          <w:jc w:val="center"/>
        </w:trPr>
        <w:tc>
          <w:tcPr>
            <w:tcW w:w="4940"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left"/>
              <w:rPr>
                <w:rFonts w:ascii="Arial Narrow" w:hAnsi="Arial Narrow" w:cs="Tahoma"/>
                <w:color w:val="000000"/>
                <w:sz w:val="18"/>
                <w:szCs w:val="18"/>
                <w:lang w:val="es-ES" w:eastAsia="es-ES"/>
              </w:rPr>
            </w:pPr>
            <w:r w:rsidRPr="00004620">
              <w:rPr>
                <w:rFonts w:ascii="Arial Narrow" w:hAnsi="Arial Narrow" w:cs="Tahoma"/>
                <w:color w:val="000000"/>
                <w:sz w:val="18"/>
                <w:szCs w:val="18"/>
                <w:lang w:eastAsia="es-ES"/>
              </w:rPr>
              <w:t>Sociedad Matriz CPEN</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1</w:t>
            </w:r>
          </w:p>
        </w:tc>
        <w:tc>
          <w:tcPr>
            <w:tcW w:w="541" w:type="dxa"/>
            <w:tcBorders>
              <w:top w:val="single" w:sz="4"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1</w:t>
            </w:r>
          </w:p>
        </w:tc>
      </w:tr>
      <w:tr w:rsidR="003D103F" w:rsidRPr="00004620" w:rsidTr="003D103F">
        <w:trPr>
          <w:trHeight w:val="255"/>
          <w:jc w:val="center"/>
        </w:trPr>
        <w:tc>
          <w:tcPr>
            <w:tcW w:w="4940" w:type="dxa"/>
            <w:tcBorders>
              <w:top w:val="single" w:sz="2" w:space="0" w:color="auto"/>
              <w:bottom w:val="single" w:sz="2" w:space="0" w:color="auto"/>
            </w:tcBorders>
            <w:shd w:val="clear" w:color="auto" w:fill="auto"/>
            <w:vAlign w:val="center"/>
            <w:hideMark/>
          </w:tcPr>
          <w:p w:rsidR="003D103F" w:rsidRPr="00004620" w:rsidRDefault="003D103F" w:rsidP="003D103F">
            <w:pPr>
              <w:spacing w:after="0"/>
              <w:ind w:firstLine="0"/>
              <w:jc w:val="left"/>
              <w:rPr>
                <w:rFonts w:ascii="Arial Narrow" w:hAnsi="Arial Narrow" w:cs="Tahoma"/>
                <w:color w:val="000000"/>
                <w:sz w:val="18"/>
                <w:szCs w:val="18"/>
                <w:lang w:val="es-ES" w:eastAsia="es-ES"/>
              </w:rPr>
            </w:pPr>
            <w:r w:rsidRPr="00004620">
              <w:rPr>
                <w:rFonts w:ascii="Arial Narrow" w:hAnsi="Arial Narrow" w:cs="Tahoma"/>
                <w:color w:val="000000"/>
                <w:sz w:val="18"/>
                <w:szCs w:val="18"/>
                <w:lang w:eastAsia="es-ES"/>
              </w:rPr>
              <w:t>Sociedades públicas dependientes</w:t>
            </w:r>
          </w:p>
        </w:tc>
        <w:tc>
          <w:tcPr>
            <w:tcW w:w="541" w:type="dxa"/>
            <w:tcBorders>
              <w:top w:val="single" w:sz="2" w:space="0" w:color="auto"/>
              <w:bottom w:val="single" w:sz="2" w:space="0" w:color="auto"/>
            </w:tcBorders>
            <w:shd w:val="clear" w:color="auto" w:fill="auto"/>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c>
          <w:tcPr>
            <w:tcW w:w="541" w:type="dxa"/>
            <w:tcBorders>
              <w:top w:val="single" w:sz="2" w:space="0" w:color="auto"/>
              <w:bottom w:val="single" w:sz="2" w:space="0" w:color="auto"/>
            </w:tcBorders>
            <w:shd w:val="clear" w:color="auto" w:fill="auto"/>
            <w:noWrap/>
            <w:vAlign w:val="center"/>
            <w:hideMark/>
          </w:tcPr>
          <w:p w:rsidR="003D103F" w:rsidRPr="00004620" w:rsidRDefault="003D103F" w:rsidP="003D103F">
            <w:pPr>
              <w:spacing w:after="0"/>
              <w:ind w:firstLine="0"/>
              <w:jc w:val="right"/>
              <w:rPr>
                <w:rFonts w:ascii="Arial Narrow" w:hAnsi="Arial Narrow" w:cs="Tahoma"/>
                <w:color w:val="000000"/>
                <w:sz w:val="18"/>
                <w:szCs w:val="18"/>
                <w:lang w:val="es-ES" w:eastAsia="es-ES"/>
              </w:rPr>
            </w:pPr>
            <w:r w:rsidRPr="00004620">
              <w:rPr>
                <w:rFonts w:ascii="Arial Narrow" w:hAnsi="Arial Narrow" w:cs="Tahoma"/>
                <w:color w:val="000000"/>
                <w:sz w:val="18"/>
                <w:szCs w:val="18"/>
                <w:lang w:val="es-ES" w:eastAsia="es-ES"/>
              </w:rPr>
              <w:t> </w:t>
            </w:r>
          </w:p>
        </w:tc>
      </w:tr>
      <w:tr w:rsidR="003D103F" w:rsidRPr="00004620" w:rsidTr="003D103F">
        <w:trPr>
          <w:trHeight w:val="255"/>
          <w:jc w:val="center"/>
        </w:trPr>
        <w:tc>
          <w:tcPr>
            <w:tcW w:w="4940" w:type="dxa"/>
            <w:tcBorders>
              <w:top w:val="single" w:sz="2" w:space="0" w:color="auto"/>
              <w:bottom w:val="single" w:sz="2" w:space="0" w:color="auto"/>
            </w:tcBorders>
            <w:shd w:val="clear" w:color="auto" w:fill="auto"/>
            <w:vAlign w:val="center"/>
          </w:tcPr>
          <w:p w:rsidR="003D103F" w:rsidRPr="00B42E01" w:rsidRDefault="003D103F" w:rsidP="003D103F">
            <w:pPr>
              <w:spacing w:after="0"/>
              <w:ind w:firstLine="0"/>
              <w:jc w:val="left"/>
              <w:rPr>
                <w:rFonts w:ascii="Arial Narrow" w:hAnsi="Arial Narrow" w:cs="Tahoma"/>
                <w:color w:val="000000"/>
                <w:sz w:val="12"/>
                <w:szCs w:val="18"/>
                <w:lang w:eastAsia="es-ES"/>
              </w:rPr>
            </w:pPr>
            <w:r>
              <w:rPr>
                <w:rFonts w:ascii="Arial Narrow" w:hAnsi="Arial Narrow" w:cs="Tahoma"/>
                <w:color w:val="000000"/>
                <w:sz w:val="18"/>
                <w:szCs w:val="18"/>
                <w:lang w:eastAsia="es-ES"/>
              </w:rPr>
              <w:t xml:space="preserve">       Sociedades  públicas participación directa </w:t>
            </w:r>
            <w:r w:rsidRPr="00B42E01">
              <w:rPr>
                <w:rFonts w:ascii="Arial Narrow" w:hAnsi="Arial Narrow" w:cs="Tahoma"/>
                <w:color w:val="000000"/>
                <w:sz w:val="18"/>
                <w:szCs w:val="18"/>
                <w:lang w:val="es-ES" w:eastAsia="es-ES"/>
              </w:rPr>
              <w:t>&gt;50%</w:t>
            </w:r>
          </w:p>
        </w:tc>
        <w:tc>
          <w:tcPr>
            <w:tcW w:w="541" w:type="dxa"/>
            <w:tcBorders>
              <w:top w:val="single" w:sz="2" w:space="0" w:color="auto"/>
              <w:bottom w:val="single" w:sz="2" w:space="0" w:color="auto"/>
            </w:tcBorders>
            <w:shd w:val="clear" w:color="auto" w:fill="auto"/>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24</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13</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13</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12</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11</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11</w:t>
            </w:r>
          </w:p>
        </w:tc>
        <w:tc>
          <w:tcPr>
            <w:tcW w:w="541" w:type="dxa"/>
            <w:tcBorders>
              <w:top w:val="single" w:sz="2" w:space="0" w:color="auto"/>
              <w:bottom w:val="single" w:sz="2" w:space="0" w:color="auto"/>
            </w:tcBorders>
            <w:shd w:val="clear" w:color="auto" w:fill="auto"/>
            <w:noWrap/>
            <w:vAlign w:val="center"/>
          </w:tcPr>
          <w:p w:rsidR="003D103F" w:rsidRPr="00004620"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12</w:t>
            </w:r>
          </w:p>
        </w:tc>
      </w:tr>
      <w:tr w:rsidR="003D103F" w:rsidRPr="00004620" w:rsidTr="003D103F">
        <w:trPr>
          <w:trHeight w:val="255"/>
          <w:jc w:val="center"/>
        </w:trPr>
        <w:tc>
          <w:tcPr>
            <w:tcW w:w="4940" w:type="dxa"/>
            <w:tcBorders>
              <w:top w:val="single" w:sz="2" w:space="0" w:color="auto"/>
              <w:bottom w:val="single" w:sz="2" w:space="0" w:color="auto"/>
            </w:tcBorders>
            <w:shd w:val="clear" w:color="auto" w:fill="auto"/>
            <w:vAlign w:val="center"/>
          </w:tcPr>
          <w:p w:rsidR="003D103F" w:rsidRDefault="003D103F" w:rsidP="003D103F">
            <w:pPr>
              <w:spacing w:after="0"/>
              <w:ind w:firstLine="0"/>
              <w:jc w:val="left"/>
              <w:rPr>
                <w:rFonts w:ascii="Arial Narrow" w:hAnsi="Arial Narrow" w:cs="Tahoma"/>
                <w:color w:val="000000"/>
                <w:sz w:val="18"/>
                <w:szCs w:val="18"/>
                <w:lang w:eastAsia="es-ES"/>
              </w:rPr>
            </w:pPr>
            <w:r>
              <w:rPr>
                <w:rFonts w:ascii="Arial Narrow" w:hAnsi="Arial Narrow" w:cs="Tahoma"/>
                <w:color w:val="000000"/>
                <w:sz w:val="18"/>
                <w:szCs w:val="18"/>
                <w:lang w:eastAsia="es-ES"/>
              </w:rPr>
              <w:t xml:space="preserve">       Sociedades públicas participación indirecta &gt;50%</w:t>
            </w:r>
          </w:p>
        </w:tc>
        <w:tc>
          <w:tcPr>
            <w:tcW w:w="541" w:type="dxa"/>
            <w:tcBorders>
              <w:top w:val="single" w:sz="2" w:space="0" w:color="auto"/>
              <w:bottom w:val="single" w:sz="2" w:space="0" w:color="auto"/>
            </w:tcBorders>
            <w:shd w:val="clear" w:color="auto" w:fill="auto"/>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14</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6</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5</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4</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4</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4</w:t>
            </w:r>
          </w:p>
        </w:tc>
        <w:tc>
          <w:tcPr>
            <w:tcW w:w="541" w:type="dxa"/>
            <w:tcBorders>
              <w:top w:val="single" w:sz="2" w:space="0" w:color="auto"/>
              <w:bottom w:val="single" w:sz="2" w:space="0" w:color="auto"/>
            </w:tcBorders>
            <w:shd w:val="clear" w:color="auto" w:fill="auto"/>
            <w:noWrap/>
            <w:vAlign w:val="center"/>
          </w:tcPr>
          <w:p w:rsidR="003D103F" w:rsidRDefault="003D103F" w:rsidP="003D103F">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4</w:t>
            </w:r>
          </w:p>
        </w:tc>
      </w:tr>
      <w:tr w:rsidR="003D103F" w:rsidRPr="00004620" w:rsidTr="003D103F">
        <w:trPr>
          <w:trHeight w:val="255"/>
          <w:jc w:val="center"/>
        </w:trPr>
        <w:tc>
          <w:tcPr>
            <w:tcW w:w="4940"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left"/>
              <w:rPr>
                <w:rFonts w:ascii="Arial" w:hAnsi="Arial" w:cs="Arial"/>
                <w:color w:val="000000"/>
                <w:sz w:val="17"/>
                <w:szCs w:val="17"/>
                <w:lang w:val="es-ES" w:eastAsia="es-ES"/>
              </w:rPr>
            </w:pPr>
            <w:r w:rsidRPr="00004620">
              <w:rPr>
                <w:rFonts w:ascii="Arial" w:hAnsi="Arial" w:cs="Arial"/>
                <w:color w:val="000000"/>
                <w:sz w:val="17"/>
                <w:szCs w:val="17"/>
                <w:lang w:val="es-ES" w:eastAsia="es-ES"/>
              </w:rPr>
              <w:t>Total</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39</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20</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19</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17</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16</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16</w:t>
            </w:r>
          </w:p>
        </w:tc>
        <w:tc>
          <w:tcPr>
            <w:tcW w:w="541" w:type="dxa"/>
            <w:tcBorders>
              <w:top w:val="single" w:sz="4" w:space="0" w:color="auto"/>
              <w:bottom w:val="single" w:sz="4" w:space="0" w:color="auto"/>
            </w:tcBorders>
            <w:shd w:val="clear" w:color="auto" w:fill="8DB3E2" w:themeFill="text2" w:themeFillTint="66"/>
            <w:noWrap/>
            <w:vAlign w:val="center"/>
            <w:hideMark/>
          </w:tcPr>
          <w:p w:rsidR="003D103F" w:rsidRPr="00004620" w:rsidRDefault="003D103F" w:rsidP="003D103F">
            <w:pPr>
              <w:spacing w:after="0"/>
              <w:ind w:firstLine="0"/>
              <w:jc w:val="right"/>
              <w:rPr>
                <w:rFonts w:ascii="Arial" w:hAnsi="Arial" w:cs="Arial"/>
                <w:color w:val="000000"/>
                <w:sz w:val="17"/>
                <w:szCs w:val="17"/>
                <w:lang w:val="es-ES" w:eastAsia="es-ES"/>
              </w:rPr>
            </w:pPr>
            <w:r w:rsidRPr="00004620">
              <w:rPr>
                <w:rFonts w:ascii="Arial" w:hAnsi="Arial" w:cs="Arial"/>
                <w:color w:val="000000"/>
                <w:sz w:val="17"/>
                <w:szCs w:val="17"/>
                <w:lang w:val="es-ES" w:eastAsia="es-ES"/>
              </w:rPr>
              <w:t>17</w:t>
            </w:r>
          </w:p>
        </w:tc>
      </w:tr>
    </w:tbl>
    <w:p w:rsidR="00AB4A69" w:rsidRPr="00415E68" w:rsidRDefault="00AB4A69" w:rsidP="00D91B88">
      <w:pPr>
        <w:pStyle w:val="texto"/>
        <w:spacing w:before="240"/>
        <w:rPr>
          <w:spacing w:val="0"/>
          <w:lang w:val="es-ES"/>
        </w:rPr>
      </w:pPr>
      <w:r w:rsidRPr="00415E68">
        <w:rPr>
          <w:spacing w:val="0"/>
          <w:lang w:val="es-ES"/>
        </w:rPr>
        <w:t xml:space="preserve">El proceso de reordenación del sector público </w:t>
      </w:r>
      <w:r>
        <w:rPr>
          <w:spacing w:val="0"/>
          <w:lang w:val="es-ES"/>
        </w:rPr>
        <w:t xml:space="preserve">empresarial </w:t>
      </w:r>
      <w:r w:rsidRPr="00415E68">
        <w:rPr>
          <w:spacing w:val="0"/>
          <w:lang w:val="es-ES"/>
        </w:rPr>
        <w:t xml:space="preserve">se inició con la Ley Foral 8/2009, de 18 de junio, de creación de la Corporación Pública Empresarial de Navarra S.L.U. </w:t>
      </w:r>
      <w:r w:rsidR="003A0021">
        <w:rPr>
          <w:spacing w:val="0"/>
          <w:lang w:val="es-ES"/>
        </w:rPr>
        <w:t xml:space="preserve">(en adelante CPEN). Esta norma </w:t>
      </w:r>
      <w:r w:rsidRPr="00415E68">
        <w:rPr>
          <w:spacing w:val="0"/>
          <w:lang w:val="es-ES"/>
        </w:rPr>
        <w:t>responde a la habilitación que la Ley Foral 14/2007, de 4 de abril, del Patrimonio de Navarra introdujo al considerar la reestructuración del patrimonio empresarial público como forma de reordenación interna del patrimonio empresarial de la Administración de la Comunidad Foral.</w:t>
      </w:r>
    </w:p>
    <w:p w:rsidR="003D103F" w:rsidRPr="003D103F" w:rsidRDefault="00AB4A69" w:rsidP="00D91B88">
      <w:pPr>
        <w:pStyle w:val="texto"/>
        <w:tabs>
          <w:tab w:val="num" w:pos="2062"/>
        </w:tabs>
        <w:rPr>
          <w:lang w:val="es-ES"/>
        </w:rPr>
      </w:pPr>
      <w:r w:rsidRPr="003D103F">
        <w:rPr>
          <w:lang w:val="es-ES"/>
        </w:rPr>
        <w:t>La CPEN se constituye el 4 de noviembre de 2009 com</w:t>
      </w:r>
      <w:r w:rsidR="009C4213">
        <w:rPr>
          <w:lang w:val="es-ES"/>
        </w:rPr>
        <w:t>o sociedad limitada unipersonal, siendo</w:t>
      </w:r>
      <w:r w:rsidRPr="003D103F">
        <w:rPr>
          <w:lang w:val="es-ES"/>
        </w:rPr>
        <w:t xml:space="preserve"> </w:t>
      </w:r>
      <w:r w:rsidR="003D103F" w:rsidRPr="003D103F">
        <w:rPr>
          <w:lang w:val="es-ES"/>
        </w:rPr>
        <w:t>participada íntegramente por la Administración de la C</w:t>
      </w:r>
      <w:r w:rsidR="003D103F" w:rsidRPr="003D103F">
        <w:rPr>
          <w:lang w:val="es-ES"/>
        </w:rPr>
        <w:t>o</w:t>
      </w:r>
      <w:r w:rsidR="003D103F" w:rsidRPr="003D103F">
        <w:rPr>
          <w:lang w:val="es-ES"/>
        </w:rPr>
        <w:t xml:space="preserve">munidad Foral. El </w:t>
      </w:r>
      <w:r w:rsidR="009C4213">
        <w:rPr>
          <w:lang w:val="es-ES"/>
        </w:rPr>
        <w:t xml:space="preserve">sector público empresarial </w:t>
      </w:r>
      <w:r w:rsidR="003D103F" w:rsidRPr="003D103F">
        <w:rPr>
          <w:lang w:val="es-ES"/>
        </w:rPr>
        <w:t xml:space="preserve">por lo tanto está formado </w:t>
      </w:r>
      <w:r w:rsidR="00A847F9">
        <w:rPr>
          <w:lang w:val="es-ES"/>
        </w:rPr>
        <w:t xml:space="preserve">en 2010 </w:t>
      </w:r>
      <w:r w:rsidR="003D103F" w:rsidRPr="003D103F">
        <w:rPr>
          <w:lang w:val="es-ES"/>
        </w:rPr>
        <w:t xml:space="preserve">por la propia </w:t>
      </w:r>
      <w:r w:rsidR="003A0021">
        <w:rPr>
          <w:lang w:val="es-ES"/>
        </w:rPr>
        <w:t xml:space="preserve">corporación </w:t>
      </w:r>
      <w:r w:rsidR="003D103F" w:rsidRPr="003D103F">
        <w:rPr>
          <w:lang w:val="es-ES"/>
        </w:rPr>
        <w:t xml:space="preserve">y 38 sociedades públicas </w:t>
      </w:r>
      <w:r w:rsidR="003A0021">
        <w:rPr>
          <w:lang w:val="es-ES"/>
        </w:rPr>
        <w:t>dependientes de CPEN.</w:t>
      </w:r>
    </w:p>
    <w:p w:rsidR="00AB4A69" w:rsidRPr="0097738D" w:rsidRDefault="00AB4A69" w:rsidP="00AB4A69">
      <w:pPr>
        <w:pStyle w:val="texto"/>
        <w:spacing w:after="100"/>
        <w:rPr>
          <w:spacing w:val="0"/>
          <w:lang w:val="es-ES"/>
        </w:rPr>
      </w:pPr>
      <w:r w:rsidRPr="0097738D">
        <w:rPr>
          <w:spacing w:val="0"/>
          <w:lang w:val="es-ES"/>
        </w:rPr>
        <w:lastRenderedPageBreak/>
        <w:t xml:space="preserve">Los planes de ordenación aprobados una vez creada la CPEN </w:t>
      </w:r>
      <w:r>
        <w:rPr>
          <w:spacing w:val="0"/>
          <w:lang w:val="es-ES"/>
        </w:rPr>
        <w:t>han sido:</w:t>
      </w:r>
    </w:p>
    <w:p w:rsidR="00AB4A69" w:rsidRDefault="00AB4A69" w:rsidP="00D771D2">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60"/>
        <w:ind w:left="0" w:firstLine="289"/>
        <w:rPr>
          <w:rFonts w:cs="Arial"/>
        </w:rPr>
      </w:pPr>
      <w:r w:rsidRPr="00E2767C">
        <w:rPr>
          <w:rFonts w:cs="Arial"/>
        </w:rPr>
        <w:t xml:space="preserve">I Plan de Ordenación y Reestructuración del </w:t>
      </w:r>
      <w:r w:rsidR="001B147A" w:rsidRPr="00E2767C">
        <w:rPr>
          <w:rFonts w:cs="Arial"/>
        </w:rPr>
        <w:t>sector público empresarial</w:t>
      </w:r>
      <w:r w:rsidR="001B147A">
        <w:rPr>
          <w:rFonts w:cs="Arial"/>
        </w:rPr>
        <w:t xml:space="preserve"> </w:t>
      </w:r>
      <w:r>
        <w:rPr>
          <w:rFonts w:cs="Arial"/>
        </w:rPr>
        <w:t>aprobado mediante Acuerdo del Gobierno de Navarra de fecha 20 de diciembre de 2010</w:t>
      </w:r>
      <w:r>
        <w:rPr>
          <w:rStyle w:val="Refdenotaalpie"/>
          <w:rFonts w:cs="Arial"/>
        </w:rPr>
        <w:footnoteReference w:id="8"/>
      </w:r>
      <w:r w:rsidR="00402509">
        <w:rPr>
          <w:rFonts w:cs="Arial"/>
        </w:rPr>
        <w:t>.</w:t>
      </w:r>
    </w:p>
    <w:p w:rsidR="00AB4A69" w:rsidRPr="00E30299" w:rsidRDefault="00AB4A69" w:rsidP="00D771D2">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after="160"/>
        <w:ind w:left="0" w:firstLine="289"/>
        <w:rPr>
          <w:rFonts w:cs="Arial"/>
        </w:rPr>
      </w:pPr>
      <w:r w:rsidRPr="00E30299">
        <w:rPr>
          <w:rFonts w:cs="Arial"/>
        </w:rPr>
        <w:t xml:space="preserve">II Plan de Ordenación del </w:t>
      </w:r>
      <w:r w:rsidR="001B147A" w:rsidRPr="00E30299">
        <w:rPr>
          <w:rFonts w:cs="Arial"/>
        </w:rPr>
        <w:t>sector público</w:t>
      </w:r>
      <w:r w:rsidR="001B147A">
        <w:rPr>
          <w:rFonts w:cs="Arial"/>
        </w:rPr>
        <w:t xml:space="preserve"> empresarial</w:t>
      </w:r>
      <w:r>
        <w:rPr>
          <w:rFonts w:cs="Arial"/>
        </w:rPr>
        <w:t xml:space="preserve"> aprobado por el Co</w:t>
      </w:r>
      <w:r>
        <w:rPr>
          <w:rFonts w:cs="Arial"/>
        </w:rPr>
        <w:t>n</w:t>
      </w:r>
      <w:r>
        <w:rPr>
          <w:rFonts w:cs="Arial"/>
        </w:rPr>
        <w:t xml:space="preserve">sejo de Administración de CPEN el 13 de mayo de 2013. </w:t>
      </w:r>
    </w:p>
    <w:p w:rsidR="00AB4A69" w:rsidRDefault="00AB4A69" w:rsidP="00D771D2">
      <w:pPr>
        <w:pStyle w:val="texto"/>
        <w:spacing w:after="160"/>
        <w:rPr>
          <w:lang w:val="es-ES"/>
        </w:rPr>
      </w:pPr>
      <w:r>
        <w:rPr>
          <w:lang w:val="es-ES"/>
        </w:rPr>
        <w:t>De estos dos procesos señalamos lo siguiente:</w:t>
      </w:r>
    </w:p>
    <w:p w:rsidR="00AB4A69" w:rsidRPr="00D957CC" w:rsidRDefault="00AB4A69" w:rsidP="00D771D2">
      <w:pPr>
        <w:pStyle w:val="texto"/>
        <w:numPr>
          <w:ilvl w:val="0"/>
          <w:numId w:val="7"/>
        </w:numPr>
        <w:tabs>
          <w:tab w:val="clear" w:pos="2835"/>
          <w:tab w:val="clear" w:pos="3969"/>
          <w:tab w:val="clear" w:pos="5103"/>
          <w:tab w:val="clear" w:pos="6237"/>
          <w:tab w:val="clear" w:pos="7371"/>
          <w:tab w:val="num" w:pos="169"/>
          <w:tab w:val="left" w:pos="480"/>
          <w:tab w:val="num" w:pos="720"/>
        </w:tabs>
        <w:spacing w:after="160"/>
        <w:ind w:left="0" w:firstLine="289"/>
        <w:rPr>
          <w:rFonts w:cs="Arial"/>
          <w:spacing w:val="4"/>
        </w:rPr>
      </w:pPr>
      <w:r w:rsidRPr="00D957CC">
        <w:rPr>
          <w:rFonts w:cs="Arial"/>
          <w:spacing w:val="4"/>
        </w:rPr>
        <w:t>La reestructuración se ha aplicado en dos fases y se ha llevado a cabo a tr</w:t>
      </w:r>
      <w:r w:rsidRPr="00D957CC">
        <w:rPr>
          <w:rFonts w:cs="Arial"/>
          <w:spacing w:val="4"/>
        </w:rPr>
        <w:t>a</w:t>
      </w:r>
      <w:r w:rsidRPr="00D957CC">
        <w:rPr>
          <w:rFonts w:cs="Arial"/>
          <w:spacing w:val="4"/>
        </w:rPr>
        <w:t xml:space="preserve">vés de operaciones mercantiles de fusión por absorción </w:t>
      </w:r>
      <w:r>
        <w:rPr>
          <w:rFonts w:cs="Arial"/>
          <w:spacing w:val="4"/>
        </w:rPr>
        <w:t xml:space="preserve">de </w:t>
      </w:r>
      <w:r w:rsidRPr="00D957CC">
        <w:rPr>
          <w:rFonts w:cs="Arial"/>
          <w:spacing w:val="4"/>
        </w:rPr>
        <w:t>sociedades existe</w:t>
      </w:r>
      <w:r w:rsidRPr="00D957CC">
        <w:rPr>
          <w:rFonts w:cs="Arial"/>
          <w:spacing w:val="4"/>
        </w:rPr>
        <w:t>n</w:t>
      </w:r>
      <w:r w:rsidR="0098078E">
        <w:rPr>
          <w:rFonts w:cs="Arial"/>
          <w:spacing w:val="4"/>
        </w:rPr>
        <w:t xml:space="preserve">tes. Los </w:t>
      </w:r>
      <w:r w:rsidR="0088303D">
        <w:rPr>
          <w:rFonts w:cs="Arial"/>
          <w:spacing w:val="4"/>
        </w:rPr>
        <w:t xml:space="preserve">cambios </w:t>
      </w:r>
      <w:r w:rsidR="0098078E">
        <w:rPr>
          <w:rFonts w:cs="Arial"/>
          <w:spacing w:val="4"/>
        </w:rPr>
        <w:t xml:space="preserve">de denominación o </w:t>
      </w:r>
      <w:r w:rsidRPr="00D957CC">
        <w:rPr>
          <w:rFonts w:cs="Arial"/>
          <w:spacing w:val="4"/>
        </w:rPr>
        <w:t>transform</w:t>
      </w:r>
      <w:r w:rsidR="0098078E">
        <w:rPr>
          <w:rFonts w:cs="Arial"/>
          <w:spacing w:val="4"/>
        </w:rPr>
        <w:t xml:space="preserve">ación en la </w:t>
      </w:r>
      <w:r w:rsidRPr="00D957CC">
        <w:rPr>
          <w:rFonts w:cs="Arial"/>
          <w:spacing w:val="4"/>
        </w:rPr>
        <w:t>forma societaria de sociedad anónima en sociedad limi</w:t>
      </w:r>
      <w:r w:rsidR="0098078E">
        <w:rPr>
          <w:rFonts w:cs="Arial"/>
          <w:spacing w:val="4"/>
        </w:rPr>
        <w:t xml:space="preserve">tada </w:t>
      </w:r>
      <w:r w:rsidRPr="00D957CC">
        <w:rPr>
          <w:rFonts w:cs="Arial"/>
          <w:spacing w:val="4"/>
        </w:rPr>
        <w:t xml:space="preserve">no se consideran como sociedades de nueva creación. </w:t>
      </w:r>
    </w:p>
    <w:p w:rsidR="00AB4A69" w:rsidRPr="000E1E9C" w:rsidRDefault="00AB4A69" w:rsidP="00D771D2">
      <w:pPr>
        <w:pStyle w:val="texto"/>
        <w:numPr>
          <w:ilvl w:val="0"/>
          <w:numId w:val="7"/>
        </w:numPr>
        <w:tabs>
          <w:tab w:val="clear" w:pos="2835"/>
          <w:tab w:val="clear" w:pos="3969"/>
          <w:tab w:val="clear" w:pos="5103"/>
          <w:tab w:val="clear" w:pos="6237"/>
          <w:tab w:val="clear" w:pos="7371"/>
          <w:tab w:val="num" w:pos="169"/>
          <w:tab w:val="left" w:pos="480"/>
          <w:tab w:val="num" w:pos="720"/>
        </w:tabs>
        <w:spacing w:after="160"/>
        <w:ind w:left="0" w:firstLine="289"/>
        <w:rPr>
          <w:rFonts w:cs="Arial"/>
          <w:spacing w:val="2"/>
        </w:rPr>
      </w:pPr>
      <w:r w:rsidRPr="000E1E9C">
        <w:rPr>
          <w:rFonts w:cs="Arial"/>
          <w:spacing w:val="2"/>
        </w:rPr>
        <w:t xml:space="preserve">El segundo plan de ordenación aprobado por el Consejo de Administración de CPEN, es informado </w:t>
      </w:r>
      <w:r w:rsidR="00563DBA">
        <w:rPr>
          <w:rFonts w:cs="Arial"/>
          <w:spacing w:val="2"/>
        </w:rPr>
        <w:t xml:space="preserve">posteriormente </w:t>
      </w:r>
      <w:r w:rsidRPr="000E1E9C">
        <w:rPr>
          <w:rFonts w:cs="Arial"/>
          <w:spacing w:val="2"/>
        </w:rPr>
        <w:t xml:space="preserve">en comisión parlamentaria mediante comparecencia de la </w:t>
      </w:r>
      <w:r w:rsidR="00F76BF5" w:rsidRPr="000E1E9C">
        <w:rPr>
          <w:rFonts w:cs="Arial"/>
          <w:spacing w:val="2"/>
        </w:rPr>
        <w:t xml:space="preserve">consejera </w:t>
      </w:r>
      <w:r w:rsidRPr="000E1E9C">
        <w:rPr>
          <w:rFonts w:cs="Arial"/>
          <w:spacing w:val="2"/>
        </w:rPr>
        <w:t xml:space="preserve">de Economía, Hacienda, Industria y Empleo junto con el </w:t>
      </w:r>
      <w:r w:rsidR="00F76BF5" w:rsidRPr="000E1E9C">
        <w:rPr>
          <w:rFonts w:cs="Arial"/>
          <w:spacing w:val="2"/>
        </w:rPr>
        <w:t xml:space="preserve">director general </w:t>
      </w:r>
      <w:r w:rsidRPr="000E1E9C">
        <w:rPr>
          <w:rFonts w:cs="Arial"/>
          <w:spacing w:val="2"/>
        </w:rPr>
        <w:t>de CPEN en junio de 2013. La Ley Foral 28/2013, de 7 de agosto, de modificación parcial de la Ley Foral 8/2009, estableció en su Dispos</w:t>
      </w:r>
      <w:r w:rsidRPr="000E1E9C">
        <w:rPr>
          <w:rFonts w:cs="Arial"/>
          <w:spacing w:val="2"/>
        </w:rPr>
        <w:t>i</w:t>
      </w:r>
      <w:r w:rsidRPr="000E1E9C">
        <w:rPr>
          <w:rFonts w:cs="Arial"/>
          <w:spacing w:val="2"/>
        </w:rPr>
        <w:t>ción Transitoria segunda que “</w:t>
      </w:r>
      <w:r w:rsidRPr="000E1E9C">
        <w:rPr>
          <w:rFonts w:cs="Arial"/>
          <w:i/>
          <w:spacing w:val="2"/>
        </w:rPr>
        <w:t>en todo caso, el Consejo de Administración de la Corporación Pública Empresarial de Navarra remitiría al Parlamento de Nav</w:t>
      </w:r>
      <w:r w:rsidRPr="000E1E9C">
        <w:rPr>
          <w:rFonts w:cs="Arial"/>
          <w:i/>
          <w:spacing w:val="2"/>
        </w:rPr>
        <w:t>a</w:t>
      </w:r>
      <w:r w:rsidRPr="000E1E9C">
        <w:rPr>
          <w:rFonts w:cs="Arial"/>
          <w:i/>
          <w:spacing w:val="2"/>
        </w:rPr>
        <w:t>rra para su debate y aprobación el II Plan de Reordenación del Sector Público</w:t>
      </w:r>
      <w:r w:rsidR="0088303D">
        <w:rPr>
          <w:rFonts w:cs="Arial"/>
          <w:spacing w:val="2"/>
        </w:rPr>
        <w:t xml:space="preserve">”. </w:t>
      </w:r>
    </w:p>
    <w:p w:rsidR="00AB4A69" w:rsidRPr="005C32DE" w:rsidRDefault="0088303D" w:rsidP="00D771D2">
      <w:pPr>
        <w:pStyle w:val="texto"/>
        <w:spacing w:after="160"/>
        <w:rPr>
          <w:lang w:val="es-ES"/>
        </w:rPr>
      </w:pPr>
      <w:r>
        <w:rPr>
          <w:lang w:val="es-ES"/>
        </w:rPr>
        <w:t>A</w:t>
      </w:r>
      <w:r w:rsidR="00AB4A69" w:rsidRPr="005C32DE">
        <w:rPr>
          <w:lang w:val="es-ES"/>
        </w:rPr>
        <w:t xml:space="preserve">demás de la reestructuración, </w:t>
      </w:r>
      <w:r w:rsidR="00AB4A69">
        <w:rPr>
          <w:lang w:val="es-ES"/>
        </w:rPr>
        <w:t>consecuencia de los dos planes de orden</w:t>
      </w:r>
      <w:r w:rsidR="00AB4A69">
        <w:rPr>
          <w:lang w:val="es-ES"/>
        </w:rPr>
        <w:t>a</w:t>
      </w:r>
      <w:r w:rsidR="00AB4A69">
        <w:rPr>
          <w:lang w:val="es-ES"/>
        </w:rPr>
        <w:t>ción</w:t>
      </w:r>
      <w:r>
        <w:rPr>
          <w:lang w:val="es-ES"/>
        </w:rPr>
        <w:t xml:space="preserve"> citados</w:t>
      </w:r>
      <w:r w:rsidR="00AB4A69">
        <w:rPr>
          <w:lang w:val="es-ES"/>
        </w:rPr>
        <w:t xml:space="preserve">, </w:t>
      </w:r>
      <w:r w:rsidR="00AB4A69" w:rsidRPr="005C32DE">
        <w:rPr>
          <w:lang w:val="es-ES"/>
        </w:rPr>
        <w:t>se han realizado otras operaciones que han incidido en la evol</w:t>
      </w:r>
      <w:r w:rsidR="00AB4A69" w:rsidRPr="005C32DE">
        <w:rPr>
          <w:lang w:val="es-ES"/>
        </w:rPr>
        <w:t>u</w:t>
      </w:r>
      <w:r w:rsidR="00AB4A69" w:rsidRPr="005C32DE">
        <w:rPr>
          <w:lang w:val="es-ES"/>
        </w:rPr>
        <w:t xml:space="preserve">ción del número de sociedades públicas y que son las siguientes: </w:t>
      </w:r>
    </w:p>
    <w:p w:rsidR="00AB4A69" w:rsidRPr="005C32DE" w:rsidRDefault="00AB4A69" w:rsidP="00D771D2">
      <w:pPr>
        <w:pStyle w:val="texto"/>
        <w:numPr>
          <w:ilvl w:val="0"/>
          <w:numId w:val="7"/>
        </w:numPr>
        <w:tabs>
          <w:tab w:val="clear" w:pos="2835"/>
          <w:tab w:val="clear" w:pos="3969"/>
          <w:tab w:val="clear" w:pos="5103"/>
          <w:tab w:val="clear" w:pos="6237"/>
          <w:tab w:val="clear" w:pos="7371"/>
          <w:tab w:val="num" w:pos="169"/>
          <w:tab w:val="left" w:pos="480"/>
          <w:tab w:val="num" w:pos="720"/>
        </w:tabs>
        <w:spacing w:after="160"/>
        <w:ind w:left="0" w:firstLine="289"/>
        <w:rPr>
          <w:rFonts w:cs="Arial"/>
        </w:rPr>
      </w:pPr>
      <w:r w:rsidRPr="005C32DE">
        <w:rPr>
          <w:rFonts w:cs="Arial"/>
        </w:rPr>
        <w:t>Extinción en 201</w:t>
      </w:r>
      <w:r>
        <w:rPr>
          <w:rFonts w:cs="Arial"/>
        </w:rPr>
        <w:t>2</w:t>
      </w:r>
      <w:r w:rsidRPr="005C32DE">
        <w:rPr>
          <w:rFonts w:cs="Arial"/>
        </w:rPr>
        <w:t xml:space="preserve"> de la sociedad Tuckland Footwear S.L.</w:t>
      </w:r>
    </w:p>
    <w:p w:rsidR="00AB4A69" w:rsidRPr="005C32DE" w:rsidRDefault="00AB4A69" w:rsidP="00D771D2">
      <w:pPr>
        <w:pStyle w:val="texto"/>
        <w:numPr>
          <w:ilvl w:val="0"/>
          <w:numId w:val="7"/>
        </w:numPr>
        <w:tabs>
          <w:tab w:val="clear" w:pos="2835"/>
          <w:tab w:val="clear" w:pos="3969"/>
          <w:tab w:val="clear" w:pos="5103"/>
          <w:tab w:val="clear" w:pos="6237"/>
          <w:tab w:val="clear" w:pos="7371"/>
          <w:tab w:val="num" w:pos="169"/>
          <w:tab w:val="left" w:pos="480"/>
          <w:tab w:val="num" w:pos="720"/>
        </w:tabs>
        <w:spacing w:after="160"/>
        <w:ind w:left="0" w:firstLine="289"/>
        <w:rPr>
          <w:rFonts w:cs="Arial"/>
        </w:rPr>
      </w:pPr>
      <w:r w:rsidRPr="005C32DE">
        <w:rPr>
          <w:rFonts w:cs="Arial"/>
        </w:rPr>
        <w:t>Venta en 2013 del subgrupo Burnizko S.A</w:t>
      </w:r>
    </w:p>
    <w:p w:rsidR="00AB4A69" w:rsidRPr="005C32DE" w:rsidRDefault="00AB4A69" w:rsidP="00D771D2">
      <w:pPr>
        <w:pStyle w:val="texto"/>
        <w:numPr>
          <w:ilvl w:val="0"/>
          <w:numId w:val="7"/>
        </w:numPr>
        <w:tabs>
          <w:tab w:val="clear" w:pos="2835"/>
          <w:tab w:val="clear" w:pos="3969"/>
          <w:tab w:val="clear" w:pos="5103"/>
          <w:tab w:val="clear" w:pos="6237"/>
          <w:tab w:val="clear" w:pos="7371"/>
          <w:tab w:val="num" w:pos="169"/>
          <w:tab w:val="left" w:pos="480"/>
          <w:tab w:val="num" w:pos="720"/>
        </w:tabs>
        <w:spacing w:after="160"/>
        <w:ind w:left="0" w:firstLine="289"/>
        <w:rPr>
          <w:rFonts w:cs="Arial"/>
        </w:rPr>
      </w:pPr>
      <w:r w:rsidRPr="005C32DE">
        <w:rPr>
          <w:rFonts w:cs="Arial"/>
        </w:rPr>
        <w:t xml:space="preserve">Creación en 2016 de la Sociedad </w:t>
      </w:r>
      <w:r w:rsidR="00787981" w:rsidRPr="005C32DE">
        <w:rPr>
          <w:rFonts w:cs="Arial"/>
        </w:rPr>
        <w:t xml:space="preserve">TRACASA </w:t>
      </w:r>
      <w:r w:rsidRPr="005C32DE">
        <w:rPr>
          <w:rFonts w:cs="Arial"/>
        </w:rPr>
        <w:t xml:space="preserve">Instrumental S.L. </w:t>
      </w:r>
      <w:r>
        <w:rPr>
          <w:rFonts w:cs="Arial"/>
        </w:rPr>
        <w:t>Esta soci</w:t>
      </w:r>
      <w:r>
        <w:rPr>
          <w:rFonts w:cs="Arial"/>
        </w:rPr>
        <w:t>e</w:t>
      </w:r>
      <w:r>
        <w:rPr>
          <w:rFonts w:cs="Arial"/>
        </w:rPr>
        <w:t xml:space="preserve">dad se crea </w:t>
      </w:r>
      <w:r w:rsidRPr="005C32DE">
        <w:rPr>
          <w:rFonts w:cs="Arial"/>
        </w:rPr>
        <w:t xml:space="preserve">para poder dar continuidad a los encargos que la Administración de la Comunidad Foral de Navarra encomendaba a </w:t>
      </w:r>
      <w:r w:rsidR="00787981" w:rsidRPr="005C32DE">
        <w:rPr>
          <w:rFonts w:cs="Arial"/>
        </w:rPr>
        <w:t>T</w:t>
      </w:r>
      <w:r w:rsidR="00787981">
        <w:rPr>
          <w:rFonts w:cs="Arial"/>
        </w:rPr>
        <w:t xml:space="preserve">RACASA </w:t>
      </w:r>
      <w:r w:rsidRPr="005C32DE">
        <w:rPr>
          <w:rFonts w:cs="Arial"/>
        </w:rPr>
        <w:t xml:space="preserve">y que debido a la Directiva 2014/24/CE del Parlamento Europeo y del Consejo de 26 de febrero de 2014 sobre contratación pública, iba a perder su condición de </w:t>
      </w:r>
      <w:r w:rsidR="001E6D42">
        <w:rPr>
          <w:rFonts w:cs="Arial"/>
        </w:rPr>
        <w:t xml:space="preserve">medio propio </w:t>
      </w:r>
      <w:r w:rsidRPr="005C32DE">
        <w:rPr>
          <w:rFonts w:cs="Arial"/>
        </w:rPr>
        <w:t>de</w:t>
      </w:r>
      <w:r w:rsidR="0088303D">
        <w:rPr>
          <w:rFonts w:cs="Arial"/>
        </w:rPr>
        <w:t xml:space="preserve"> </w:t>
      </w:r>
      <w:r w:rsidRPr="005C32DE">
        <w:rPr>
          <w:rFonts w:cs="Arial"/>
        </w:rPr>
        <w:t>l</w:t>
      </w:r>
      <w:r w:rsidR="0088303D">
        <w:rPr>
          <w:rFonts w:cs="Arial"/>
        </w:rPr>
        <w:t>a Administración de la Comunidad Foral</w:t>
      </w:r>
      <w:r w:rsidRPr="000340C9">
        <w:rPr>
          <w:rFonts w:cs="Arial"/>
          <w:vertAlign w:val="superscript"/>
        </w:rPr>
        <w:footnoteReference w:id="9"/>
      </w:r>
      <w:r w:rsidRPr="005C32DE">
        <w:rPr>
          <w:rFonts w:cs="Arial"/>
        </w:rPr>
        <w:t>. La creación de esta sociedad s</w:t>
      </w:r>
      <w:r w:rsidRPr="005C32DE">
        <w:rPr>
          <w:rFonts w:cs="Arial"/>
        </w:rPr>
        <w:t>u</w:t>
      </w:r>
      <w:r w:rsidRPr="005C32DE">
        <w:rPr>
          <w:rFonts w:cs="Arial"/>
        </w:rPr>
        <w:t>puso la subrogación de</w:t>
      </w:r>
      <w:r w:rsidR="007A3620">
        <w:rPr>
          <w:rFonts w:cs="Arial"/>
        </w:rPr>
        <w:t xml:space="preserve"> 285 trabajadores </w:t>
      </w:r>
      <w:r w:rsidRPr="005C32DE">
        <w:rPr>
          <w:rFonts w:cs="Arial"/>
        </w:rPr>
        <w:t xml:space="preserve">de </w:t>
      </w:r>
      <w:r w:rsidR="00787981" w:rsidRPr="005C32DE">
        <w:rPr>
          <w:rFonts w:cs="Arial"/>
        </w:rPr>
        <w:t>T</w:t>
      </w:r>
      <w:r w:rsidR="00787981">
        <w:rPr>
          <w:rFonts w:cs="Arial"/>
        </w:rPr>
        <w:t>RACASA</w:t>
      </w:r>
      <w:r w:rsidRPr="005C32DE">
        <w:rPr>
          <w:rFonts w:cs="Arial"/>
        </w:rPr>
        <w:t>.</w:t>
      </w:r>
    </w:p>
    <w:p w:rsidR="003A0021" w:rsidRDefault="003A0021" w:rsidP="00D771D2">
      <w:pPr>
        <w:pStyle w:val="texto"/>
        <w:tabs>
          <w:tab w:val="num" w:pos="2062"/>
        </w:tabs>
        <w:spacing w:after="160"/>
        <w:rPr>
          <w:lang w:val="es-ES"/>
        </w:rPr>
      </w:pPr>
      <w:r w:rsidRPr="00634015">
        <w:rPr>
          <w:lang w:val="es-ES"/>
        </w:rPr>
        <w:lastRenderedPageBreak/>
        <w:t xml:space="preserve">En el Anexo </w:t>
      </w:r>
      <w:r>
        <w:rPr>
          <w:lang w:val="es-ES"/>
        </w:rPr>
        <w:t>3 se detallan los dos procesos de fusión realizados y en el Anexo 4</w:t>
      </w:r>
      <w:r w:rsidRPr="00634015">
        <w:rPr>
          <w:lang w:val="es-ES"/>
        </w:rPr>
        <w:t xml:space="preserve"> figura el detalle individual de la evolución de las sociedades.</w:t>
      </w:r>
    </w:p>
    <w:p w:rsidR="00AB4A69" w:rsidRDefault="00AB4A69" w:rsidP="00107B6D">
      <w:pPr>
        <w:pStyle w:val="texto"/>
        <w:spacing w:after="260"/>
        <w:rPr>
          <w:lang w:val="es-ES"/>
        </w:rPr>
      </w:pPr>
      <w:r w:rsidRPr="00D84216">
        <w:rPr>
          <w:lang w:val="es-ES"/>
        </w:rPr>
        <w:t xml:space="preserve">El mapa resultante </w:t>
      </w:r>
      <w:r>
        <w:rPr>
          <w:lang w:val="es-ES"/>
        </w:rPr>
        <w:t xml:space="preserve">de las participaciones de CPEN al cierre de 2016, es el siguiente: </w:t>
      </w:r>
    </w:p>
    <w:tbl>
      <w:tblPr>
        <w:tblW w:w="8741" w:type="dxa"/>
        <w:jc w:val="center"/>
        <w:tblCellMar>
          <w:left w:w="70" w:type="dxa"/>
          <w:right w:w="70" w:type="dxa"/>
        </w:tblCellMar>
        <w:tblLook w:val="04A0" w:firstRow="1" w:lastRow="0" w:firstColumn="1" w:lastColumn="0" w:noHBand="0" w:noVBand="1"/>
      </w:tblPr>
      <w:tblGrid>
        <w:gridCol w:w="4032"/>
        <w:gridCol w:w="1566"/>
        <w:gridCol w:w="3143"/>
      </w:tblGrid>
      <w:tr w:rsidR="00AB4A69" w:rsidRPr="00E4168B" w:rsidTr="00AB4A69">
        <w:trPr>
          <w:trHeight w:val="340"/>
          <w:jc w:val="center"/>
        </w:trPr>
        <w:tc>
          <w:tcPr>
            <w:tcW w:w="8741" w:type="dxa"/>
            <w:gridSpan w:val="3"/>
            <w:tcBorders>
              <w:top w:val="single" w:sz="4" w:space="0" w:color="auto"/>
              <w:left w:val="nil"/>
              <w:bottom w:val="single" w:sz="4" w:space="0" w:color="auto"/>
              <w:right w:val="nil"/>
            </w:tcBorders>
            <w:shd w:val="clear" w:color="auto" w:fill="8DB3E2" w:themeFill="text2" w:themeFillTint="66"/>
            <w:noWrap/>
            <w:vAlign w:val="center"/>
            <w:hideMark/>
          </w:tcPr>
          <w:p w:rsidR="00AB4A69" w:rsidRPr="00E4168B" w:rsidRDefault="00AB4A69" w:rsidP="00AB4A69">
            <w:pPr>
              <w:spacing w:after="0"/>
              <w:ind w:firstLine="0"/>
              <w:jc w:val="center"/>
              <w:rPr>
                <w:rFonts w:ascii="Arial" w:hAnsi="Arial" w:cs="Arial"/>
                <w:color w:val="000000"/>
                <w:sz w:val="15"/>
                <w:szCs w:val="15"/>
                <w:lang w:val="es-ES" w:eastAsia="es-ES"/>
              </w:rPr>
            </w:pPr>
            <w:r w:rsidRPr="00E4168B">
              <w:rPr>
                <w:rFonts w:ascii="Arial" w:hAnsi="Arial" w:cs="Arial"/>
                <w:color w:val="000000"/>
                <w:sz w:val="15"/>
                <w:szCs w:val="15"/>
                <w:lang w:val="es-ES" w:eastAsia="es-ES"/>
              </w:rPr>
              <w:t>SOCIEDADES PARTICIPADAS DIRECTAMENTE EN UN PORCENTAJE SUPERIOR AL 50 POR CIEN DEL CAPITAL SOCIAL</w:t>
            </w:r>
          </w:p>
        </w:tc>
      </w:tr>
      <w:tr w:rsidR="00AB4A69" w:rsidRPr="00E4168B" w:rsidTr="00AB4A69">
        <w:trPr>
          <w:trHeight w:hRule="exact" w:val="227"/>
          <w:jc w:val="center"/>
        </w:trPr>
        <w:tc>
          <w:tcPr>
            <w:tcW w:w="4032" w:type="dxa"/>
            <w:tcBorders>
              <w:top w:val="single" w:sz="4" w:space="0" w:color="auto"/>
              <w:left w:val="nil"/>
              <w:bottom w:val="single" w:sz="4" w:space="0" w:color="auto"/>
              <w:right w:val="nil"/>
            </w:tcBorders>
            <w:shd w:val="clear" w:color="auto" w:fill="auto"/>
            <w:noWrap/>
            <w:vAlign w:val="bottom"/>
            <w:hideMark/>
          </w:tcPr>
          <w:p w:rsidR="00AB4A69" w:rsidRPr="00E4168B" w:rsidRDefault="00AB4A69" w:rsidP="00AB4A69">
            <w:pPr>
              <w:spacing w:after="0"/>
              <w:ind w:firstLine="0"/>
              <w:jc w:val="center"/>
              <w:rPr>
                <w:color w:val="000000"/>
                <w:sz w:val="15"/>
                <w:szCs w:val="15"/>
                <w:lang w:val="es-ES" w:eastAsia="es-ES"/>
              </w:rPr>
            </w:pPr>
          </w:p>
        </w:tc>
        <w:tc>
          <w:tcPr>
            <w:tcW w:w="1566" w:type="dxa"/>
            <w:tcBorders>
              <w:top w:val="single" w:sz="4" w:space="0" w:color="auto"/>
              <w:left w:val="nil"/>
              <w:bottom w:val="single" w:sz="4" w:space="0" w:color="auto"/>
              <w:right w:val="nil"/>
            </w:tcBorders>
            <w:shd w:val="clear" w:color="auto" w:fill="auto"/>
            <w:noWrap/>
            <w:vAlign w:val="bottom"/>
            <w:hideMark/>
          </w:tcPr>
          <w:p w:rsidR="00AB4A69" w:rsidRPr="00E4168B" w:rsidRDefault="00AB4A69" w:rsidP="00AB4A69">
            <w:pPr>
              <w:spacing w:after="0"/>
              <w:ind w:firstLine="0"/>
              <w:jc w:val="center"/>
              <w:rPr>
                <w:color w:val="000000"/>
                <w:sz w:val="15"/>
                <w:szCs w:val="15"/>
                <w:lang w:val="es-ES" w:eastAsia="es-ES"/>
              </w:rPr>
            </w:pPr>
          </w:p>
        </w:tc>
        <w:tc>
          <w:tcPr>
            <w:tcW w:w="3143" w:type="dxa"/>
            <w:tcBorders>
              <w:top w:val="single" w:sz="4" w:space="0" w:color="auto"/>
              <w:left w:val="nil"/>
              <w:bottom w:val="single" w:sz="4" w:space="0" w:color="auto"/>
              <w:right w:val="nil"/>
            </w:tcBorders>
            <w:shd w:val="clear" w:color="auto" w:fill="auto"/>
            <w:noWrap/>
            <w:vAlign w:val="bottom"/>
            <w:hideMark/>
          </w:tcPr>
          <w:p w:rsidR="00AB4A69" w:rsidRPr="00E4168B" w:rsidRDefault="00AB4A69" w:rsidP="00AB4A69">
            <w:pPr>
              <w:spacing w:after="0"/>
              <w:ind w:firstLine="0"/>
              <w:jc w:val="center"/>
              <w:rPr>
                <w:color w:val="000000"/>
                <w:sz w:val="15"/>
                <w:szCs w:val="15"/>
                <w:lang w:val="es-ES" w:eastAsia="es-ES"/>
              </w:rPr>
            </w:pPr>
          </w:p>
        </w:tc>
      </w:tr>
      <w:tr w:rsidR="00AB4A69" w:rsidRPr="00E4168B" w:rsidTr="00AB4A69">
        <w:trPr>
          <w:trHeight w:val="315"/>
          <w:jc w:val="center"/>
        </w:trPr>
        <w:tc>
          <w:tcPr>
            <w:tcW w:w="4032"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Pr="00E4168B" w:rsidRDefault="00AB4A69" w:rsidP="00AB4A69">
            <w:pPr>
              <w:spacing w:after="0"/>
              <w:ind w:firstLine="0"/>
              <w:jc w:val="left"/>
              <w:rPr>
                <w:rFonts w:ascii="Arial" w:hAnsi="Arial" w:cs="Arial"/>
                <w:color w:val="000000"/>
                <w:sz w:val="15"/>
                <w:szCs w:val="15"/>
                <w:lang w:val="es-ES" w:eastAsia="es-ES"/>
              </w:rPr>
            </w:pPr>
            <w:r w:rsidRPr="00E4168B">
              <w:rPr>
                <w:rFonts w:ascii="Arial" w:hAnsi="Arial" w:cs="Arial"/>
                <w:color w:val="000000"/>
                <w:sz w:val="15"/>
                <w:szCs w:val="15"/>
                <w:lang w:val="es-ES" w:eastAsia="es-ES"/>
              </w:rPr>
              <w:t>Empresa Pública Resultante</w:t>
            </w:r>
          </w:p>
        </w:tc>
        <w:tc>
          <w:tcPr>
            <w:tcW w:w="1566"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Default="00AB4A69" w:rsidP="00AB4A69">
            <w:pPr>
              <w:spacing w:after="0"/>
              <w:ind w:firstLine="0"/>
              <w:jc w:val="center"/>
              <w:rPr>
                <w:rFonts w:ascii="Arial" w:hAnsi="Arial" w:cs="Arial"/>
                <w:color w:val="000000"/>
                <w:sz w:val="15"/>
                <w:szCs w:val="15"/>
                <w:lang w:val="es-ES" w:eastAsia="es-ES"/>
              </w:rPr>
            </w:pPr>
            <w:r w:rsidRPr="00E4168B">
              <w:rPr>
                <w:rFonts w:ascii="Arial" w:hAnsi="Arial" w:cs="Arial"/>
                <w:color w:val="000000"/>
                <w:sz w:val="15"/>
                <w:szCs w:val="15"/>
                <w:lang w:val="es-ES" w:eastAsia="es-ES"/>
              </w:rPr>
              <w:t xml:space="preserve">Porcentaje </w:t>
            </w:r>
          </w:p>
          <w:p w:rsidR="00AB4A69" w:rsidRPr="00E4168B" w:rsidRDefault="00AB4A69" w:rsidP="00AB4A69">
            <w:pPr>
              <w:spacing w:after="0"/>
              <w:ind w:firstLine="0"/>
              <w:jc w:val="center"/>
              <w:rPr>
                <w:rFonts w:ascii="Arial" w:hAnsi="Arial" w:cs="Arial"/>
                <w:color w:val="000000"/>
                <w:sz w:val="15"/>
                <w:szCs w:val="15"/>
                <w:lang w:val="es-ES" w:eastAsia="es-ES"/>
              </w:rPr>
            </w:pPr>
            <w:r w:rsidRPr="00E4168B">
              <w:rPr>
                <w:rFonts w:ascii="Arial" w:hAnsi="Arial" w:cs="Arial"/>
                <w:color w:val="000000"/>
                <w:sz w:val="15"/>
                <w:szCs w:val="15"/>
                <w:lang w:val="es-ES" w:eastAsia="es-ES"/>
              </w:rPr>
              <w:t>participación</w:t>
            </w:r>
          </w:p>
        </w:tc>
        <w:tc>
          <w:tcPr>
            <w:tcW w:w="3143"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Pr="00E4168B" w:rsidRDefault="00AB4A69" w:rsidP="00CF1B1B">
            <w:pPr>
              <w:spacing w:after="0"/>
              <w:ind w:firstLine="0"/>
              <w:jc w:val="left"/>
              <w:rPr>
                <w:rFonts w:ascii="Arial" w:hAnsi="Arial" w:cs="Arial"/>
                <w:color w:val="000000"/>
                <w:sz w:val="15"/>
                <w:szCs w:val="15"/>
                <w:lang w:val="es-ES" w:eastAsia="es-ES"/>
              </w:rPr>
            </w:pPr>
            <w:r w:rsidRPr="00E4168B">
              <w:rPr>
                <w:rFonts w:ascii="Arial" w:hAnsi="Arial" w:cs="Arial"/>
                <w:color w:val="000000"/>
                <w:sz w:val="15"/>
                <w:szCs w:val="15"/>
                <w:lang w:val="es-ES" w:eastAsia="es-ES"/>
              </w:rPr>
              <w:t>Actividad económica</w:t>
            </w:r>
          </w:p>
        </w:tc>
      </w:tr>
      <w:tr w:rsidR="00AB4A69" w:rsidRPr="000608A1" w:rsidTr="00AB4A69">
        <w:trPr>
          <w:trHeight w:val="255"/>
          <w:jc w:val="center"/>
        </w:trPr>
        <w:tc>
          <w:tcPr>
            <w:tcW w:w="4032" w:type="dxa"/>
            <w:tcBorders>
              <w:top w:val="single" w:sz="4"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 Navarra de Suelo y Vivienda, SA (NASUVINSA)</w:t>
            </w:r>
          </w:p>
        </w:tc>
        <w:tc>
          <w:tcPr>
            <w:tcW w:w="1566" w:type="dxa"/>
            <w:tcBorders>
              <w:top w:val="single" w:sz="4"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4"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Suelo y Vivienda</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2. Ciudad Agroalimentaria de Tudela, SL (CAT)</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Agroalimentación</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3. Instituto Navarro de Tecnologías e Infraestructuras Agroalime</w:t>
            </w:r>
            <w:r w:rsidRPr="000608A1">
              <w:rPr>
                <w:rFonts w:ascii="Arial Narrow" w:hAnsi="Arial Narrow"/>
                <w:color w:val="000000"/>
                <w:sz w:val="16"/>
                <w:szCs w:val="16"/>
                <w:lang w:val="es-ES" w:eastAsia="es-ES"/>
              </w:rPr>
              <w:t>n</w:t>
            </w:r>
            <w:r w:rsidRPr="000608A1">
              <w:rPr>
                <w:rFonts w:ascii="Arial Narrow" w:hAnsi="Arial Narrow"/>
                <w:color w:val="000000"/>
                <w:sz w:val="16"/>
                <w:szCs w:val="16"/>
                <w:lang w:val="es-ES" w:eastAsia="es-ES"/>
              </w:rPr>
              <w:t>tarias, SA (INTIA)</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Agroalimentación</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4. Gestión Ambiental de Navarra, SA (GAN)</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Medio Ambiente</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5. Navarra de Infraestructuras Locales, SA (NILSA)</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Infraestructuras Locales</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6. Navarra  Infraestructuras Cultura, Deporte y Ocio, SL (NICDO)</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Infraestructuras Temáticas, de Cultura, Ocio y de Deporte</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7. Centro Navarro de Aprendizaje de Idiomas, SA (CNAI)</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Educación y Talento</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8. Navarra de Servicios y Tecnologías, SA (NASERTIC)</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Servicios y Tecnología para las AAPP</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9. Centro Europeo de Empresas e Innovación, SL (CEIN)</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Innovación y Emprendedores</w:t>
            </w:r>
          </w:p>
        </w:tc>
      </w:tr>
      <w:tr w:rsidR="00AB4A69" w:rsidRPr="000608A1" w:rsidTr="00AB4A69">
        <w:trPr>
          <w:trHeight w:val="255"/>
          <w:jc w:val="center"/>
        </w:trPr>
        <w:tc>
          <w:tcPr>
            <w:tcW w:w="4032"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 Trabajos Catastrales, SA (TRACASA)</w:t>
            </w:r>
          </w:p>
        </w:tc>
        <w:tc>
          <w:tcPr>
            <w:tcW w:w="1566" w:type="dxa"/>
            <w:tcBorders>
              <w:top w:val="single" w:sz="2" w:space="0" w:color="auto"/>
              <w:left w:val="nil"/>
              <w:bottom w:val="single" w:sz="2"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2" w:space="0" w:color="auto"/>
              <w:right w:val="nil"/>
            </w:tcBorders>
            <w:shd w:val="clear" w:color="auto" w:fill="auto"/>
            <w:noWrap/>
            <w:vAlign w:val="center"/>
            <w:hideMark/>
          </w:tcPr>
          <w:p w:rsidR="00AB4A69" w:rsidRPr="000608A1" w:rsidRDefault="00410CA6" w:rsidP="00AB4A69">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Catastro, cartografía y sistemas de información  territorial</w:t>
            </w:r>
          </w:p>
        </w:tc>
      </w:tr>
      <w:tr w:rsidR="00AB4A69" w:rsidRPr="000608A1" w:rsidTr="00AB4A69">
        <w:trPr>
          <w:trHeight w:val="255"/>
          <w:jc w:val="center"/>
        </w:trPr>
        <w:tc>
          <w:tcPr>
            <w:tcW w:w="4032" w:type="dxa"/>
            <w:tcBorders>
              <w:top w:val="single" w:sz="2" w:space="0" w:color="auto"/>
              <w:left w:val="nil"/>
              <w:bottom w:val="single" w:sz="4" w:space="0" w:color="auto"/>
              <w:right w:val="nil"/>
            </w:tcBorders>
            <w:shd w:val="clear" w:color="auto" w:fill="auto"/>
            <w:noWrap/>
            <w:vAlign w:val="center"/>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11. Trabajos Catastrales Instrumental S.L. (TRACAS  INS)</w:t>
            </w:r>
          </w:p>
        </w:tc>
        <w:tc>
          <w:tcPr>
            <w:tcW w:w="1566" w:type="dxa"/>
            <w:tcBorders>
              <w:top w:val="single" w:sz="2" w:space="0" w:color="auto"/>
              <w:left w:val="nil"/>
              <w:bottom w:val="single" w:sz="4" w:space="0" w:color="auto"/>
              <w:right w:val="nil"/>
            </w:tcBorders>
            <w:shd w:val="clear" w:color="auto" w:fill="auto"/>
            <w:noWrap/>
            <w:vAlign w:val="center"/>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4" w:space="0" w:color="auto"/>
              <w:right w:val="nil"/>
            </w:tcBorders>
            <w:shd w:val="clear" w:color="auto" w:fill="auto"/>
            <w:noWrap/>
            <w:vAlign w:val="center"/>
          </w:tcPr>
          <w:p w:rsidR="00AB4A69" w:rsidRPr="000608A1" w:rsidRDefault="00CF1B1B" w:rsidP="00AB4A69">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Catastro, cartografía y sistemas de información  territorial</w:t>
            </w:r>
          </w:p>
        </w:tc>
      </w:tr>
      <w:tr w:rsidR="00AB4A69" w:rsidRPr="000608A1" w:rsidTr="00AB4A69">
        <w:trPr>
          <w:trHeight w:val="255"/>
          <w:jc w:val="center"/>
        </w:trPr>
        <w:tc>
          <w:tcPr>
            <w:tcW w:w="4032" w:type="dxa"/>
            <w:tcBorders>
              <w:top w:val="single" w:sz="2" w:space="0" w:color="auto"/>
              <w:left w:val="nil"/>
              <w:bottom w:val="single" w:sz="4"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12. Sociedad de Desarrollo de Navarra, SL (SODENA)</w:t>
            </w:r>
          </w:p>
        </w:tc>
        <w:tc>
          <w:tcPr>
            <w:tcW w:w="1566" w:type="dxa"/>
            <w:tcBorders>
              <w:top w:val="single" w:sz="2" w:space="0" w:color="auto"/>
              <w:left w:val="nil"/>
              <w:bottom w:val="single" w:sz="4" w:space="0" w:color="auto"/>
              <w:right w:val="nil"/>
            </w:tcBorders>
            <w:shd w:val="clear" w:color="auto" w:fill="auto"/>
            <w:noWrap/>
            <w:vAlign w:val="center"/>
            <w:hideMark/>
          </w:tcPr>
          <w:p w:rsidR="00AB4A69" w:rsidRPr="000608A1" w:rsidRDefault="00AB4A69" w:rsidP="00AB4A69">
            <w:pPr>
              <w:spacing w:after="0"/>
              <w:ind w:firstLine="0"/>
              <w:jc w:val="center"/>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100</w:t>
            </w:r>
          </w:p>
        </w:tc>
        <w:tc>
          <w:tcPr>
            <w:tcW w:w="3143" w:type="dxa"/>
            <w:tcBorders>
              <w:top w:val="single" w:sz="2" w:space="0" w:color="auto"/>
              <w:left w:val="nil"/>
              <w:bottom w:val="single" w:sz="4" w:space="0" w:color="auto"/>
              <w:right w:val="nil"/>
            </w:tcBorders>
            <w:shd w:val="clear" w:color="auto" w:fill="auto"/>
            <w:noWrap/>
            <w:vAlign w:val="center"/>
            <w:hideMark/>
          </w:tcPr>
          <w:p w:rsidR="00AB4A69" w:rsidRPr="000608A1" w:rsidRDefault="00AB4A69" w:rsidP="00AB4A69">
            <w:pPr>
              <w:spacing w:after="0"/>
              <w:ind w:firstLine="0"/>
              <w:jc w:val="left"/>
              <w:rPr>
                <w:rFonts w:ascii="Arial Narrow" w:hAnsi="Arial Narrow"/>
                <w:color w:val="000000"/>
                <w:sz w:val="16"/>
                <w:szCs w:val="16"/>
                <w:lang w:val="es-ES" w:eastAsia="es-ES"/>
              </w:rPr>
            </w:pPr>
            <w:r w:rsidRPr="000608A1">
              <w:rPr>
                <w:rFonts w:ascii="Arial Narrow" w:hAnsi="Arial Narrow"/>
                <w:color w:val="000000"/>
                <w:sz w:val="16"/>
                <w:szCs w:val="16"/>
                <w:lang w:val="es-ES" w:eastAsia="es-ES"/>
              </w:rPr>
              <w:t>Promoción Económica y Financiación</w:t>
            </w:r>
          </w:p>
        </w:tc>
      </w:tr>
    </w:tbl>
    <w:p w:rsidR="00AB4A69" w:rsidRDefault="00AB4A69" w:rsidP="00AB4A69">
      <w:pPr>
        <w:pStyle w:val="texto"/>
        <w:spacing w:after="0"/>
        <w:rPr>
          <w:sz w:val="36"/>
          <w:szCs w:val="36"/>
          <w:lang w:val="es-ES"/>
        </w:rPr>
      </w:pPr>
    </w:p>
    <w:tbl>
      <w:tblPr>
        <w:tblW w:w="8749" w:type="dxa"/>
        <w:jc w:val="center"/>
        <w:tblLayout w:type="fixed"/>
        <w:tblCellMar>
          <w:left w:w="70" w:type="dxa"/>
          <w:right w:w="70" w:type="dxa"/>
        </w:tblCellMar>
        <w:tblLook w:val="04A0" w:firstRow="1" w:lastRow="0" w:firstColumn="1" w:lastColumn="0" w:noHBand="0" w:noVBand="1"/>
      </w:tblPr>
      <w:tblGrid>
        <w:gridCol w:w="3794"/>
        <w:gridCol w:w="1778"/>
        <w:gridCol w:w="3177"/>
      </w:tblGrid>
      <w:tr w:rsidR="00AB4A69" w:rsidRPr="00E110D2" w:rsidTr="00AB4A69">
        <w:trPr>
          <w:trHeight w:val="454"/>
          <w:jc w:val="center"/>
        </w:trPr>
        <w:tc>
          <w:tcPr>
            <w:tcW w:w="8749" w:type="dxa"/>
            <w:gridSpan w:val="3"/>
            <w:tcBorders>
              <w:top w:val="single" w:sz="4" w:space="0" w:color="auto"/>
              <w:left w:val="nil"/>
              <w:bottom w:val="single" w:sz="4" w:space="0" w:color="auto"/>
              <w:right w:val="nil"/>
            </w:tcBorders>
            <w:shd w:val="clear" w:color="auto" w:fill="8DB3E2" w:themeFill="text2" w:themeFillTint="66"/>
            <w:noWrap/>
            <w:vAlign w:val="center"/>
            <w:hideMark/>
          </w:tcPr>
          <w:p w:rsidR="00AB4A69" w:rsidRPr="00E110D2" w:rsidRDefault="00AB4A69" w:rsidP="00AB4A69">
            <w:pPr>
              <w:spacing w:after="0"/>
              <w:ind w:firstLine="0"/>
              <w:jc w:val="center"/>
              <w:rPr>
                <w:rFonts w:ascii="Arial" w:hAnsi="Arial" w:cs="Arial"/>
                <w:color w:val="000000"/>
                <w:sz w:val="16"/>
                <w:szCs w:val="16"/>
                <w:lang w:val="es-ES" w:eastAsia="es-ES"/>
              </w:rPr>
            </w:pPr>
            <w:r w:rsidRPr="00E110D2">
              <w:rPr>
                <w:rFonts w:ascii="Arial" w:hAnsi="Arial" w:cs="Arial"/>
                <w:color w:val="000000"/>
                <w:sz w:val="16"/>
                <w:szCs w:val="16"/>
                <w:lang w:val="es-ES" w:eastAsia="es-ES"/>
              </w:rPr>
              <w:t>SOCIEDADES</w:t>
            </w:r>
            <w:r>
              <w:rPr>
                <w:rFonts w:ascii="Arial" w:hAnsi="Arial" w:cs="Arial"/>
                <w:color w:val="000000"/>
                <w:sz w:val="16"/>
                <w:szCs w:val="16"/>
                <w:lang w:val="es-ES" w:eastAsia="es-ES"/>
              </w:rPr>
              <w:t xml:space="preserve"> </w:t>
            </w:r>
            <w:r w:rsidRPr="00E110D2">
              <w:rPr>
                <w:rFonts w:ascii="Arial" w:hAnsi="Arial" w:cs="Arial"/>
                <w:color w:val="000000"/>
                <w:sz w:val="16"/>
                <w:szCs w:val="16"/>
                <w:lang w:val="es-ES" w:eastAsia="es-ES"/>
              </w:rPr>
              <w:t xml:space="preserve"> PARTICIPADAS </w:t>
            </w:r>
            <w:r>
              <w:rPr>
                <w:rFonts w:ascii="Arial" w:hAnsi="Arial" w:cs="Arial"/>
                <w:color w:val="000000"/>
                <w:sz w:val="16"/>
                <w:szCs w:val="16"/>
                <w:lang w:val="es-ES" w:eastAsia="es-ES"/>
              </w:rPr>
              <w:t xml:space="preserve"> </w:t>
            </w:r>
            <w:r w:rsidRPr="00E110D2">
              <w:rPr>
                <w:rFonts w:ascii="Arial" w:hAnsi="Arial" w:cs="Arial"/>
                <w:color w:val="000000"/>
                <w:sz w:val="16"/>
                <w:szCs w:val="16"/>
                <w:lang w:val="es-ES" w:eastAsia="es-ES"/>
              </w:rPr>
              <w:t>INDIRECTAMENTE EN UN PORCENTAJE SUPERIOR AL 50 POR CIENTO DEL CAPITAL SOCIAL</w:t>
            </w:r>
          </w:p>
        </w:tc>
      </w:tr>
      <w:tr w:rsidR="00AB4A69" w:rsidRPr="00C25B24" w:rsidTr="00AB4A69">
        <w:trPr>
          <w:trHeight w:hRule="exact" w:val="227"/>
          <w:jc w:val="center"/>
        </w:trPr>
        <w:tc>
          <w:tcPr>
            <w:tcW w:w="3794" w:type="dxa"/>
            <w:tcBorders>
              <w:top w:val="single" w:sz="4" w:space="0" w:color="auto"/>
              <w:left w:val="nil"/>
              <w:bottom w:val="single" w:sz="4" w:space="0" w:color="auto"/>
              <w:right w:val="nil"/>
            </w:tcBorders>
            <w:shd w:val="clear" w:color="auto" w:fill="auto"/>
            <w:noWrap/>
            <w:vAlign w:val="bottom"/>
            <w:hideMark/>
          </w:tcPr>
          <w:p w:rsidR="00AB4A69" w:rsidRPr="00C25B24" w:rsidRDefault="00AB4A69" w:rsidP="00AB4A69">
            <w:pPr>
              <w:spacing w:after="0"/>
              <w:ind w:firstLine="0"/>
              <w:jc w:val="left"/>
              <w:rPr>
                <w:rFonts w:ascii="Calibri" w:hAnsi="Calibri"/>
                <w:color w:val="000000"/>
                <w:lang w:val="es-ES" w:eastAsia="es-ES"/>
              </w:rPr>
            </w:pPr>
          </w:p>
        </w:tc>
        <w:tc>
          <w:tcPr>
            <w:tcW w:w="1778" w:type="dxa"/>
            <w:tcBorders>
              <w:top w:val="single" w:sz="4" w:space="0" w:color="auto"/>
              <w:left w:val="nil"/>
              <w:bottom w:val="single" w:sz="4" w:space="0" w:color="auto"/>
              <w:right w:val="nil"/>
            </w:tcBorders>
            <w:shd w:val="clear" w:color="auto" w:fill="auto"/>
            <w:noWrap/>
            <w:vAlign w:val="bottom"/>
            <w:hideMark/>
          </w:tcPr>
          <w:p w:rsidR="00AB4A69" w:rsidRPr="00C25B24" w:rsidRDefault="00AB4A69" w:rsidP="00AB4A69">
            <w:pPr>
              <w:spacing w:after="0"/>
              <w:ind w:firstLine="0"/>
              <w:jc w:val="left"/>
              <w:rPr>
                <w:rFonts w:ascii="Calibri" w:hAnsi="Calibri"/>
                <w:color w:val="000000"/>
                <w:lang w:val="es-ES" w:eastAsia="es-ES"/>
              </w:rPr>
            </w:pPr>
          </w:p>
        </w:tc>
        <w:tc>
          <w:tcPr>
            <w:tcW w:w="3177" w:type="dxa"/>
            <w:tcBorders>
              <w:top w:val="single" w:sz="4" w:space="0" w:color="auto"/>
              <w:left w:val="nil"/>
              <w:bottom w:val="single" w:sz="4" w:space="0" w:color="auto"/>
              <w:right w:val="nil"/>
            </w:tcBorders>
            <w:shd w:val="clear" w:color="auto" w:fill="auto"/>
            <w:noWrap/>
            <w:vAlign w:val="bottom"/>
            <w:hideMark/>
          </w:tcPr>
          <w:p w:rsidR="00AB4A69" w:rsidRPr="00C25B24" w:rsidRDefault="00AB4A69" w:rsidP="00AB4A69">
            <w:pPr>
              <w:spacing w:after="0"/>
              <w:ind w:firstLine="0"/>
              <w:jc w:val="left"/>
              <w:rPr>
                <w:rFonts w:ascii="Calibri" w:hAnsi="Calibri"/>
                <w:color w:val="000000"/>
                <w:lang w:val="es-ES" w:eastAsia="es-ES"/>
              </w:rPr>
            </w:pPr>
          </w:p>
        </w:tc>
      </w:tr>
      <w:tr w:rsidR="00AB4A69" w:rsidRPr="008C5BF9" w:rsidTr="00AB4A69">
        <w:trPr>
          <w:trHeight w:val="300"/>
          <w:jc w:val="center"/>
        </w:trPr>
        <w:tc>
          <w:tcPr>
            <w:tcW w:w="3794"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Pr="008C5BF9" w:rsidRDefault="00AB4A69" w:rsidP="00AB4A69">
            <w:pPr>
              <w:spacing w:after="0"/>
              <w:ind w:firstLine="0"/>
              <w:jc w:val="left"/>
              <w:rPr>
                <w:rFonts w:ascii="Arial" w:hAnsi="Arial" w:cs="Arial"/>
                <w:color w:val="000000"/>
                <w:sz w:val="15"/>
                <w:szCs w:val="15"/>
                <w:lang w:val="es-ES" w:eastAsia="es-ES"/>
              </w:rPr>
            </w:pPr>
            <w:r w:rsidRPr="008C5BF9">
              <w:rPr>
                <w:rFonts w:ascii="Arial" w:hAnsi="Arial" w:cs="Arial"/>
                <w:color w:val="000000"/>
                <w:sz w:val="15"/>
                <w:szCs w:val="15"/>
                <w:lang w:val="es-ES" w:eastAsia="es-ES"/>
              </w:rPr>
              <w:t>Empresas</w:t>
            </w:r>
          </w:p>
        </w:tc>
        <w:tc>
          <w:tcPr>
            <w:tcW w:w="1778"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Pr="008C5BF9" w:rsidRDefault="00AB4A69" w:rsidP="00AB4A69">
            <w:pPr>
              <w:spacing w:after="0"/>
              <w:ind w:firstLine="0"/>
              <w:jc w:val="center"/>
              <w:rPr>
                <w:rFonts w:ascii="Arial" w:hAnsi="Arial" w:cs="Arial"/>
                <w:color w:val="000000"/>
                <w:sz w:val="15"/>
                <w:szCs w:val="15"/>
                <w:lang w:val="es-ES" w:eastAsia="es-ES"/>
              </w:rPr>
            </w:pPr>
            <w:r w:rsidRPr="008C5BF9">
              <w:rPr>
                <w:rFonts w:ascii="Arial" w:hAnsi="Arial" w:cs="Arial"/>
                <w:color w:val="000000"/>
                <w:sz w:val="15"/>
                <w:szCs w:val="15"/>
                <w:lang w:val="es-ES" w:eastAsia="es-ES"/>
              </w:rPr>
              <w:t xml:space="preserve">Porcentaje </w:t>
            </w:r>
          </w:p>
          <w:p w:rsidR="00AB4A69" w:rsidRPr="008C5BF9" w:rsidRDefault="00AB4A69" w:rsidP="00AB4A69">
            <w:pPr>
              <w:spacing w:after="0"/>
              <w:ind w:firstLine="0"/>
              <w:jc w:val="center"/>
              <w:rPr>
                <w:rFonts w:ascii="Arial" w:hAnsi="Arial" w:cs="Arial"/>
                <w:color w:val="000000"/>
                <w:sz w:val="15"/>
                <w:szCs w:val="15"/>
                <w:lang w:val="es-ES" w:eastAsia="es-ES"/>
              </w:rPr>
            </w:pPr>
            <w:r w:rsidRPr="008C5BF9">
              <w:rPr>
                <w:rFonts w:ascii="Arial" w:hAnsi="Arial" w:cs="Arial"/>
                <w:color w:val="000000"/>
                <w:sz w:val="15"/>
                <w:szCs w:val="15"/>
                <w:lang w:val="es-ES" w:eastAsia="es-ES"/>
              </w:rPr>
              <w:t>participación</w:t>
            </w:r>
          </w:p>
        </w:tc>
        <w:tc>
          <w:tcPr>
            <w:tcW w:w="3177" w:type="dxa"/>
            <w:tcBorders>
              <w:top w:val="single" w:sz="4" w:space="0" w:color="auto"/>
              <w:left w:val="nil"/>
              <w:bottom w:val="single" w:sz="4" w:space="0" w:color="auto"/>
              <w:right w:val="nil"/>
            </w:tcBorders>
            <w:shd w:val="clear" w:color="auto" w:fill="8DB3E2" w:themeFill="text2" w:themeFillTint="66"/>
            <w:noWrap/>
            <w:vAlign w:val="center"/>
            <w:hideMark/>
          </w:tcPr>
          <w:p w:rsidR="00AB4A69" w:rsidRPr="008C5BF9" w:rsidRDefault="00AB4A69" w:rsidP="00CF1B1B">
            <w:pPr>
              <w:spacing w:after="0"/>
              <w:ind w:firstLine="0"/>
              <w:jc w:val="left"/>
              <w:rPr>
                <w:rFonts w:ascii="Arial" w:hAnsi="Arial" w:cs="Arial"/>
                <w:color w:val="000000"/>
                <w:sz w:val="15"/>
                <w:szCs w:val="15"/>
                <w:lang w:val="es-ES" w:eastAsia="es-ES"/>
              </w:rPr>
            </w:pPr>
            <w:r w:rsidRPr="008C5BF9">
              <w:rPr>
                <w:rFonts w:ascii="Arial" w:hAnsi="Arial" w:cs="Arial"/>
                <w:color w:val="000000"/>
                <w:sz w:val="15"/>
                <w:szCs w:val="15"/>
                <w:lang w:val="es-ES" w:eastAsia="es-ES"/>
              </w:rPr>
              <w:t xml:space="preserve">Actividad </w:t>
            </w:r>
            <w:r w:rsidR="007C6F82">
              <w:rPr>
                <w:rFonts w:ascii="Arial" w:hAnsi="Arial" w:cs="Arial"/>
                <w:color w:val="000000"/>
                <w:sz w:val="15"/>
                <w:szCs w:val="15"/>
                <w:lang w:val="es-ES" w:eastAsia="es-ES"/>
              </w:rPr>
              <w:t>económica</w:t>
            </w:r>
          </w:p>
        </w:tc>
      </w:tr>
      <w:tr w:rsidR="00AB4A69" w:rsidRPr="00E4168B" w:rsidTr="00AB4A69">
        <w:trPr>
          <w:trHeight w:val="255"/>
          <w:jc w:val="center"/>
        </w:trPr>
        <w:tc>
          <w:tcPr>
            <w:tcW w:w="3794" w:type="dxa"/>
            <w:tcBorders>
              <w:top w:val="single" w:sz="4"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13. Start Up Capital Navarra, SA</w:t>
            </w:r>
          </w:p>
        </w:tc>
        <w:tc>
          <w:tcPr>
            <w:tcW w:w="1778" w:type="dxa"/>
            <w:tcBorders>
              <w:top w:val="single" w:sz="4" w:space="0" w:color="auto"/>
              <w:left w:val="nil"/>
              <w:bottom w:val="single" w:sz="2" w:space="0" w:color="auto"/>
              <w:right w:val="nil"/>
            </w:tcBorders>
            <w:shd w:val="clear" w:color="auto" w:fill="auto"/>
            <w:noWrap/>
            <w:vAlign w:val="center"/>
            <w:hideMark/>
          </w:tcPr>
          <w:p w:rsidR="00AB4A69" w:rsidRPr="00E4168B" w:rsidRDefault="00AB4A69" w:rsidP="001D585C">
            <w:pPr>
              <w:spacing w:after="0"/>
              <w:ind w:firstLine="0"/>
              <w:jc w:val="center"/>
              <w:rPr>
                <w:rFonts w:ascii="Arial Narrow" w:hAnsi="Arial Narrow"/>
                <w:color w:val="000000"/>
                <w:sz w:val="16"/>
                <w:szCs w:val="16"/>
                <w:lang w:val="es-ES" w:eastAsia="es-ES"/>
              </w:rPr>
            </w:pPr>
            <w:r w:rsidRPr="00E4168B">
              <w:rPr>
                <w:rFonts w:ascii="Arial Narrow" w:hAnsi="Arial Narrow"/>
                <w:color w:val="000000"/>
                <w:sz w:val="16"/>
                <w:szCs w:val="16"/>
                <w:lang w:eastAsia="es-ES"/>
              </w:rPr>
              <w:t>59,</w:t>
            </w:r>
            <w:r w:rsidR="001D585C">
              <w:rPr>
                <w:rFonts w:ascii="Arial Narrow" w:hAnsi="Arial Narrow"/>
                <w:color w:val="000000"/>
                <w:sz w:val="16"/>
                <w:szCs w:val="16"/>
                <w:lang w:eastAsia="es-ES"/>
              </w:rPr>
              <w:t>5</w:t>
            </w:r>
          </w:p>
        </w:tc>
        <w:tc>
          <w:tcPr>
            <w:tcW w:w="3177" w:type="dxa"/>
            <w:tcBorders>
              <w:top w:val="single" w:sz="4"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Promoción y fomento de empresas</w:t>
            </w:r>
          </w:p>
        </w:tc>
      </w:tr>
      <w:tr w:rsidR="00AB4A69" w:rsidRPr="00E4168B" w:rsidTr="00AB4A69">
        <w:trPr>
          <w:trHeight w:val="255"/>
          <w:jc w:val="center"/>
        </w:trPr>
        <w:tc>
          <w:tcPr>
            <w:tcW w:w="3794"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14. Salinas de Navarra, SA</w:t>
            </w:r>
          </w:p>
        </w:tc>
        <w:tc>
          <w:tcPr>
            <w:tcW w:w="1778"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center"/>
              <w:rPr>
                <w:rFonts w:ascii="Arial Narrow" w:hAnsi="Arial Narrow"/>
                <w:color w:val="000000"/>
                <w:sz w:val="16"/>
                <w:szCs w:val="16"/>
                <w:lang w:val="es-ES" w:eastAsia="es-ES"/>
              </w:rPr>
            </w:pPr>
            <w:r w:rsidRPr="00E4168B">
              <w:rPr>
                <w:rFonts w:ascii="Arial Narrow" w:hAnsi="Arial Narrow"/>
                <w:color w:val="000000"/>
                <w:sz w:val="16"/>
                <w:szCs w:val="16"/>
                <w:lang w:eastAsia="es-ES"/>
              </w:rPr>
              <w:t>76</w:t>
            </w:r>
          </w:p>
        </w:tc>
        <w:tc>
          <w:tcPr>
            <w:tcW w:w="3177"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Producción, elaboración y comercialización de la sal y sus derivados</w:t>
            </w:r>
          </w:p>
        </w:tc>
      </w:tr>
      <w:tr w:rsidR="00AB4A69" w:rsidRPr="00E4168B" w:rsidTr="00AB4A69">
        <w:trPr>
          <w:trHeight w:val="255"/>
          <w:jc w:val="center"/>
        </w:trPr>
        <w:tc>
          <w:tcPr>
            <w:tcW w:w="3794"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15. Potasas de Subiza, SA</w:t>
            </w:r>
          </w:p>
        </w:tc>
        <w:tc>
          <w:tcPr>
            <w:tcW w:w="1778"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center"/>
              <w:rPr>
                <w:rFonts w:ascii="Arial Narrow" w:hAnsi="Arial Narrow"/>
                <w:color w:val="000000"/>
                <w:sz w:val="16"/>
                <w:szCs w:val="16"/>
                <w:lang w:val="es-ES" w:eastAsia="es-ES"/>
              </w:rPr>
            </w:pPr>
            <w:r w:rsidRPr="00E4168B">
              <w:rPr>
                <w:rFonts w:ascii="Arial Narrow" w:hAnsi="Arial Narrow"/>
                <w:color w:val="000000"/>
                <w:sz w:val="16"/>
                <w:szCs w:val="16"/>
                <w:lang w:eastAsia="es-ES"/>
              </w:rPr>
              <w:t>100</w:t>
            </w:r>
          </w:p>
        </w:tc>
        <w:tc>
          <w:tcPr>
            <w:tcW w:w="3177" w:type="dxa"/>
            <w:tcBorders>
              <w:top w:val="single" w:sz="2" w:space="0" w:color="auto"/>
              <w:left w:val="nil"/>
              <w:bottom w:val="single" w:sz="2"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Abonos minerales y productos derivados de sales potásicas y sódicas</w:t>
            </w:r>
          </w:p>
        </w:tc>
      </w:tr>
      <w:tr w:rsidR="00AB4A69" w:rsidRPr="00E4168B" w:rsidTr="00AB4A69">
        <w:trPr>
          <w:trHeight w:val="255"/>
          <w:jc w:val="center"/>
        </w:trPr>
        <w:tc>
          <w:tcPr>
            <w:tcW w:w="3794" w:type="dxa"/>
            <w:tcBorders>
              <w:top w:val="single" w:sz="2" w:space="0" w:color="auto"/>
              <w:left w:val="nil"/>
              <w:bottom w:val="single" w:sz="4"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16. Natural Climate Systems, SA</w:t>
            </w:r>
          </w:p>
        </w:tc>
        <w:tc>
          <w:tcPr>
            <w:tcW w:w="1778" w:type="dxa"/>
            <w:tcBorders>
              <w:top w:val="single" w:sz="2" w:space="0" w:color="auto"/>
              <w:left w:val="nil"/>
              <w:bottom w:val="single" w:sz="4" w:space="0" w:color="auto"/>
              <w:right w:val="nil"/>
            </w:tcBorders>
            <w:shd w:val="clear" w:color="auto" w:fill="auto"/>
            <w:noWrap/>
            <w:vAlign w:val="center"/>
            <w:hideMark/>
          </w:tcPr>
          <w:p w:rsidR="00AB4A69" w:rsidRPr="00E4168B" w:rsidRDefault="001D585C" w:rsidP="001D585C">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eastAsia="es-ES"/>
              </w:rPr>
              <w:t>100</w:t>
            </w:r>
          </w:p>
        </w:tc>
        <w:tc>
          <w:tcPr>
            <w:tcW w:w="3177" w:type="dxa"/>
            <w:tcBorders>
              <w:top w:val="single" w:sz="2" w:space="0" w:color="auto"/>
              <w:left w:val="nil"/>
              <w:bottom w:val="single" w:sz="4" w:space="0" w:color="auto"/>
              <w:right w:val="nil"/>
            </w:tcBorders>
            <w:shd w:val="clear" w:color="auto" w:fill="auto"/>
            <w:noWrap/>
            <w:vAlign w:val="center"/>
            <w:hideMark/>
          </w:tcPr>
          <w:p w:rsidR="00AB4A69" w:rsidRPr="00E4168B" w:rsidRDefault="00AB4A69" w:rsidP="00AB4A69">
            <w:pPr>
              <w:spacing w:after="0"/>
              <w:ind w:firstLine="0"/>
              <w:jc w:val="left"/>
              <w:rPr>
                <w:rFonts w:ascii="Arial Narrow" w:hAnsi="Arial Narrow"/>
                <w:color w:val="000000"/>
                <w:sz w:val="16"/>
                <w:szCs w:val="16"/>
                <w:lang w:val="es-ES" w:eastAsia="es-ES"/>
              </w:rPr>
            </w:pPr>
            <w:r w:rsidRPr="00E4168B">
              <w:rPr>
                <w:rFonts w:ascii="Arial Narrow" w:hAnsi="Arial Narrow"/>
                <w:color w:val="000000"/>
                <w:sz w:val="16"/>
                <w:szCs w:val="16"/>
                <w:lang w:eastAsia="es-ES"/>
              </w:rPr>
              <w:t>Promoción inmobiliaria con criterios de eficiencia energética</w:t>
            </w:r>
          </w:p>
        </w:tc>
      </w:tr>
    </w:tbl>
    <w:p w:rsidR="00AB4A69" w:rsidRPr="00023AB9" w:rsidRDefault="00AB4A69" w:rsidP="00ED0ABE">
      <w:pPr>
        <w:pStyle w:val="atitulo3"/>
        <w:spacing w:before="400" w:after="200"/>
        <w:rPr>
          <w:i w:val="0"/>
          <w:sz w:val="24"/>
          <w:szCs w:val="24"/>
        </w:rPr>
      </w:pPr>
      <w:r w:rsidRPr="00023AB9">
        <w:rPr>
          <w:i w:val="0"/>
          <w:sz w:val="24"/>
          <w:szCs w:val="24"/>
        </w:rPr>
        <w:t>Sector público fundacional</w:t>
      </w:r>
    </w:p>
    <w:p w:rsidR="0088303D" w:rsidRDefault="0088303D" w:rsidP="00ED0ABE">
      <w:pPr>
        <w:pStyle w:val="texto"/>
        <w:spacing w:before="200" w:after="240"/>
        <w:rPr>
          <w:lang w:val="es-ES"/>
        </w:rPr>
      </w:pPr>
      <w:r w:rsidRPr="008F214C">
        <w:rPr>
          <w:lang w:val="es-ES"/>
        </w:rPr>
        <w:t xml:space="preserve">La evolución de las fundaciones se refleja en el siguiente cuadro:  </w:t>
      </w:r>
    </w:p>
    <w:tbl>
      <w:tblPr>
        <w:tblW w:w="878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357"/>
        <w:gridCol w:w="3194"/>
        <w:gridCol w:w="567"/>
        <w:gridCol w:w="532"/>
        <w:gridCol w:w="496"/>
        <w:gridCol w:w="567"/>
        <w:gridCol w:w="567"/>
        <w:gridCol w:w="508"/>
      </w:tblGrid>
      <w:tr w:rsidR="0088303D" w:rsidRPr="008D494B" w:rsidTr="0088303D">
        <w:trPr>
          <w:trHeight w:val="300"/>
          <w:jc w:val="center"/>
        </w:trPr>
        <w:tc>
          <w:tcPr>
            <w:tcW w:w="2357" w:type="dxa"/>
            <w:shd w:val="clear" w:color="000000" w:fill="8DB4E2"/>
            <w:noWrap/>
            <w:vAlign w:val="center"/>
            <w:hideMark/>
          </w:tcPr>
          <w:p w:rsidR="0088303D" w:rsidRPr="008D494B" w:rsidRDefault="0088303D" w:rsidP="0088303D">
            <w:pPr>
              <w:spacing w:after="0"/>
              <w:ind w:firstLine="0"/>
              <w:jc w:val="left"/>
              <w:rPr>
                <w:rFonts w:ascii="Arial" w:hAnsi="Arial" w:cs="Arial"/>
                <w:color w:val="000000"/>
                <w:sz w:val="16"/>
                <w:szCs w:val="16"/>
                <w:lang w:val="es-ES" w:eastAsia="es-ES"/>
              </w:rPr>
            </w:pPr>
          </w:p>
        </w:tc>
        <w:tc>
          <w:tcPr>
            <w:tcW w:w="3194"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2010</w:t>
            </w:r>
          </w:p>
        </w:tc>
        <w:tc>
          <w:tcPr>
            <w:tcW w:w="567"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2011</w:t>
            </w:r>
          </w:p>
        </w:tc>
        <w:tc>
          <w:tcPr>
            <w:tcW w:w="532"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2012</w:t>
            </w:r>
          </w:p>
        </w:tc>
        <w:tc>
          <w:tcPr>
            <w:tcW w:w="496"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2013</w:t>
            </w:r>
          </w:p>
        </w:tc>
        <w:tc>
          <w:tcPr>
            <w:tcW w:w="567"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2014</w:t>
            </w:r>
          </w:p>
        </w:tc>
        <w:tc>
          <w:tcPr>
            <w:tcW w:w="567"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2015</w:t>
            </w:r>
          </w:p>
        </w:tc>
        <w:tc>
          <w:tcPr>
            <w:tcW w:w="508" w:type="dxa"/>
            <w:shd w:val="clear" w:color="000000" w:fill="8DB4E2"/>
            <w:noWrap/>
            <w:vAlign w:val="center"/>
            <w:hideMark/>
          </w:tcPr>
          <w:p w:rsidR="0088303D" w:rsidRPr="008D494B" w:rsidRDefault="0088303D" w:rsidP="0088303D">
            <w:pPr>
              <w:spacing w:after="0"/>
              <w:ind w:firstLine="0"/>
              <w:jc w:val="right"/>
              <w:rPr>
                <w:rFonts w:ascii="Arial" w:hAnsi="Arial" w:cs="Arial"/>
                <w:color w:val="000000"/>
                <w:sz w:val="16"/>
                <w:szCs w:val="16"/>
                <w:lang w:val="es-ES" w:eastAsia="es-ES"/>
              </w:rPr>
            </w:pPr>
            <w:r w:rsidRPr="008D494B">
              <w:rPr>
                <w:rFonts w:ascii="Arial" w:hAnsi="Arial" w:cs="Arial"/>
                <w:color w:val="000000"/>
                <w:sz w:val="16"/>
                <w:szCs w:val="16"/>
                <w:lang w:val="es-ES" w:eastAsia="es-ES"/>
              </w:rPr>
              <w:t>2016</w:t>
            </w:r>
          </w:p>
        </w:tc>
      </w:tr>
      <w:tr w:rsidR="0088303D" w:rsidRPr="006027D2" w:rsidTr="0088303D">
        <w:trPr>
          <w:trHeight w:val="255"/>
          <w:jc w:val="center"/>
        </w:trPr>
        <w:tc>
          <w:tcPr>
            <w:tcW w:w="2357" w:type="dxa"/>
            <w:shd w:val="clear" w:color="auto" w:fill="auto"/>
            <w:noWrap/>
            <w:vAlign w:val="center"/>
            <w:hideMark/>
          </w:tcPr>
          <w:p w:rsidR="0088303D" w:rsidRPr="006027D2" w:rsidRDefault="00547823" w:rsidP="0088303D">
            <w:pPr>
              <w:spacing w:after="0"/>
              <w:ind w:firstLine="0"/>
              <w:jc w:val="left"/>
              <w:rPr>
                <w:rFonts w:ascii="Arial Narrow" w:hAnsi="Arial Narrow" w:cs="Arial"/>
                <w:bCs/>
                <w:sz w:val="17"/>
                <w:szCs w:val="17"/>
                <w:lang w:val="es-ES" w:eastAsia="es-ES"/>
              </w:rPr>
            </w:pPr>
            <w:r w:rsidRPr="006027D2">
              <w:rPr>
                <w:rFonts w:ascii="Arial Narrow" w:hAnsi="Arial Narrow" w:cs="Arial"/>
                <w:color w:val="000000"/>
                <w:sz w:val="17"/>
                <w:szCs w:val="17"/>
                <w:lang w:val="es-ES" w:eastAsia="es-ES"/>
              </w:rPr>
              <w:t>Fundaciones Públicas</w:t>
            </w:r>
          </w:p>
        </w:tc>
        <w:tc>
          <w:tcPr>
            <w:tcW w:w="3194"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7</w:t>
            </w:r>
          </w:p>
        </w:tc>
        <w:tc>
          <w:tcPr>
            <w:tcW w:w="567"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7</w:t>
            </w:r>
          </w:p>
        </w:tc>
        <w:tc>
          <w:tcPr>
            <w:tcW w:w="532"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7</w:t>
            </w:r>
          </w:p>
        </w:tc>
        <w:tc>
          <w:tcPr>
            <w:tcW w:w="496"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7</w:t>
            </w:r>
          </w:p>
        </w:tc>
        <w:tc>
          <w:tcPr>
            <w:tcW w:w="567"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6</w:t>
            </w:r>
          </w:p>
        </w:tc>
        <w:tc>
          <w:tcPr>
            <w:tcW w:w="567"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4</w:t>
            </w:r>
          </w:p>
        </w:tc>
        <w:tc>
          <w:tcPr>
            <w:tcW w:w="508" w:type="dxa"/>
            <w:shd w:val="clear" w:color="auto" w:fill="auto"/>
            <w:noWrap/>
            <w:vAlign w:val="center"/>
            <w:hideMark/>
          </w:tcPr>
          <w:p w:rsidR="0088303D" w:rsidRPr="006027D2" w:rsidRDefault="0088303D" w:rsidP="0088303D">
            <w:pPr>
              <w:spacing w:after="0"/>
              <w:ind w:firstLine="0"/>
              <w:jc w:val="right"/>
              <w:rPr>
                <w:rFonts w:ascii="Arial Narrow" w:hAnsi="Arial Narrow" w:cs="Arial"/>
                <w:bCs/>
                <w:sz w:val="17"/>
                <w:szCs w:val="17"/>
                <w:lang w:val="es-ES" w:eastAsia="es-ES"/>
              </w:rPr>
            </w:pPr>
            <w:r w:rsidRPr="006027D2">
              <w:rPr>
                <w:rFonts w:ascii="Arial Narrow" w:hAnsi="Arial Narrow" w:cs="Arial"/>
                <w:bCs/>
                <w:sz w:val="17"/>
                <w:szCs w:val="17"/>
                <w:lang w:val="es-ES" w:eastAsia="es-ES"/>
              </w:rPr>
              <w:t>4</w:t>
            </w:r>
          </w:p>
        </w:tc>
      </w:tr>
    </w:tbl>
    <w:p w:rsidR="0088303D" w:rsidRDefault="0088303D" w:rsidP="00ED0ABE">
      <w:pPr>
        <w:pStyle w:val="texto"/>
        <w:spacing w:before="240" w:after="160"/>
        <w:rPr>
          <w:lang w:val="es-ES"/>
        </w:rPr>
      </w:pPr>
      <w:r w:rsidRPr="0088303D">
        <w:rPr>
          <w:lang w:val="es-ES"/>
        </w:rPr>
        <w:t>En el Anexo 5 figura la relación de fundaciones y su evolución</w:t>
      </w:r>
      <w:r w:rsidR="00015A31">
        <w:rPr>
          <w:lang w:val="es-ES"/>
        </w:rPr>
        <w:t>.</w:t>
      </w:r>
    </w:p>
    <w:p w:rsidR="00AB4A69" w:rsidRPr="00D84216" w:rsidRDefault="00AB4A69" w:rsidP="00AB4A69">
      <w:pPr>
        <w:pStyle w:val="texto"/>
        <w:spacing w:after="120"/>
        <w:rPr>
          <w:lang w:val="es-ES"/>
        </w:rPr>
      </w:pPr>
      <w:r>
        <w:rPr>
          <w:lang w:val="es-ES"/>
        </w:rPr>
        <w:t>El Gobierno de Navarra</w:t>
      </w:r>
      <w:r w:rsidR="00712504">
        <w:rPr>
          <w:lang w:val="es-ES"/>
        </w:rPr>
        <w:t>,</w:t>
      </w:r>
      <w:r>
        <w:rPr>
          <w:lang w:val="es-ES"/>
        </w:rPr>
        <w:t xml:space="preserve"> en mayo de 2013</w:t>
      </w:r>
      <w:r w:rsidR="00712504">
        <w:rPr>
          <w:lang w:val="es-ES"/>
        </w:rPr>
        <w:t>,</w:t>
      </w:r>
      <w:r>
        <w:rPr>
          <w:lang w:val="es-ES"/>
        </w:rPr>
        <w:t xml:space="preserve"> aprobó el </w:t>
      </w:r>
      <w:r w:rsidRPr="00D84216">
        <w:rPr>
          <w:lang w:val="es-ES"/>
        </w:rPr>
        <w:t>Plan de Acc</w:t>
      </w:r>
      <w:r>
        <w:rPr>
          <w:lang w:val="es-ES"/>
        </w:rPr>
        <w:t>ión 2013</w:t>
      </w:r>
      <w:r>
        <w:rPr>
          <w:lang w:val="es-ES"/>
        </w:rPr>
        <w:noBreakHyphen/>
        <w:t>2015</w:t>
      </w:r>
      <w:r w:rsidRPr="00D84216">
        <w:rPr>
          <w:lang w:val="es-ES"/>
        </w:rPr>
        <w:t xml:space="preserve">, </w:t>
      </w:r>
      <w:r>
        <w:rPr>
          <w:lang w:val="es-ES"/>
        </w:rPr>
        <w:t>por el que se ac</w:t>
      </w:r>
      <w:r w:rsidRPr="00D84216">
        <w:rPr>
          <w:lang w:val="es-ES"/>
        </w:rPr>
        <w:t>uerdan diversas medidas de reforma de la Admini</w:t>
      </w:r>
      <w:r w:rsidRPr="00D84216">
        <w:rPr>
          <w:lang w:val="es-ES"/>
        </w:rPr>
        <w:t>s</w:t>
      </w:r>
      <w:r w:rsidRPr="00D84216">
        <w:rPr>
          <w:lang w:val="es-ES"/>
        </w:rPr>
        <w:t>tración para reducir estructura y mejorar la eficiencia, entre ellas, la reorden</w:t>
      </w:r>
      <w:r w:rsidRPr="00D84216">
        <w:rPr>
          <w:lang w:val="es-ES"/>
        </w:rPr>
        <w:t>a</w:t>
      </w:r>
      <w:r w:rsidRPr="00D84216">
        <w:rPr>
          <w:lang w:val="es-ES"/>
        </w:rPr>
        <w:t>ción o supresión de f</w:t>
      </w:r>
      <w:r w:rsidR="007A3620">
        <w:rPr>
          <w:lang w:val="es-ES"/>
        </w:rPr>
        <w:t>undaciones públicas</w:t>
      </w:r>
      <w:r>
        <w:rPr>
          <w:lang w:val="es-ES"/>
        </w:rPr>
        <w:t>.</w:t>
      </w:r>
    </w:p>
    <w:p w:rsidR="00AB4A69" w:rsidRPr="00D84216" w:rsidRDefault="00AB4A69" w:rsidP="00AB4A69">
      <w:pPr>
        <w:pStyle w:val="texto"/>
        <w:spacing w:after="120"/>
        <w:rPr>
          <w:lang w:val="es-ES"/>
        </w:rPr>
      </w:pPr>
      <w:r>
        <w:rPr>
          <w:lang w:val="es-ES"/>
        </w:rPr>
        <w:lastRenderedPageBreak/>
        <w:t xml:space="preserve">En aplicación del citado plan, mediante Acuerdo del Gobierno de Navarra de </w:t>
      </w:r>
      <w:r w:rsidRPr="00D84216">
        <w:rPr>
          <w:lang w:val="es-ES"/>
        </w:rPr>
        <w:t>20 de marzo de 2014</w:t>
      </w:r>
      <w:r>
        <w:rPr>
          <w:rStyle w:val="Refdenotaalpie"/>
          <w:lang w:val="es-ES"/>
        </w:rPr>
        <w:footnoteReference w:id="10"/>
      </w:r>
      <w:r w:rsidRPr="00D84216">
        <w:rPr>
          <w:lang w:val="es-ES"/>
        </w:rPr>
        <w:t xml:space="preserve">, </w:t>
      </w:r>
      <w:r>
        <w:rPr>
          <w:lang w:val="es-ES"/>
        </w:rPr>
        <w:t xml:space="preserve">se aprueba </w:t>
      </w:r>
      <w:r w:rsidRPr="00D84216">
        <w:rPr>
          <w:lang w:val="es-ES"/>
        </w:rPr>
        <w:t>el inicio de los procedimientos de exti</w:t>
      </w:r>
      <w:r w:rsidRPr="00D84216">
        <w:rPr>
          <w:lang w:val="es-ES"/>
        </w:rPr>
        <w:t>n</w:t>
      </w:r>
      <w:r w:rsidRPr="00D84216">
        <w:rPr>
          <w:lang w:val="es-ES"/>
        </w:rPr>
        <w:t>ción o modificación de los estatutos de determinadas fundaciones de la Adm</w:t>
      </w:r>
      <w:r w:rsidRPr="00D84216">
        <w:rPr>
          <w:lang w:val="es-ES"/>
        </w:rPr>
        <w:t>i</w:t>
      </w:r>
      <w:r w:rsidRPr="00D84216">
        <w:rPr>
          <w:lang w:val="es-ES"/>
        </w:rPr>
        <w:t>nistración de la Comuni</w:t>
      </w:r>
      <w:r>
        <w:rPr>
          <w:lang w:val="es-ES"/>
        </w:rPr>
        <w:t xml:space="preserve">dad Foral de Navarra. </w:t>
      </w:r>
    </w:p>
    <w:p w:rsidR="00AB4A69" w:rsidRPr="00334690" w:rsidRDefault="00AB4A69" w:rsidP="00787723">
      <w:pPr>
        <w:pStyle w:val="texto"/>
        <w:spacing w:after="240"/>
        <w:rPr>
          <w:spacing w:val="0"/>
          <w:lang w:val="es-ES"/>
        </w:rPr>
      </w:pPr>
      <w:r w:rsidRPr="00334690">
        <w:rPr>
          <w:spacing w:val="0"/>
          <w:lang w:val="es-ES"/>
        </w:rPr>
        <w:t xml:space="preserve">Los posteriores acuerdos adoptados y el resultado de los mismos es el siguiente: </w:t>
      </w:r>
    </w:p>
    <w:tbl>
      <w:tblPr>
        <w:tblW w:w="8996" w:type="dxa"/>
        <w:jc w:val="center"/>
        <w:tblLayout w:type="fixed"/>
        <w:tblCellMar>
          <w:left w:w="70" w:type="dxa"/>
          <w:right w:w="70" w:type="dxa"/>
        </w:tblCellMar>
        <w:tblLook w:val="04A0" w:firstRow="1" w:lastRow="0" w:firstColumn="1" w:lastColumn="0" w:noHBand="0" w:noVBand="1"/>
      </w:tblPr>
      <w:tblGrid>
        <w:gridCol w:w="2032"/>
        <w:gridCol w:w="1413"/>
        <w:gridCol w:w="851"/>
        <w:gridCol w:w="2232"/>
        <w:gridCol w:w="2468"/>
      </w:tblGrid>
      <w:tr w:rsidR="00AB4A69" w:rsidRPr="00C25736" w:rsidTr="00AB4A69">
        <w:trPr>
          <w:trHeight w:val="369"/>
          <w:jc w:val="center"/>
        </w:trPr>
        <w:tc>
          <w:tcPr>
            <w:tcW w:w="2032" w:type="dxa"/>
            <w:tcBorders>
              <w:top w:val="single" w:sz="4" w:space="0" w:color="auto"/>
              <w:left w:val="nil"/>
              <w:bottom w:val="single" w:sz="4" w:space="0" w:color="auto"/>
              <w:right w:val="nil"/>
            </w:tcBorders>
            <w:shd w:val="clear" w:color="000000" w:fill="8DB4E2"/>
            <w:noWrap/>
            <w:vAlign w:val="center"/>
            <w:hideMark/>
          </w:tcPr>
          <w:p w:rsidR="00AB4A69" w:rsidRPr="00C25736" w:rsidRDefault="00AB4A69" w:rsidP="00AB4A69">
            <w:pPr>
              <w:spacing w:after="0"/>
              <w:ind w:firstLine="0"/>
              <w:jc w:val="left"/>
              <w:rPr>
                <w:rFonts w:ascii="Arial" w:hAnsi="Arial" w:cs="Arial"/>
                <w:color w:val="000000"/>
                <w:sz w:val="15"/>
                <w:szCs w:val="15"/>
                <w:lang w:val="es-ES" w:eastAsia="es-ES"/>
              </w:rPr>
            </w:pPr>
            <w:r w:rsidRPr="00C25736">
              <w:rPr>
                <w:rFonts w:ascii="Arial" w:hAnsi="Arial" w:cs="Arial"/>
                <w:color w:val="000000"/>
                <w:sz w:val="15"/>
                <w:szCs w:val="15"/>
                <w:lang w:val="es-ES" w:eastAsia="es-ES"/>
              </w:rPr>
              <w:t>Entidad</w:t>
            </w:r>
            <w:r w:rsidR="007C6F82">
              <w:rPr>
                <w:rFonts w:ascii="Arial" w:hAnsi="Arial" w:cs="Arial"/>
                <w:color w:val="000000"/>
                <w:sz w:val="15"/>
                <w:szCs w:val="15"/>
                <w:lang w:val="es-ES" w:eastAsia="es-ES"/>
              </w:rPr>
              <w:t xml:space="preserve"> suprimida</w:t>
            </w:r>
          </w:p>
        </w:tc>
        <w:tc>
          <w:tcPr>
            <w:tcW w:w="1413" w:type="dxa"/>
            <w:tcBorders>
              <w:top w:val="single" w:sz="4" w:space="0" w:color="auto"/>
              <w:left w:val="nil"/>
              <w:bottom w:val="single" w:sz="4" w:space="0" w:color="auto"/>
              <w:right w:val="nil"/>
            </w:tcBorders>
            <w:shd w:val="clear" w:color="000000" w:fill="8DB4E2"/>
            <w:noWrap/>
            <w:vAlign w:val="center"/>
            <w:hideMark/>
          </w:tcPr>
          <w:p w:rsidR="00AB4A69" w:rsidRDefault="00AB4A69" w:rsidP="00AB4A69">
            <w:pPr>
              <w:spacing w:after="0"/>
              <w:ind w:firstLine="0"/>
              <w:jc w:val="left"/>
              <w:rPr>
                <w:rFonts w:ascii="Arial" w:hAnsi="Arial" w:cs="Arial"/>
                <w:color w:val="000000"/>
                <w:sz w:val="15"/>
                <w:szCs w:val="15"/>
                <w:lang w:val="es-ES" w:eastAsia="es-ES"/>
              </w:rPr>
            </w:pPr>
            <w:r w:rsidRPr="00C25736">
              <w:rPr>
                <w:rFonts w:ascii="Arial" w:hAnsi="Arial" w:cs="Arial"/>
                <w:color w:val="000000"/>
                <w:sz w:val="15"/>
                <w:szCs w:val="15"/>
                <w:lang w:val="es-ES" w:eastAsia="es-ES"/>
              </w:rPr>
              <w:t>Forma</w:t>
            </w:r>
          </w:p>
          <w:p w:rsidR="00AB4A69" w:rsidRPr="00C25736" w:rsidRDefault="00AB4A69" w:rsidP="00AB4A69">
            <w:pPr>
              <w:spacing w:after="0"/>
              <w:ind w:firstLine="0"/>
              <w:jc w:val="left"/>
              <w:rPr>
                <w:rFonts w:ascii="Arial" w:hAnsi="Arial" w:cs="Arial"/>
                <w:color w:val="000000"/>
                <w:sz w:val="15"/>
                <w:szCs w:val="15"/>
                <w:lang w:val="es-ES" w:eastAsia="es-ES"/>
              </w:rPr>
            </w:pPr>
            <w:r w:rsidRPr="00C25736">
              <w:rPr>
                <w:rFonts w:ascii="Arial" w:hAnsi="Arial" w:cs="Arial"/>
                <w:color w:val="000000"/>
                <w:sz w:val="15"/>
                <w:szCs w:val="15"/>
                <w:lang w:val="es-ES" w:eastAsia="es-ES"/>
              </w:rPr>
              <w:t>de reordenación</w:t>
            </w:r>
          </w:p>
        </w:tc>
        <w:tc>
          <w:tcPr>
            <w:tcW w:w="851" w:type="dxa"/>
            <w:tcBorders>
              <w:top w:val="single" w:sz="4" w:space="0" w:color="auto"/>
              <w:left w:val="nil"/>
              <w:bottom w:val="single" w:sz="4" w:space="0" w:color="auto"/>
              <w:right w:val="nil"/>
            </w:tcBorders>
            <w:shd w:val="clear" w:color="000000" w:fill="8DB4E2"/>
            <w:vAlign w:val="center"/>
            <w:hideMark/>
          </w:tcPr>
          <w:p w:rsidR="00AB4A69" w:rsidRPr="00C25736" w:rsidRDefault="00AB4A69" w:rsidP="00AB4A69">
            <w:pPr>
              <w:spacing w:after="0"/>
              <w:ind w:firstLine="0"/>
              <w:jc w:val="center"/>
              <w:rPr>
                <w:rFonts w:ascii="Arial" w:hAnsi="Arial" w:cs="Arial"/>
                <w:color w:val="000000"/>
                <w:sz w:val="15"/>
                <w:szCs w:val="15"/>
                <w:lang w:val="es-ES" w:eastAsia="es-ES"/>
              </w:rPr>
            </w:pPr>
            <w:r w:rsidRPr="00C25736">
              <w:rPr>
                <w:rFonts w:ascii="Arial" w:hAnsi="Arial" w:cs="Arial"/>
                <w:color w:val="000000"/>
                <w:sz w:val="15"/>
                <w:szCs w:val="15"/>
                <w:lang w:val="es-ES" w:eastAsia="es-ES"/>
              </w:rPr>
              <w:t>Ejercicio</w:t>
            </w:r>
          </w:p>
        </w:tc>
        <w:tc>
          <w:tcPr>
            <w:tcW w:w="2232" w:type="dxa"/>
            <w:tcBorders>
              <w:top w:val="single" w:sz="4" w:space="0" w:color="auto"/>
              <w:left w:val="nil"/>
              <w:bottom w:val="single" w:sz="4" w:space="0" w:color="auto"/>
              <w:right w:val="nil"/>
            </w:tcBorders>
            <w:shd w:val="clear" w:color="000000" w:fill="8DB4E2"/>
            <w:noWrap/>
            <w:vAlign w:val="center"/>
            <w:hideMark/>
          </w:tcPr>
          <w:p w:rsidR="00AB4A69" w:rsidRPr="00C25736" w:rsidRDefault="00AB4A69" w:rsidP="00AB4A69">
            <w:pPr>
              <w:spacing w:after="0"/>
              <w:ind w:firstLine="0"/>
              <w:jc w:val="left"/>
              <w:rPr>
                <w:rFonts w:ascii="Arial" w:hAnsi="Arial" w:cs="Arial"/>
                <w:color w:val="000000"/>
                <w:sz w:val="15"/>
                <w:szCs w:val="15"/>
                <w:lang w:val="es-ES" w:eastAsia="es-ES"/>
              </w:rPr>
            </w:pPr>
            <w:r w:rsidRPr="00C25736">
              <w:rPr>
                <w:rFonts w:ascii="Arial" w:hAnsi="Arial" w:cs="Arial"/>
                <w:color w:val="000000"/>
                <w:sz w:val="15"/>
                <w:szCs w:val="15"/>
                <w:lang w:val="es-ES" w:eastAsia="es-ES"/>
              </w:rPr>
              <w:t>Disposición</w:t>
            </w:r>
          </w:p>
        </w:tc>
        <w:tc>
          <w:tcPr>
            <w:tcW w:w="2468" w:type="dxa"/>
            <w:tcBorders>
              <w:top w:val="single" w:sz="4" w:space="0" w:color="auto"/>
              <w:left w:val="nil"/>
              <w:bottom w:val="single" w:sz="4" w:space="0" w:color="auto"/>
              <w:right w:val="nil"/>
            </w:tcBorders>
            <w:shd w:val="clear" w:color="000000" w:fill="8DB4E2"/>
            <w:noWrap/>
            <w:vAlign w:val="center"/>
            <w:hideMark/>
          </w:tcPr>
          <w:p w:rsidR="00AB4A69" w:rsidRPr="00C25736" w:rsidRDefault="00AB4A69" w:rsidP="00AB4A69">
            <w:pPr>
              <w:spacing w:after="0"/>
              <w:ind w:firstLine="0"/>
              <w:jc w:val="left"/>
              <w:rPr>
                <w:rFonts w:ascii="Arial" w:hAnsi="Arial" w:cs="Arial"/>
                <w:color w:val="000000"/>
                <w:sz w:val="15"/>
                <w:szCs w:val="15"/>
                <w:lang w:val="es-ES" w:eastAsia="es-ES"/>
              </w:rPr>
            </w:pPr>
            <w:r w:rsidRPr="00C25736">
              <w:rPr>
                <w:rFonts w:ascii="Arial" w:hAnsi="Arial" w:cs="Arial"/>
                <w:color w:val="000000"/>
                <w:sz w:val="15"/>
                <w:szCs w:val="15"/>
                <w:lang w:val="es-ES" w:eastAsia="es-ES"/>
              </w:rPr>
              <w:t>Entidad que asume la continuidad de las funciones</w:t>
            </w:r>
          </w:p>
        </w:tc>
      </w:tr>
      <w:tr w:rsidR="00AB4A69" w:rsidRPr="00C25736" w:rsidTr="00AB4A69">
        <w:trPr>
          <w:trHeight w:val="255"/>
          <w:jc w:val="center"/>
        </w:trPr>
        <w:tc>
          <w:tcPr>
            <w:tcW w:w="2032" w:type="dxa"/>
            <w:tcBorders>
              <w:top w:val="single" w:sz="4"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w:hAnsi="Arial" w:cs="Arial"/>
                <w:b/>
                <w:bCs/>
                <w:color w:val="000000"/>
                <w:sz w:val="15"/>
                <w:szCs w:val="15"/>
                <w:lang w:val="es-ES" w:eastAsia="es-ES"/>
              </w:rPr>
            </w:pPr>
            <w:r w:rsidRPr="00C25736">
              <w:rPr>
                <w:rFonts w:ascii="Arial" w:hAnsi="Arial" w:cs="Arial"/>
                <w:b/>
                <w:bCs/>
                <w:color w:val="000000"/>
                <w:sz w:val="15"/>
                <w:szCs w:val="15"/>
                <w:lang w:val="es-ES" w:eastAsia="es-ES"/>
              </w:rPr>
              <w:t>Fundaciones Públicas</w:t>
            </w:r>
          </w:p>
        </w:tc>
        <w:tc>
          <w:tcPr>
            <w:tcW w:w="1413" w:type="dxa"/>
            <w:tcBorders>
              <w:top w:val="single" w:sz="4"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color w:val="000000"/>
                <w:lang w:val="es-ES" w:eastAsia="es-ES"/>
              </w:rPr>
            </w:pPr>
            <w:r w:rsidRPr="00C25736">
              <w:rPr>
                <w:color w:val="000000"/>
                <w:lang w:val="es-ES" w:eastAsia="es-ES"/>
              </w:rPr>
              <w:t> </w:t>
            </w:r>
          </w:p>
        </w:tc>
        <w:tc>
          <w:tcPr>
            <w:tcW w:w="851" w:type="dxa"/>
            <w:tcBorders>
              <w:top w:val="single" w:sz="4" w:space="0" w:color="auto"/>
              <w:left w:val="nil"/>
              <w:bottom w:val="single" w:sz="2" w:space="0" w:color="auto"/>
              <w:right w:val="nil"/>
            </w:tcBorders>
            <w:shd w:val="clear" w:color="auto" w:fill="auto"/>
            <w:vAlign w:val="center"/>
            <w:hideMark/>
          </w:tcPr>
          <w:p w:rsidR="00AB4A69" w:rsidRPr="00C25736" w:rsidRDefault="00AB4A69" w:rsidP="00AB4A69">
            <w:pPr>
              <w:spacing w:after="0"/>
              <w:ind w:firstLine="0"/>
              <w:jc w:val="center"/>
              <w:rPr>
                <w:rFonts w:ascii="Arial" w:hAnsi="Arial" w:cs="Arial"/>
                <w:color w:val="000000"/>
                <w:sz w:val="15"/>
                <w:szCs w:val="15"/>
                <w:lang w:val="es-ES" w:eastAsia="es-ES"/>
              </w:rPr>
            </w:pPr>
          </w:p>
        </w:tc>
        <w:tc>
          <w:tcPr>
            <w:tcW w:w="2232" w:type="dxa"/>
            <w:tcBorders>
              <w:top w:val="single" w:sz="4"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color w:val="000000"/>
                <w:lang w:val="es-ES" w:eastAsia="es-ES"/>
              </w:rPr>
            </w:pPr>
            <w:r w:rsidRPr="00C25736">
              <w:rPr>
                <w:color w:val="000000"/>
                <w:lang w:val="es-ES" w:eastAsia="es-ES"/>
              </w:rPr>
              <w:t> </w:t>
            </w:r>
          </w:p>
        </w:tc>
        <w:tc>
          <w:tcPr>
            <w:tcW w:w="2468" w:type="dxa"/>
            <w:tcBorders>
              <w:top w:val="single" w:sz="4"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color w:val="000000"/>
                <w:lang w:val="es-ES" w:eastAsia="es-ES"/>
              </w:rPr>
            </w:pPr>
            <w:r w:rsidRPr="00C25736">
              <w:rPr>
                <w:color w:val="000000"/>
                <w:lang w:val="es-ES" w:eastAsia="es-ES"/>
              </w:rPr>
              <w:t> </w:t>
            </w:r>
          </w:p>
        </w:tc>
      </w:tr>
      <w:tr w:rsidR="00AB4A69" w:rsidRPr="00C25736" w:rsidTr="00AB4A69">
        <w:trPr>
          <w:trHeight w:val="525"/>
          <w:jc w:val="center"/>
        </w:trPr>
        <w:tc>
          <w:tcPr>
            <w:tcW w:w="2032" w:type="dxa"/>
            <w:tcBorders>
              <w:top w:val="single" w:sz="2" w:space="0" w:color="auto"/>
              <w:left w:val="nil"/>
              <w:bottom w:val="single" w:sz="2" w:space="0" w:color="auto"/>
              <w:right w:val="nil"/>
            </w:tcBorders>
            <w:shd w:val="clear" w:color="auto" w:fill="auto"/>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eastAsia="es-ES"/>
              </w:rPr>
              <w:t>Instituto Navarro de Artes A</w:t>
            </w:r>
            <w:r w:rsidRPr="00C25736">
              <w:rPr>
                <w:rFonts w:ascii="Arial Narrow" w:hAnsi="Arial Narrow"/>
                <w:color w:val="000000"/>
                <w:sz w:val="16"/>
                <w:szCs w:val="16"/>
                <w:lang w:eastAsia="es-ES"/>
              </w:rPr>
              <w:t>u</w:t>
            </w:r>
            <w:r w:rsidRPr="00C25736">
              <w:rPr>
                <w:rFonts w:ascii="Arial Narrow" w:hAnsi="Arial Narrow"/>
                <w:color w:val="000000"/>
                <w:sz w:val="16"/>
                <w:szCs w:val="16"/>
                <w:lang w:eastAsia="es-ES"/>
              </w:rPr>
              <w:t>diovisuales y Cinematografía</w:t>
            </w:r>
          </w:p>
        </w:tc>
        <w:tc>
          <w:tcPr>
            <w:tcW w:w="1413"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Extinción</w:t>
            </w:r>
          </w:p>
        </w:tc>
        <w:tc>
          <w:tcPr>
            <w:tcW w:w="851" w:type="dxa"/>
            <w:tcBorders>
              <w:top w:val="single" w:sz="2" w:space="0" w:color="auto"/>
              <w:left w:val="nil"/>
              <w:bottom w:val="single" w:sz="2" w:space="0" w:color="auto"/>
              <w:right w:val="nil"/>
            </w:tcBorders>
            <w:shd w:val="clear" w:color="auto" w:fill="auto"/>
            <w:vAlign w:val="center"/>
            <w:hideMark/>
          </w:tcPr>
          <w:p w:rsidR="00AB4A69" w:rsidRPr="00C25736" w:rsidRDefault="00AB4A69" w:rsidP="00AB4A69">
            <w:pPr>
              <w:spacing w:after="0"/>
              <w:ind w:firstLine="0"/>
              <w:jc w:val="center"/>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2014</w:t>
            </w:r>
          </w:p>
        </w:tc>
        <w:tc>
          <w:tcPr>
            <w:tcW w:w="2232"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Acuerdo Gobierno 28 de mayo de 2014</w:t>
            </w:r>
          </w:p>
        </w:tc>
        <w:tc>
          <w:tcPr>
            <w:tcW w:w="2468"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Dirección General de Cultura-Institución Príncipe de Navarra del Departamento de Cultura, Deporte y Juventud</w:t>
            </w:r>
          </w:p>
        </w:tc>
      </w:tr>
      <w:tr w:rsidR="00AB4A69" w:rsidRPr="00C25736" w:rsidTr="00AB4A69">
        <w:trPr>
          <w:trHeight w:val="315"/>
          <w:jc w:val="center"/>
        </w:trPr>
        <w:tc>
          <w:tcPr>
            <w:tcW w:w="2032" w:type="dxa"/>
            <w:tcBorders>
              <w:top w:val="single" w:sz="2" w:space="0" w:color="auto"/>
              <w:left w:val="nil"/>
              <w:bottom w:val="single" w:sz="2" w:space="0" w:color="auto"/>
              <w:right w:val="nil"/>
            </w:tcBorders>
            <w:shd w:val="clear" w:color="auto" w:fill="auto"/>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eastAsia="es-ES"/>
              </w:rPr>
              <w:t>Formación en Energías Ren</w:t>
            </w:r>
            <w:r w:rsidRPr="00C25736">
              <w:rPr>
                <w:rFonts w:ascii="Arial Narrow" w:hAnsi="Arial Narrow"/>
                <w:color w:val="000000"/>
                <w:sz w:val="16"/>
                <w:szCs w:val="16"/>
                <w:lang w:eastAsia="es-ES"/>
              </w:rPr>
              <w:t>o</w:t>
            </w:r>
            <w:r w:rsidRPr="00C25736">
              <w:rPr>
                <w:rFonts w:ascii="Arial Narrow" w:hAnsi="Arial Narrow"/>
                <w:color w:val="000000"/>
                <w:sz w:val="16"/>
                <w:szCs w:val="16"/>
                <w:lang w:eastAsia="es-ES"/>
              </w:rPr>
              <w:t>vables</w:t>
            </w:r>
          </w:p>
        </w:tc>
        <w:tc>
          <w:tcPr>
            <w:tcW w:w="1413"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Extinción</w:t>
            </w:r>
          </w:p>
        </w:tc>
        <w:tc>
          <w:tcPr>
            <w:tcW w:w="851" w:type="dxa"/>
            <w:tcBorders>
              <w:top w:val="single" w:sz="2" w:space="0" w:color="auto"/>
              <w:left w:val="nil"/>
              <w:bottom w:val="single" w:sz="2" w:space="0" w:color="auto"/>
              <w:right w:val="nil"/>
            </w:tcBorders>
            <w:shd w:val="clear" w:color="auto" w:fill="auto"/>
            <w:vAlign w:val="center"/>
            <w:hideMark/>
          </w:tcPr>
          <w:p w:rsidR="00AB4A69" w:rsidRPr="00C25736" w:rsidRDefault="00AB4A69" w:rsidP="00AB4A69">
            <w:pPr>
              <w:spacing w:after="0"/>
              <w:ind w:firstLine="0"/>
              <w:jc w:val="center"/>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2015</w:t>
            </w:r>
          </w:p>
        </w:tc>
        <w:tc>
          <w:tcPr>
            <w:tcW w:w="2232"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Acuerdo Patronato 18 de mayo de 2015 y aprobación posterior por Orden Foral 156/2015 de la Cons</w:t>
            </w:r>
            <w:r w:rsidRPr="00C25736">
              <w:rPr>
                <w:rFonts w:ascii="Arial Narrow" w:hAnsi="Arial Narrow"/>
                <w:color w:val="000000"/>
                <w:sz w:val="16"/>
                <w:szCs w:val="16"/>
                <w:lang w:val="es-ES" w:eastAsia="es-ES"/>
              </w:rPr>
              <w:t>e</w:t>
            </w:r>
            <w:r w:rsidRPr="00C25736">
              <w:rPr>
                <w:rFonts w:ascii="Arial Narrow" w:hAnsi="Arial Narrow"/>
                <w:color w:val="000000"/>
                <w:sz w:val="16"/>
                <w:szCs w:val="16"/>
                <w:lang w:val="es-ES" w:eastAsia="es-ES"/>
              </w:rPr>
              <w:t>jera de Economía y Hacienda</w:t>
            </w:r>
          </w:p>
        </w:tc>
        <w:tc>
          <w:tcPr>
            <w:tcW w:w="2468" w:type="dxa"/>
            <w:tcBorders>
              <w:top w:val="single" w:sz="2" w:space="0" w:color="auto"/>
              <w:left w:val="nil"/>
              <w:bottom w:val="single" w:sz="2"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CENIFER (</w:t>
            </w:r>
            <w:r w:rsidRPr="00C25736">
              <w:rPr>
                <w:rFonts w:ascii="Arial Narrow" w:hAnsi="Arial Narrow"/>
                <w:color w:val="000000"/>
                <w:sz w:val="16"/>
                <w:szCs w:val="16"/>
                <w:lang w:val="es-ES" w:eastAsia="es-ES"/>
              </w:rPr>
              <w:footnoteReference w:customMarkFollows="1" w:id="11"/>
              <w:t>Centro Privado con recon</w:t>
            </w:r>
            <w:r w:rsidRPr="00C25736">
              <w:rPr>
                <w:rFonts w:ascii="Arial Narrow" w:hAnsi="Arial Narrow"/>
                <w:color w:val="000000"/>
                <w:sz w:val="16"/>
                <w:szCs w:val="16"/>
                <w:lang w:val="es-ES" w:eastAsia="es-ES"/>
              </w:rPr>
              <w:t>o</w:t>
            </w:r>
            <w:r w:rsidRPr="00C25736">
              <w:rPr>
                <w:rFonts w:ascii="Arial Narrow" w:hAnsi="Arial Narrow"/>
                <w:color w:val="000000"/>
                <w:sz w:val="16"/>
                <w:szCs w:val="16"/>
                <w:lang w:val="es-ES" w:eastAsia="es-ES"/>
              </w:rPr>
              <w:t>cimiento nacional</w:t>
            </w:r>
            <w:r w:rsidRPr="00097C28">
              <w:rPr>
                <w:rFonts w:ascii="Arial Narrow" w:hAnsi="Arial Narrow"/>
                <w:color w:val="000000"/>
                <w:sz w:val="16"/>
                <w:szCs w:val="16"/>
                <w:lang w:val="es-ES" w:eastAsia="es-ES"/>
              </w:rPr>
              <w:t>)</w:t>
            </w:r>
          </w:p>
        </w:tc>
      </w:tr>
      <w:tr w:rsidR="00AB4A69" w:rsidRPr="00C25736" w:rsidTr="00AB4A69">
        <w:trPr>
          <w:trHeight w:val="315"/>
          <w:jc w:val="center"/>
        </w:trPr>
        <w:tc>
          <w:tcPr>
            <w:tcW w:w="2032" w:type="dxa"/>
            <w:tcBorders>
              <w:top w:val="single" w:sz="2" w:space="0" w:color="auto"/>
              <w:left w:val="nil"/>
              <w:bottom w:val="single" w:sz="4" w:space="0" w:color="auto"/>
              <w:right w:val="nil"/>
            </w:tcBorders>
            <w:shd w:val="clear" w:color="auto" w:fill="auto"/>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eastAsia="es-ES"/>
              </w:rPr>
              <w:t>Navarra para la Excelencia</w:t>
            </w:r>
          </w:p>
        </w:tc>
        <w:tc>
          <w:tcPr>
            <w:tcW w:w="1413" w:type="dxa"/>
            <w:tcBorders>
              <w:top w:val="single" w:sz="2" w:space="0" w:color="auto"/>
              <w:left w:val="nil"/>
              <w:bottom w:val="single" w:sz="4"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Modificación Estat</w:t>
            </w:r>
            <w:r w:rsidRPr="00C25736">
              <w:rPr>
                <w:rFonts w:ascii="Arial Narrow" w:hAnsi="Arial Narrow"/>
                <w:color w:val="000000"/>
                <w:sz w:val="16"/>
                <w:szCs w:val="16"/>
                <w:lang w:val="es-ES" w:eastAsia="es-ES"/>
              </w:rPr>
              <w:t>u</w:t>
            </w:r>
            <w:r w:rsidRPr="00C25736">
              <w:rPr>
                <w:rFonts w:ascii="Arial Narrow" w:hAnsi="Arial Narrow"/>
                <w:color w:val="000000"/>
                <w:sz w:val="16"/>
                <w:szCs w:val="16"/>
                <w:lang w:val="es-ES" w:eastAsia="es-ES"/>
              </w:rPr>
              <w:t>tos para pasar a ser fundación privada</w:t>
            </w:r>
          </w:p>
        </w:tc>
        <w:tc>
          <w:tcPr>
            <w:tcW w:w="851" w:type="dxa"/>
            <w:tcBorders>
              <w:top w:val="single" w:sz="2" w:space="0" w:color="auto"/>
              <w:left w:val="nil"/>
              <w:bottom w:val="single" w:sz="4" w:space="0" w:color="auto"/>
              <w:right w:val="nil"/>
            </w:tcBorders>
            <w:shd w:val="clear" w:color="auto" w:fill="auto"/>
            <w:vAlign w:val="center"/>
            <w:hideMark/>
          </w:tcPr>
          <w:p w:rsidR="00AB4A69" w:rsidRPr="00C25736" w:rsidRDefault="00AB4A69" w:rsidP="00AB4A69">
            <w:pPr>
              <w:spacing w:after="0"/>
              <w:ind w:firstLine="0"/>
              <w:jc w:val="center"/>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2015</w:t>
            </w:r>
          </w:p>
        </w:tc>
        <w:tc>
          <w:tcPr>
            <w:tcW w:w="2232" w:type="dxa"/>
            <w:tcBorders>
              <w:top w:val="single" w:sz="2" w:space="0" w:color="auto"/>
              <w:left w:val="nil"/>
              <w:bottom w:val="single" w:sz="4"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Acuerdo Gobierno de 29 de d</w:t>
            </w:r>
            <w:r w:rsidRPr="00C25736">
              <w:rPr>
                <w:rFonts w:ascii="Arial Narrow" w:hAnsi="Arial Narrow"/>
                <w:color w:val="000000"/>
                <w:sz w:val="16"/>
                <w:szCs w:val="16"/>
                <w:lang w:val="es-ES" w:eastAsia="es-ES"/>
              </w:rPr>
              <w:t>i</w:t>
            </w:r>
            <w:r w:rsidRPr="00C25736">
              <w:rPr>
                <w:rFonts w:ascii="Arial Narrow" w:hAnsi="Arial Narrow"/>
                <w:color w:val="000000"/>
                <w:sz w:val="16"/>
                <w:szCs w:val="16"/>
                <w:lang w:val="es-ES" w:eastAsia="es-ES"/>
              </w:rPr>
              <w:t xml:space="preserve">ciembre </w:t>
            </w:r>
            <w:r>
              <w:rPr>
                <w:rFonts w:ascii="Arial Narrow" w:hAnsi="Arial Narrow"/>
                <w:color w:val="000000"/>
                <w:sz w:val="16"/>
                <w:szCs w:val="16"/>
                <w:lang w:val="es-ES" w:eastAsia="es-ES"/>
              </w:rPr>
              <w:t xml:space="preserve"> </w:t>
            </w:r>
            <w:r w:rsidRPr="00C25736">
              <w:rPr>
                <w:rFonts w:ascii="Arial Narrow" w:hAnsi="Arial Narrow"/>
                <w:color w:val="000000"/>
                <w:sz w:val="16"/>
                <w:szCs w:val="16"/>
                <w:lang w:val="es-ES" w:eastAsia="es-ES"/>
              </w:rPr>
              <w:t>2014</w:t>
            </w:r>
          </w:p>
        </w:tc>
        <w:tc>
          <w:tcPr>
            <w:tcW w:w="2468" w:type="dxa"/>
            <w:tcBorders>
              <w:top w:val="single" w:sz="2" w:space="0" w:color="auto"/>
              <w:left w:val="nil"/>
              <w:bottom w:val="single" w:sz="4" w:space="0" w:color="auto"/>
              <w:right w:val="nil"/>
            </w:tcBorders>
            <w:shd w:val="clear" w:color="auto" w:fill="auto"/>
            <w:noWrap/>
            <w:vAlign w:val="center"/>
            <w:hideMark/>
          </w:tcPr>
          <w:p w:rsidR="00AB4A69" w:rsidRPr="00C25736" w:rsidRDefault="00AB4A69" w:rsidP="00AB4A69">
            <w:pPr>
              <w:spacing w:after="0"/>
              <w:ind w:firstLine="0"/>
              <w:jc w:val="left"/>
              <w:rPr>
                <w:rFonts w:ascii="Arial Narrow" w:hAnsi="Arial Narrow"/>
                <w:color w:val="000000"/>
                <w:sz w:val="16"/>
                <w:szCs w:val="16"/>
                <w:lang w:val="es-ES" w:eastAsia="es-ES"/>
              </w:rPr>
            </w:pPr>
            <w:r w:rsidRPr="00C25736">
              <w:rPr>
                <w:rFonts w:ascii="Arial Narrow" w:hAnsi="Arial Narrow"/>
                <w:color w:val="000000"/>
                <w:sz w:val="16"/>
                <w:szCs w:val="16"/>
                <w:lang w:val="es-ES" w:eastAsia="es-ES"/>
              </w:rPr>
              <w:t>Fundación Privada</w:t>
            </w:r>
          </w:p>
        </w:tc>
      </w:tr>
    </w:tbl>
    <w:p w:rsidR="00AB4A69" w:rsidRPr="00A379C8" w:rsidRDefault="00AB4A69" w:rsidP="002D15D3">
      <w:pPr>
        <w:pStyle w:val="atitulo1"/>
        <w:rPr>
          <w:rFonts w:ascii="Times New Roman" w:hAnsi="Times New Roman"/>
          <w:b w:val="0"/>
          <w:color w:val="auto"/>
          <w:spacing w:val="6"/>
          <w:kern w:val="0"/>
          <w:sz w:val="26"/>
          <w:szCs w:val="24"/>
          <w:lang w:val="es-ES"/>
        </w:rPr>
      </w:pPr>
    </w:p>
    <w:p w:rsidR="00DF6A0F" w:rsidRDefault="00DF6A0F">
      <w:pPr>
        <w:spacing w:after="0"/>
        <w:ind w:firstLine="0"/>
        <w:jc w:val="left"/>
        <w:rPr>
          <w:rFonts w:ascii="Arial" w:hAnsi="Arial"/>
          <w:b/>
          <w:color w:val="000000"/>
          <w:kern w:val="28"/>
          <w:sz w:val="25"/>
          <w:szCs w:val="26"/>
        </w:rPr>
      </w:pPr>
      <w:r>
        <w:br w:type="page"/>
      </w:r>
    </w:p>
    <w:p w:rsidR="002D15D3" w:rsidRPr="003C6BE1" w:rsidRDefault="002D15D3" w:rsidP="002D15D3">
      <w:pPr>
        <w:pStyle w:val="atitulo1"/>
      </w:pPr>
      <w:bookmarkStart w:id="13" w:name="_Toc527376672"/>
      <w:r>
        <w:lastRenderedPageBreak/>
        <w:t>I</w:t>
      </w:r>
      <w:r w:rsidR="00AB4A69">
        <w:t>I</w:t>
      </w:r>
      <w:r>
        <w:t xml:space="preserve">I. </w:t>
      </w:r>
      <w:r w:rsidRPr="003C6BE1">
        <w:t>Objetivos</w:t>
      </w:r>
      <w:r>
        <w:t xml:space="preserve">, </w:t>
      </w:r>
      <w:r w:rsidRPr="003C6BE1">
        <w:t xml:space="preserve">alcance </w:t>
      </w:r>
      <w:r>
        <w:t>y limitaciones</w:t>
      </w:r>
      <w:bookmarkEnd w:id="13"/>
      <w:r>
        <w:t xml:space="preserve"> </w:t>
      </w:r>
    </w:p>
    <w:p w:rsidR="002D15D3" w:rsidRPr="0013528B" w:rsidRDefault="002D15D3" w:rsidP="00E06076">
      <w:pPr>
        <w:pStyle w:val="texto"/>
        <w:spacing w:after="120"/>
        <w:rPr>
          <w:lang w:val="es-ES"/>
        </w:rPr>
      </w:pPr>
      <w:r>
        <w:rPr>
          <w:lang w:val="es-ES"/>
        </w:rPr>
        <w:t>L</w:t>
      </w:r>
      <w:r w:rsidRPr="0013528B">
        <w:rPr>
          <w:lang w:val="es-ES"/>
        </w:rPr>
        <w:t xml:space="preserve">os objetivos del presente trabajo son los siguientes: </w:t>
      </w:r>
    </w:p>
    <w:p w:rsidR="002D15D3" w:rsidRPr="0013528B" w:rsidRDefault="002D15D3" w:rsidP="00E06076">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spacing w:after="120"/>
        <w:ind w:left="0" w:firstLine="289"/>
        <w:rPr>
          <w:rFonts w:cs="Arial"/>
        </w:rPr>
      </w:pPr>
      <w:r w:rsidRPr="0013528B">
        <w:rPr>
          <w:rFonts w:cs="Arial"/>
        </w:rPr>
        <w:t>Verificar que el proceso seguido para la ext</w:t>
      </w:r>
      <w:r>
        <w:rPr>
          <w:rFonts w:cs="Arial"/>
        </w:rPr>
        <w:t>inción de los entes se ajusta al marco jurídico</w:t>
      </w:r>
      <w:r w:rsidR="00CF1B1B">
        <w:rPr>
          <w:rFonts w:cs="Arial"/>
        </w:rPr>
        <w:t xml:space="preserve"> </w:t>
      </w:r>
      <w:r w:rsidRPr="0013528B">
        <w:rPr>
          <w:rFonts w:cs="Arial"/>
        </w:rPr>
        <w:t xml:space="preserve">y a la planificación </w:t>
      </w:r>
      <w:r>
        <w:rPr>
          <w:rFonts w:cs="Arial"/>
        </w:rPr>
        <w:t>establecida</w:t>
      </w:r>
      <w:r w:rsidRPr="0013528B">
        <w:rPr>
          <w:rFonts w:cs="Arial"/>
        </w:rPr>
        <w:t>.</w:t>
      </w:r>
    </w:p>
    <w:p w:rsidR="002D15D3" w:rsidRPr="0013528B" w:rsidRDefault="002D15D3" w:rsidP="00E0607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13528B">
        <w:rPr>
          <w:rFonts w:cs="Arial"/>
        </w:rPr>
        <w:t>Examinar la necesidad originaria y, en su caso, el mantenimiento a través de otro órgano o entidad autonómica de la actividad o función para cuya co</w:t>
      </w:r>
      <w:r w:rsidRPr="0013528B">
        <w:rPr>
          <w:rFonts w:cs="Arial"/>
        </w:rPr>
        <w:t>n</w:t>
      </w:r>
      <w:r w:rsidRPr="0013528B">
        <w:rPr>
          <w:rFonts w:cs="Arial"/>
        </w:rPr>
        <w:t>secución se creó el ente extinguido.</w:t>
      </w:r>
    </w:p>
    <w:p w:rsidR="002D15D3" w:rsidRPr="0013528B" w:rsidRDefault="002D15D3" w:rsidP="00E0607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13528B">
        <w:rPr>
          <w:rFonts w:cs="Arial"/>
        </w:rPr>
        <w:t xml:space="preserve">Analizar la repercusión económica de </w:t>
      </w:r>
      <w:r>
        <w:rPr>
          <w:rFonts w:cs="Arial"/>
        </w:rPr>
        <w:t>estas m</w:t>
      </w:r>
      <w:r w:rsidRPr="0013528B">
        <w:rPr>
          <w:rFonts w:cs="Arial"/>
        </w:rPr>
        <w:t>edida</w:t>
      </w:r>
      <w:r>
        <w:rPr>
          <w:rFonts w:cs="Arial"/>
        </w:rPr>
        <w:t xml:space="preserve">s </w:t>
      </w:r>
      <w:r w:rsidR="00736D70">
        <w:rPr>
          <w:rFonts w:cs="Arial"/>
        </w:rPr>
        <w:t xml:space="preserve">de reestructuración </w:t>
      </w:r>
      <w:r w:rsidRPr="0013528B">
        <w:rPr>
          <w:rFonts w:cs="Arial"/>
        </w:rPr>
        <w:t xml:space="preserve">para el </w:t>
      </w:r>
      <w:r w:rsidR="00237B81" w:rsidRPr="0013528B">
        <w:rPr>
          <w:rFonts w:cs="Arial"/>
        </w:rPr>
        <w:t>sector público</w:t>
      </w:r>
      <w:r w:rsidRPr="0013528B">
        <w:rPr>
          <w:rFonts w:cs="Arial"/>
        </w:rPr>
        <w:t xml:space="preserve"> </w:t>
      </w:r>
      <w:r w:rsidR="00D22D3C" w:rsidRPr="0013528B">
        <w:rPr>
          <w:rFonts w:cs="Arial"/>
        </w:rPr>
        <w:t xml:space="preserve">foral </w:t>
      </w:r>
      <w:r w:rsidRPr="0013528B">
        <w:rPr>
          <w:rFonts w:cs="Arial"/>
        </w:rPr>
        <w:t>de Navarra.</w:t>
      </w:r>
    </w:p>
    <w:p w:rsidR="002D15D3" w:rsidRPr="0013528B" w:rsidRDefault="002D15D3" w:rsidP="00E0607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13528B">
        <w:rPr>
          <w:rFonts w:cs="Arial"/>
        </w:rPr>
        <w:t>Verificar el destino de los act</w:t>
      </w:r>
      <w:r>
        <w:rPr>
          <w:rFonts w:cs="Arial"/>
        </w:rPr>
        <w:t xml:space="preserve">ivos y pasivos de los entes extinguidos. </w:t>
      </w:r>
    </w:p>
    <w:p w:rsidR="000D39C8" w:rsidRDefault="002D15D3" w:rsidP="00E06076">
      <w:pPr>
        <w:pStyle w:val="texto"/>
        <w:spacing w:after="120"/>
        <w:rPr>
          <w:lang w:val="es-ES"/>
        </w:rPr>
      </w:pPr>
      <w:r w:rsidRPr="00EF65A0">
        <w:rPr>
          <w:lang w:val="es-ES"/>
        </w:rPr>
        <w:t>El ámbito subjetivo d</w:t>
      </w:r>
      <w:r w:rsidR="00B11E07" w:rsidRPr="00EF65A0">
        <w:rPr>
          <w:lang w:val="es-ES"/>
        </w:rPr>
        <w:t xml:space="preserve">e la fiscalización comprende los entes </w:t>
      </w:r>
      <w:r w:rsidR="00736D70">
        <w:rPr>
          <w:lang w:val="es-ES"/>
        </w:rPr>
        <w:t xml:space="preserve">extinguidos que forman parte del </w:t>
      </w:r>
      <w:r w:rsidR="00237B81">
        <w:rPr>
          <w:lang w:val="es-ES"/>
        </w:rPr>
        <w:t>sector público</w:t>
      </w:r>
      <w:r w:rsidR="00736D70">
        <w:rPr>
          <w:lang w:val="es-ES"/>
        </w:rPr>
        <w:t xml:space="preserve"> </w:t>
      </w:r>
      <w:r w:rsidR="00D22D3C">
        <w:rPr>
          <w:lang w:val="es-ES"/>
        </w:rPr>
        <w:t xml:space="preserve">foral </w:t>
      </w:r>
      <w:r w:rsidR="000D39C8">
        <w:rPr>
          <w:lang w:val="es-ES"/>
        </w:rPr>
        <w:t>de Navarra, en concreto los c</w:t>
      </w:r>
      <w:r w:rsidR="00736D70">
        <w:rPr>
          <w:lang w:val="es-ES"/>
        </w:rPr>
        <w:t>onsejos co</w:t>
      </w:r>
      <w:r w:rsidR="00736D70">
        <w:rPr>
          <w:lang w:val="es-ES"/>
        </w:rPr>
        <w:t>n</w:t>
      </w:r>
      <w:r w:rsidR="00736D70">
        <w:rPr>
          <w:lang w:val="es-ES"/>
        </w:rPr>
        <w:t>sultivos, organismos autónomos, sociedades y fundaciones públicas.</w:t>
      </w:r>
      <w:r w:rsidR="000D39C8">
        <w:rPr>
          <w:lang w:val="es-ES"/>
        </w:rPr>
        <w:t xml:space="preserve"> </w:t>
      </w:r>
    </w:p>
    <w:p w:rsidR="000D39C8" w:rsidRDefault="00BD37EA" w:rsidP="00E06076">
      <w:pPr>
        <w:pStyle w:val="texto"/>
        <w:spacing w:after="120"/>
        <w:rPr>
          <w:lang w:val="es-ES"/>
        </w:rPr>
      </w:pPr>
      <w:r>
        <w:rPr>
          <w:lang w:val="es-ES"/>
        </w:rPr>
        <w:t xml:space="preserve">El ámbito objetivo se corresponde con </w:t>
      </w:r>
      <w:r w:rsidR="000D39C8">
        <w:rPr>
          <w:lang w:val="es-ES"/>
        </w:rPr>
        <w:t>e</w:t>
      </w:r>
      <w:r w:rsidR="002D15D3" w:rsidRPr="0013528B">
        <w:rPr>
          <w:lang w:val="es-ES"/>
        </w:rPr>
        <w:t>l análisis de los procesos de exti</w:t>
      </w:r>
      <w:r w:rsidR="002D15D3" w:rsidRPr="0013528B">
        <w:rPr>
          <w:lang w:val="es-ES"/>
        </w:rPr>
        <w:t>n</w:t>
      </w:r>
      <w:r w:rsidR="000D39C8">
        <w:rPr>
          <w:lang w:val="es-ES"/>
        </w:rPr>
        <w:t xml:space="preserve">ción de entes y sus </w:t>
      </w:r>
      <w:r w:rsidR="002D15D3" w:rsidRPr="0013528B">
        <w:rPr>
          <w:lang w:val="es-ES"/>
        </w:rPr>
        <w:t>efect</w:t>
      </w:r>
      <w:r w:rsidR="002F5514">
        <w:rPr>
          <w:lang w:val="es-ES"/>
        </w:rPr>
        <w:t>os económi</w:t>
      </w:r>
      <w:r w:rsidR="000D39C8">
        <w:rPr>
          <w:lang w:val="es-ES"/>
        </w:rPr>
        <w:t>cos.</w:t>
      </w:r>
    </w:p>
    <w:p w:rsidR="002F5514" w:rsidRPr="00E06076" w:rsidRDefault="002F5514" w:rsidP="002F5514">
      <w:pPr>
        <w:pStyle w:val="texto"/>
        <w:spacing w:after="120"/>
        <w:rPr>
          <w:spacing w:val="4"/>
          <w:lang w:val="es-ES"/>
        </w:rPr>
      </w:pPr>
      <w:r w:rsidRPr="00E06076">
        <w:rPr>
          <w:spacing w:val="4"/>
          <w:lang w:val="es-ES"/>
        </w:rPr>
        <w:t xml:space="preserve">La fiscalización ha comprendido el periodo 2010-2016, dado que el proceso de reordenación del sector público se inicia en el ejercicio 2010 </w:t>
      </w:r>
      <w:r>
        <w:rPr>
          <w:spacing w:val="4"/>
          <w:lang w:val="es-ES"/>
        </w:rPr>
        <w:t xml:space="preserve">al aprobarse </w:t>
      </w:r>
      <w:r w:rsidRPr="00E06076">
        <w:rPr>
          <w:spacing w:val="4"/>
          <w:lang w:val="es-ES"/>
        </w:rPr>
        <w:t xml:space="preserve">el Acuerdo Marco 1/2010 y se da por finalizado a 1 de enero de 2017, al haber considerado el Consejo </w:t>
      </w:r>
      <w:r>
        <w:rPr>
          <w:spacing w:val="4"/>
          <w:lang w:val="es-ES"/>
        </w:rPr>
        <w:t xml:space="preserve">de Política Fiscal y Financiera </w:t>
      </w:r>
      <w:r w:rsidRPr="00E06076">
        <w:rPr>
          <w:spacing w:val="4"/>
          <w:lang w:val="es-ES"/>
        </w:rPr>
        <w:t xml:space="preserve">cumplidos los mandatos establecidos en esta materia en el citado acuerdo y </w:t>
      </w:r>
      <w:r w:rsidR="00B4654D">
        <w:rPr>
          <w:spacing w:val="4"/>
          <w:lang w:val="es-ES"/>
        </w:rPr>
        <w:t xml:space="preserve">en </w:t>
      </w:r>
      <w:r w:rsidRPr="00E06076">
        <w:rPr>
          <w:spacing w:val="4"/>
          <w:lang w:val="es-ES"/>
        </w:rPr>
        <w:t>el posterior Acuerdo Ma</w:t>
      </w:r>
      <w:r w:rsidRPr="00E06076">
        <w:rPr>
          <w:spacing w:val="4"/>
          <w:lang w:val="es-ES"/>
        </w:rPr>
        <w:t>r</w:t>
      </w:r>
      <w:r w:rsidRPr="00E06076">
        <w:rPr>
          <w:spacing w:val="4"/>
          <w:lang w:val="es-ES"/>
        </w:rPr>
        <w:t xml:space="preserve">co 5/2012. </w:t>
      </w:r>
    </w:p>
    <w:p w:rsidR="002D15D3" w:rsidRPr="00CF1B1B" w:rsidRDefault="002D15D3" w:rsidP="00E06076">
      <w:pPr>
        <w:pStyle w:val="texto"/>
        <w:spacing w:after="120"/>
        <w:rPr>
          <w:color w:val="00B050"/>
          <w:spacing w:val="2"/>
          <w:lang w:val="es-ES"/>
        </w:rPr>
      </w:pPr>
      <w:r w:rsidRPr="00E06076">
        <w:rPr>
          <w:spacing w:val="2"/>
          <w:lang w:val="es-ES"/>
        </w:rPr>
        <w:t xml:space="preserve">Nuestro trabajo se ha visto afectado por las limitaciones relacionadas con la ausencia </w:t>
      </w:r>
      <w:r w:rsidRPr="00E06076">
        <w:rPr>
          <w:spacing w:val="2"/>
          <w:szCs w:val="26"/>
        </w:rPr>
        <w:t>de un plan específico de racionalización para el sector público admini</w:t>
      </w:r>
      <w:r w:rsidRPr="00E06076">
        <w:rPr>
          <w:spacing w:val="2"/>
          <w:szCs w:val="26"/>
        </w:rPr>
        <w:t>s</w:t>
      </w:r>
      <w:r w:rsidR="001D25C6">
        <w:rPr>
          <w:spacing w:val="2"/>
          <w:szCs w:val="26"/>
        </w:rPr>
        <w:t>trativo</w:t>
      </w:r>
      <w:r w:rsidRPr="00CF1B1B">
        <w:rPr>
          <w:color w:val="00B050"/>
          <w:spacing w:val="2"/>
          <w:szCs w:val="26"/>
        </w:rPr>
        <w:t>.</w:t>
      </w:r>
    </w:p>
    <w:p w:rsidR="002634CD" w:rsidRDefault="002D15D3" w:rsidP="0088303D">
      <w:pPr>
        <w:pStyle w:val="texto"/>
        <w:spacing w:after="120"/>
        <w:rPr>
          <w:rFonts w:ascii="Arial" w:hAnsi="Arial"/>
          <w:b/>
          <w:color w:val="000000"/>
          <w:kern w:val="28"/>
          <w:sz w:val="25"/>
          <w:szCs w:val="26"/>
        </w:rPr>
      </w:pPr>
      <w:r w:rsidRPr="0013528B">
        <w:rPr>
          <w:lang w:val="es-ES"/>
        </w:rPr>
        <w:t xml:space="preserve">El trabajo se ha ejecutado de acuerdo con los principios </w:t>
      </w:r>
      <w:r w:rsidR="00B4654D">
        <w:rPr>
          <w:lang w:val="es-ES"/>
        </w:rPr>
        <w:t>fundamentales de</w:t>
      </w:r>
      <w:r w:rsidR="00CF1B1B">
        <w:rPr>
          <w:lang w:val="es-ES"/>
        </w:rPr>
        <w:t xml:space="preserve"> la </w:t>
      </w:r>
      <w:r w:rsidR="00B4654D">
        <w:rPr>
          <w:lang w:val="es-ES"/>
        </w:rPr>
        <w:t xml:space="preserve"> fiscalización del sector público adoptados por las Instituciones de Control E</w:t>
      </w:r>
      <w:r w:rsidR="00B4654D">
        <w:rPr>
          <w:lang w:val="es-ES"/>
        </w:rPr>
        <w:t>x</w:t>
      </w:r>
      <w:r w:rsidR="00B4654D">
        <w:rPr>
          <w:lang w:val="es-ES"/>
        </w:rPr>
        <w:t>terno y</w:t>
      </w:r>
      <w:r w:rsidR="004D2EB0">
        <w:rPr>
          <w:lang w:val="es-ES"/>
        </w:rPr>
        <w:t>,</w:t>
      </w:r>
      <w:r w:rsidR="00B4654D">
        <w:rPr>
          <w:lang w:val="es-ES"/>
        </w:rPr>
        <w:t xml:space="preserve"> en concreto</w:t>
      </w:r>
      <w:r w:rsidR="004D2EB0">
        <w:rPr>
          <w:lang w:val="es-ES"/>
        </w:rPr>
        <w:t>,</w:t>
      </w:r>
      <w:r w:rsidR="00B4654D">
        <w:rPr>
          <w:lang w:val="es-ES"/>
        </w:rPr>
        <w:t xml:space="preserve"> los </w:t>
      </w:r>
      <w:r w:rsidR="00CF1B1B">
        <w:rPr>
          <w:lang w:val="es-ES"/>
        </w:rPr>
        <w:t xml:space="preserve">establecidos en la </w:t>
      </w:r>
      <w:r>
        <w:rPr>
          <w:lang w:val="es-ES"/>
        </w:rPr>
        <w:t>ISSAI-ES 300</w:t>
      </w:r>
      <w:bookmarkStart w:id="14" w:name="_Toc430935359"/>
      <w:bookmarkStart w:id="15" w:name="_Toc498596065"/>
      <w:bookmarkStart w:id="16" w:name="_Toc521909255"/>
      <w:bookmarkStart w:id="17" w:name="_Toc451933625"/>
      <w:bookmarkStart w:id="18" w:name="_Toc500414334"/>
      <w:bookmarkEnd w:id="3"/>
      <w:bookmarkEnd w:id="4"/>
      <w:bookmarkEnd w:id="5"/>
      <w:bookmarkEnd w:id="7"/>
      <w:r w:rsidR="00CF1B1B">
        <w:rPr>
          <w:lang w:val="es-ES"/>
        </w:rPr>
        <w:t xml:space="preserve"> sobre principios fu</w:t>
      </w:r>
      <w:r w:rsidR="00CF1B1B">
        <w:rPr>
          <w:lang w:val="es-ES"/>
        </w:rPr>
        <w:t>n</w:t>
      </w:r>
      <w:r w:rsidR="00CF1B1B">
        <w:rPr>
          <w:lang w:val="es-ES"/>
        </w:rPr>
        <w:t xml:space="preserve">damentales de la fiscalización operativa. </w:t>
      </w:r>
      <w:r w:rsidR="002634CD">
        <w:br w:type="page"/>
      </w:r>
    </w:p>
    <w:p w:rsidR="0017115B" w:rsidRPr="006A46A2" w:rsidRDefault="0017115B" w:rsidP="0017115B">
      <w:pPr>
        <w:pStyle w:val="atitulo1"/>
      </w:pPr>
      <w:bookmarkStart w:id="19" w:name="_Toc527376673"/>
      <w:r>
        <w:lastRenderedPageBreak/>
        <w:t>I</w:t>
      </w:r>
      <w:r w:rsidR="00AC7E44">
        <w:t>V</w:t>
      </w:r>
      <w:r w:rsidRPr="006A46A2">
        <w:t xml:space="preserve">. </w:t>
      </w:r>
      <w:bookmarkEnd w:id="14"/>
      <w:bookmarkEnd w:id="15"/>
      <w:bookmarkEnd w:id="16"/>
      <w:r w:rsidR="00B06337">
        <w:t>Conclusiones</w:t>
      </w:r>
      <w:r w:rsidR="00AC7E44">
        <w:t xml:space="preserve"> y recomendaciones</w:t>
      </w:r>
      <w:bookmarkEnd w:id="19"/>
    </w:p>
    <w:p w:rsidR="005C32DE" w:rsidRDefault="00470674" w:rsidP="0017115B">
      <w:pPr>
        <w:pStyle w:val="texto"/>
      </w:pPr>
      <w:bookmarkStart w:id="20" w:name="_Toc430262564"/>
      <w:bookmarkStart w:id="21" w:name="_Toc430262611"/>
      <w:bookmarkStart w:id="22" w:name="_Toc430436893"/>
      <w:bookmarkStart w:id="23" w:name="_Toc430436921"/>
      <w:bookmarkStart w:id="24" w:name="_Toc430498291"/>
      <w:bookmarkStart w:id="25" w:name="_Toc430607595"/>
      <w:bookmarkStart w:id="26" w:name="_Toc430693488"/>
      <w:bookmarkStart w:id="27" w:name="_Toc430693525"/>
      <w:bookmarkStart w:id="28" w:name="_Toc430935361"/>
      <w:r>
        <w:t>A continuación presentamos las principales conclusiones del trabajo real</w:t>
      </w:r>
      <w:r>
        <w:t>i</w:t>
      </w:r>
      <w:r>
        <w:t>zado y las recomendaciones que c</w:t>
      </w:r>
      <w:r w:rsidR="00713001">
        <w:t>onsideramos oportun</w:t>
      </w:r>
      <w:r w:rsidR="00B4654D">
        <w:t>as</w:t>
      </w:r>
      <w:r>
        <w:t>:</w:t>
      </w:r>
    </w:p>
    <w:p w:rsidR="005C32DE" w:rsidRPr="00470674" w:rsidRDefault="0088303D" w:rsidP="00470674">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Pr>
          <w:rFonts w:cs="Arial"/>
        </w:rPr>
        <w:t>L</w:t>
      </w:r>
      <w:r w:rsidR="005C32DE" w:rsidRPr="00470674">
        <w:rPr>
          <w:rFonts w:cs="Arial"/>
        </w:rPr>
        <w:t>os procesos de ordenación</w:t>
      </w:r>
      <w:r>
        <w:rPr>
          <w:rFonts w:cs="Arial"/>
        </w:rPr>
        <w:t xml:space="preserve"> </w:t>
      </w:r>
      <w:r w:rsidR="00FE18F1" w:rsidRPr="00470674">
        <w:rPr>
          <w:rFonts w:cs="Arial"/>
        </w:rPr>
        <w:t xml:space="preserve">se han </w:t>
      </w:r>
      <w:r>
        <w:rPr>
          <w:rFonts w:cs="Arial"/>
        </w:rPr>
        <w:t xml:space="preserve">tramitado </w:t>
      </w:r>
      <w:r w:rsidR="003A0021">
        <w:rPr>
          <w:rFonts w:cs="Arial"/>
        </w:rPr>
        <w:t xml:space="preserve">con carácter general </w:t>
      </w:r>
      <w:r w:rsidR="00FE18F1" w:rsidRPr="00470674">
        <w:rPr>
          <w:rFonts w:cs="Arial"/>
        </w:rPr>
        <w:t>de acuerdo a las disposiciones normativas previstas</w:t>
      </w:r>
      <w:r>
        <w:rPr>
          <w:rFonts w:cs="Arial"/>
        </w:rPr>
        <w:t xml:space="preserve">. En relación al </w:t>
      </w:r>
      <w:r w:rsidR="00FE18F1" w:rsidRPr="00470674">
        <w:rPr>
          <w:rFonts w:cs="Arial"/>
        </w:rPr>
        <w:t>II Plan de O</w:t>
      </w:r>
      <w:r w:rsidR="00FE18F1" w:rsidRPr="00470674">
        <w:rPr>
          <w:rFonts w:cs="Arial"/>
        </w:rPr>
        <w:t>r</w:t>
      </w:r>
      <w:r w:rsidR="00FE18F1" w:rsidRPr="00470674">
        <w:rPr>
          <w:rFonts w:cs="Arial"/>
        </w:rPr>
        <w:t xml:space="preserve">denación del </w:t>
      </w:r>
      <w:r w:rsidR="001B147A" w:rsidRPr="00470674">
        <w:rPr>
          <w:rFonts w:cs="Arial"/>
        </w:rPr>
        <w:t>sector público empresarial</w:t>
      </w:r>
      <w:r w:rsidR="00FE18F1" w:rsidRPr="00470674">
        <w:rPr>
          <w:rFonts w:cs="Arial"/>
        </w:rPr>
        <w:t xml:space="preserve">, </w:t>
      </w:r>
      <w:r>
        <w:rPr>
          <w:rFonts w:cs="Arial"/>
        </w:rPr>
        <w:t xml:space="preserve">no consta su aprobación </w:t>
      </w:r>
      <w:r w:rsidR="00005918" w:rsidRPr="00470674">
        <w:rPr>
          <w:rFonts w:cs="Arial"/>
        </w:rPr>
        <w:t>por el Parl</w:t>
      </w:r>
      <w:r w:rsidR="00005918" w:rsidRPr="00470674">
        <w:rPr>
          <w:rFonts w:cs="Arial"/>
        </w:rPr>
        <w:t>a</w:t>
      </w:r>
      <w:r>
        <w:rPr>
          <w:rFonts w:cs="Arial"/>
        </w:rPr>
        <w:t xml:space="preserve">mento de Navarra como exigía una ley aprobada con posterioridad a </w:t>
      </w:r>
      <w:r w:rsidR="00B4654D">
        <w:rPr>
          <w:rFonts w:cs="Arial"/>
        </w:rPr>
        <w:t xml:space="preserve">su </w:t>
      </w:r>
      <w:r>
        <w:rPr>
          <w:rFonts w:cs="Arial"/>
        </w:rPr>
        <w:t>expos</w:t>
      </w:r>
      <w:r>
        <w:rPr>
          <w:rFonts w:cs="Arial"/>
        </w:rPr>
        <w:t>i</w:t>
      </w:r>
      <w:r>
        <w:rPr>
          <w:rFonts w:cs="Arial"/>
        </w:rPr>
        <w:t>ción en sede parlamentaria por los representantes de la Corporación Pública Empresarial de Navarra</w:t>
      </w:r>
      <w:r w:rsidR="00FE18F1" w:rsidRPr="00470674">
        <w:rPr>
          <w:rFonts w:cs="Arial"/>
        </w:rPr>
        <w:t>.</w:t>
      </w:r>
    </w:p>
    <w:p w:rsidR="00470674" w:rsidRPr="00302248" w:rsidRDefault="00470674" w:rsidP="00302248">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sidRPr="00302248">
        <w:rPr>
          <w:rFonts w:cs="Arial"/>
        </w:rPr>
        <w:t xml:space="preserve">La reordenación del sector público empresarial se ha </w:t>
      </w:r>
      <w:r w:rsidR="0088303D">
        <w:rPr>
          <w:rFonts w:cs="Arial"/>
        </w:rPr>
        <w:t xml:space="preserve">basado </w:t>
      </w:r>
      <w:r w:rsidRPr="00302248">
        <w:rPr>
          <w:rFonts w:cs="Arial"/>
        </w:rPr>
        <w:t xml:space="preserve">en dos planes de ordenación fundamentados en objetivos concretos, en general cuantificables </w:t>
      </w:r>
      <w:r w:rsidR="0088303D">
        <w:rPr>
          <w:rFonts w:cs="Arial"/>
        </w:rPr>
        <w:t xml:space="preserve">a través de indicadores establecidos al efecto </w:t>
      </w:r>
      <w:r w:rsidRPr="00302248">
        <w:rPr>
          <w:rFonts w:cs="Arial"/>
        </w:rPr>
        <w:t>que ha permitido su verificación; aspectos que no se han contemplado en el resto de sectores públicos analiz</w:t>
      </w:r>
      <w:r w:rsidRPr="00302248">
        <w:rPr>
          <w:rFonts w:cs="Arial"/>
        </w:rPr>
        <w:t>a</w:t>
      </w:r>
      <w:r w:rsidRPr="00302248">
        <w:rPr>
          <w:rFonts w:cs="Arial"/>
        </w:rPr>
        <w:t xml:space="preserve">dos, bien por no existir un plan </w:t>
      </w:r>
      <w:r w:rsidR="0088303D">
        <w:rPr>
          <w:rFonts w:cs="Arial"/>
        </w:rPr>
        <w:t xml:space="preserve">de ordenación </w:t>
      </w:r>
      <w:r w:rsidRPr="00302248">
        <w:rPr>
          <w:rFonts w:cs="Arial"/>
        </w:rPr>
        <w:t>en el caso del sector administr</w:t>
      </w:r>
      <w:r w:rsidRPr="00302248">
        <w:rPr>
          <w:rFonts w:cs="Arial"/>
        </w:rPr>
        <w:t>a</w:t>
      </w:r>
      <w:r w:rsidRPr="00302248">
        <w:rPr>
          <w:rFonts w:cs="Arial"/>
        </w:rPr>
        <w:t>tivo o por carecer de objetivos cuantificables y evaluables en el sector fund</w:t>
      </w:r>
      <w:r w:rsidRPr="00302248">
        <w:rPr>
          <w:rFonts w:cs="Arial"/>
        </w:rPr>
        <w:t>a</w:t>
      </w:r>
      <w:r w:rsidRPr="00302248">
        <w:rPr>
          <w:rFonts w:cs="Arial"/>
        </w:rPr>
        <w:t>cional.</w:t>
      </w:r>
    </w:p>
    <w:p w:rsidR="00470674" w:rsidRDefault="00470674" w:rsidP="00302248">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sidRPr="00302248">
        <w:rPr>
          <w:rFonts w:cs="Arial"/>
        </w:rPr>
        <w:t>En el sect</w:t>
      </w:r>
      <w:r w:rsidR="0088303D">
        <w:rPr>
          <w:rFonts w:cs="Arial"/>
        </w:rPr>
        <w:t>or público administrativo se ha</w:t>
      </w:r>
      <w:r w:rsidRPr="00302248">
        <w:rPr>
          <w:rFonts w:cs="Arial"/>
        </w:rPr>
        <w:t xml:space="preserve"> suprimido </w:t>
      </w:r>
      <w:r w:rsidR="0088303D">
        <w:rPr>
          <w:rFonts w:cs="Arial"/>
        </w:rPr>
        <w:t>un</w:t>
      </w:r>
      <w:r w:rsidR="003A0021">
        <w:rPr>
          <w:rFonts w:cs="Arial"/>
        </w:rPr>
        <w:t xml:space="preserve"> consejo de los dos existentes</w:t>
      </w:r>
      <w:r w:rsidR="003E305C">
        <w:rPr>
          <w:rFonts w:cs="Arial"/>
        </w:rPr>
        <w:t>,</w:t>
      </w:r>
      <w:r w:rsidR="003A0021">
        <w:rPr>
          <w:rFonts w:cs="Arial"/>
        </w:rPr>
        <w:t xml:space="preserve"> </w:t>
      </w:r>
      <w:r w:rsidR="0088303D">
        <w:rPr>
          <w:rFonts w:cs="Arial"/>
        </w:rPr>
        <w:t xml:space="preserve">lo que supone un 50 por ciento de reducción y </w:t>
      </w:r>
      <w:r w:rsidRPr="00302248">
        <w:rPr>
          <w:rFonts w:cs="Arial"/>
        </w:rPr>
        <w:t xml:space="preserve">cuatro organismos autónomos </w:t>
      </w:r>
      <w:r w:rsidR="00B4654D">
        <w:rPr>
          <w:rFonts w:cs="Arial"/>
        </w:rPr>
        <w:t>de 12</w:t>
      </w:r>
      <w:r w:rsidR="00542449">
        <w:rPr>
          <w:rFonts w:cs="Arial"/>
        </w:rPr>
        <w:t xml:space="preserve">, lo que </w:t>
      </w:r>
      <w:r w:rsidR="00302248" w:rsidRPr="00302248">
        <w:rPr>
          <w:rFonts w:cs="Arial"/>
        </w:rPr>
        <w:t>s</w:t>
      </w:r>
      <w:r w:rsidR="0009739B">
        <w:rPr>
          <w:rFonts w:cs="Arial"/>
        </w:rPr>
        <w:t xml:space="preserve">ignifica </w:t>
      </w:r>
      <w:r w:rsidR="00302248" w:rsidRPr="00302248">
        <w:rPr>
          <w:rFonts w:cs="Arial"/>
        </w:rPr>
        <w:t xml:space="preserve">una </w:t>
      </w:r>
      <w:r w:rsidR="00542449">
        <w:rPr>
          <w:rFonts w:cs="Arial"/>
        </w:rPr>
        <w:t xml:space="preserve">disminución </w:t>
      </w:r>
      <w:r w:rsidR="00302248" w:rsidRPr="00302248">
        <w:rPr>
          <w:rFonts w:cs="Arial"/>
        </w:rPr>
        <w:t>del 33 por ciento</w:t>
      </w:r>
      <w:r w:rsidRPr="00302248">
        <w:rPr>
          <w:rFonts w:cs="Arial"/>
        </w:rPr>
        <w:t>.</w:t>
      </w:r>
      <w:r w:rsidR="0009672A">
        <w:rPr>
          <w:rFonts w:cs="Arial"/>
        </w:rPr>
        <w:t xml:space="preserve"> </w:t>
      </w:r>
      <w:r w:rsidR="0048241D">
        <w:rPr>
          <w:rFonts w:cs="Arial"/>
        </w:rPr>
        <w:t>El pers</w:t>
      </w:r>
      <w:r w:rsidR="0048241D">
        <w:rPr>
          <w:rFonts w:cs="Arial"/>
        </w:rPr>
        <w:t>o</w:t>
      </w:r>
      <w:r w:rsidR="0048241D">
        <w:rPr>
          <w:rFonts w:cs="Arial"/>
        </w:rPr>
        <w:t>nal y l</w:t>
      </w:r>
      <w:r w:rsidR="0009672A">
        <w:rPr>
          <w:rFonts w:cs="Arial"/>
        </w:rPr>
        <w:t xml:space="preserve">as funciones llevadas a cabo por los entes extinguidos </w:t>
      </w:r>
      <w:r w:rsidR="003E305C">
        <w:rPr>
          <w:rFonts w:cs="Arial"/>
        </w:rPr>
        <w:t>los</w:t>
      </w:r>
      <w:r w:rsidR="0009672A">
        <w:rPr>
          <w:rFonts w:cs="Arial"/>
        </w:rPr>
        <w:t xml:space="preserve"> han asumido distintos </w:t>
      </w:r>
      <w:r w:rsidR="003E305C">
        <w:rPr>
          <w:rFonts w:cs="Arial"/>
        </w:rPr>
        <w:t xml:space="preserve">departamentos </w:t>
      </w:r>
      <w:r w:rsidR="00CF1B1B">
        <w:rPr>
          <w:rFonts w:cs="Arial"/>
        </w:rPr>
        <w:t xml:space="preserve">y un </w:t>
      </w:r>
      <w:r w:rsidR="003E305C">
        <w:rPr>
          <w:rFonts w:cs="Arial"/>
        </w:rPr>
        <w:t>organismo autónomo</w:t>
      </w:r>
      <w:r w:rsidR="00CF1B1B">
        <w:rPr>
          <w:rFonts w:cs="Arial"/>
        </w:rPr>
        <w:t xml:space="preserve"> </w:t>
      </w:r>
      <w:r w:rsidR="0009672A">
        <w:rPr>
          <w:rFonts w:cs="Arial"/>
        </w:rPr>
        <w:t xml:space="preserve">de la Administración de la Comunidad Foral. </w:t>
      </w:r>
    </w:p>
    <w:p w:rsidR="00470674" w:rsidRPr="00B42E01" w:rsidRDefault="00470674" w:rsidP="00302248">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sidRPr="00302248">
        <w:rPr>
          <w:rFonts w:cs="Arial"/>
        </w:rPr>
        <w:t>En el sector público empresarial se han extinguido 22 sociedades</w:t>
      </w:r>
      <w:r w:rsidR="00542449">
        <w:rPr>
          <w:rFonts w:cs="Arial"/>
        </w:rPr>
        <w:t xml:space="preserve"> de 39 existentes con anterioridad a la reordenación</w:t>
      </w:r>
      <w:r w:rsidRPr="00302248">
        <w:rPr>
          <w:rFonts w:cs="Arial"/>
        </w:rPr>
        <w:t>, lo que supone una reducción del 56 por ciento</w:t>
      </w:r>
      <w:r w:rsidR="00302248" w:rsidRPr="00302248">
        <w:rPr>
          <w:rFonts w:cs="Arial"/>
        </w:rPr>
        <w:t>. Esta reordenación ha supuesto una disminución de 224 emple</w:t>
      </w:r>
      <w:r w:rsidR="00302248" w:rsidRPr="00302248">
        <w:rPr>
          <w:rFonts w:cs="Arial"/>
        </w:rPr>
        <w:t>a</w:t>
      </w:r>
      <w:r w:rsidR="00302248" w:rsidRPr="00302248">
        <w:rPr>
          <w:rFonts w:cs="Arial"/>
        </w:rPr>
        <w:t xml:space="preserve">dos, lo que </w:t>
      </w:r>
      <w:r w:rsidR="00B424B7">
        <w:rPr>
          <w:rFonts w:cs="Arial"/>
        </w:rPr>
        <w:t xml:space="preserve">significa </w:t>
      </w:r>
      <w:r w:rsidR="00302248" w:rsidRPr="00302248">
        <w:rPr>
          <w:rFonts w:cs="Arial"/>
        </w:rPr>
        <w:t xml:space="preserve">una reducción de un 17 por ciento. </w:t>
      </w:r>
      <w:r w:rsidR="0048241D">
        <w:rPr>
          <w:rFonts w:cs="Arial"/>
        </w:rPr>
        <w:t xml:space="preserve">Las </w:t>
      </w:r>
      <w:r w:rsidR="00713001">
        <w:rPr>
          <w:rFonts w:cs="Arial"/>
        </w:rPr>
        <w:t xml:space="preserve">actividades </w:t>
      </w:r>
      <w:r w:rsidR="0048241D">
        <w:rPr>
          <w:rFonts w:cs="Arial"/>
        </w:rPr>
        <w:t>enc</w:t>
      </w:r>
      <w:r w:rsidR="0048241D">
        <w:rPr>
          <w:rFonts w:cs="Arial"/>
        </w:rPr>
        <w:t>o</w:t>
      </w:r>
      <w:r w:rsidR="0048241D">
        <w:rPr>
          <w:rFonts w:cs="Arial"/>
        </w:rPr>
        <w:t>mendadas a las sociedades públicas extinguidas se han seguido llevando a cabo por las sociedades absorben</w:t>
      </w:r>
      <w:r w:rsidR="00542449">
        <w:rPr>
          <w:rFonts w:cs="Arial"/>
        </w:rPr>
        <w:t>tes</w:t>
      </w:r>
      <w:r w:rsidR="0048241D">
        <w:rPr>
          <w:rFonts w:cs="Arial"/>
        </w:rPr>
        <w:t xml:space="preserve">, </w:t>
      </w:r>
      <w:r w:rsidR="0048241D">
        <w:t>agrupándose en relación a determinadas polít</w:t>
      </w:r>
      <w:r w:rsidR="0048241D">
        <w:t>i</w:t>
      </w:r>
      <w:r w:rsidR="0048241D">
        <w:t>cas</w:t>
      </w:r>
      <w:r w:rsidR="00DF6600">
        <w:t xml:space="preserve">  </w:t>
      </w:r>
      <w:r w:rsidR="0048241D">
        <w:t xml:space="preserve"> sectoriales y con una estructura organizativa y de personal más reducida.</w:t>
      </w:r>
    </w:p>
    <w:p w:rsidR="00B42E01" w:rsidRPr="00B42E01" w:rsidRDefault="00B42E01" w:rsidP="00B42E01">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Pr>
          <w:rFonts w:cs="Arial"/>
        </w:rPr>
        <w:t>En el sector público fundacional</w:t>
      </w:r>
      <w:r w:rsidR="00CF1B1B">
        <w:rPr>
          <w:rFonts w:cs="Arial"/>
        </w:rPr>
        <w:t>,</w:t>
      </w:r>
      <w:r>
        <w:rPr>
          <w:rFonts w:cs="Arial"/>
        </w:rPr>
        <w:t xml:space="preserve"> </w:t>
      </w:r>
      <w:r w:rsidR="00CF1B1B">
        <w:rPr>
          <w:rFonts w:cs="Arial"/>
        </w:rPr>
        <w:t>de 7 fundaciones</w:t>
      </w:r>
      <w:r w:rsidR="00542449">
        <w:rPr>
          <w:rFonts w:cs="Arial"/>
        </w:rPr>
        <w:t xml:space="preserve"> se han suprimido tres</w:t>
      </w:r>
      <w:r>
        <w:rPr>
          <w:rFonts w:cs="Arial"/>
        </w:rPr>
        <w:t>, lo que ha supuesto una reducción del 43 por ciento. De las tres fundaciones e</w:t>
      </w:r>
      <w:r>
        <w:rPr>
          <w:rFonts w:cs="Arial"/>
        </w:rPr>
        <w:t>x</w:t>
      </w:r>
      <w:r>
        <w:rPr>
          <w:rFonts w:cs="Arial"/>
        </w:rPr>
        <w:t xml:space="preserve">tinguidas, únicamente las funciones llevadas a cabo por una de ellas </w:t>
      </w:r>
      <w:r w:rsidR="00591822">
        <w:rPr>
          <w:rFonts w:cs="Arial"/>
        </w:rPr>
        <w:t>las</w:t>
      </w:r>
      <w:r>
        <w:rPr>
          <w:rFonts w:cs="Arial"/>
        </w:rPr>
        <w:t xml:space="preserve"> ha asumido la propia Administración de la Comunidad Foral. Las actividades de las dos restantes se han trasladado al ámbito privado. </w:t>
      </w:r>
    </w:p>
    <w:p w:rsidR="00CF1B1B" w:rsidRDefault="00542449" w:rsidP="0009672A">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rFonts w:cs="Arial"/>
        </w:rPr>
      </w:pPr>
      <w:r w:rsidRPr="00CF1B1B">
        <w:rPr>
          <w:rFonts w:cs="Arial"/>
        </w:rPr>
        <w:t>A</w:t>
      </w:r>
      <w:r w:rsidR="0009672A" w:rsidRPr="00CF1B1B">
        <w:rPr>
          <w:rFonts w:cs="Arial"/>
        </w:rPr>
        <w:t xml:space="preserve"> diferencia del sector público empresarial</w:t>
      </w:r>
      <w:r w:rsidR="0048241D" w:rsidRPr="00CF1B1B">
        <w:rPr>
          <w:rFonts w:cs="Arial"/>
        </w:rPr>
        <w:t xml:space="preserve">, </w:t>
      </w:r>
      <w:r w:rsidRPr="00CF1B1B">
        <w:rPr>
          <w:rFonts w:cs="Arial"/>
        </w:rPr>
        <w:t>en los sector</w:t>
      </w:r>
      <w:r w:rsidR="00546EAD">
        <w:rPr>
          <w:rFonts w:cs="Arial"/>
        </w:rPr>
        <w:t>es administrativo y fundacional</w:t>
      </w:r>
      <w:r w:rsidRPr="00CF1B1B">
        <w:rPr>
          <w:rFonts w:cs="Arial"/>
        </w:rPr>
        <w:t xml:space="preserve"> no constan </w:t>
      </w:r>
      <w:r w:rsidR="0009672A" w:rsidRPr="00CF1B1B">
        <w:rPr>
          <w:rFonts w:cs="Arial"/>
        </w:rPr>
        <w:t xml:space="preserve">efectos económicos </w:t>
      </w:r>
      <w:r w:rsidRPr="00CF1B1B">
        <w:rPr>
          <w:rFonts w:cs="Arial"/>
        </w:rPr>
        <w:t xml:space="preserve">derivados de la </w:t>
      </w:r>
      <w:r w:rsidR="00943FF5" w:rsidRPr="00CF1B1B">
        <w:rPr>
          <w:rFonts w:cs="Arial"/>
        </w:rPr>
        <w:t>supresión y po</w:t>
      </w:r>
      <w:r w:rsidR="00943FF5" w:rsidRPr="00CF1B1B">
        <w:rPr>
          <w:rFonts w:cs="Arial"/>
        </w:rPr>
        <w:t>s</w:t>
      </w:r>
      <w:r w:rsidR="00943FF5" w:rsidRPr="00CF1B1B">
        <w:rPr>
          <w:rFonts w:cs="Arial"/>
        </w:rPr>
        <w:t>terior reordenación de sus funciones en otros ámbitos</w:t>
      </w:r>
      <w:r w:rsidR="0009672A" w:rsidRPr="00CF1B1B">
        <w:rPr>
          <w:rFonts w:cs="Arial"/>
        </w:rPr>
        <w:t>.</w:t>
      </w:r>
      <w:r w:rsidR="00CF1B1B">
        <w:rPr>
          <w:rFonts w:cs="Arial"/>
        </w:rPr>
        <w:t xml:space="preserve"> </w:t>
      </w:r>
    </w:p>
    <w:p w:rsidR="0009672A" w:rsidRPr="00CF1B1B" w:rsidRDefault="0009672A" w:rsidP="00CF1B1B">
      <w:pPr>
        <w:pStyle w:val="texto"/>
        <w:spacing w:after="120"/>
        <w:rPr>
          <w:spacing w:val="4"/>
          <w:lang w:val="es-ES"/>
        </w:rPr>
      </w:pPr>
      <w:r w:rsidRPr="00CF1B1B">
        <w:rPr>
          <w:spacing w:val="4"/>
          <w:lang w:val="es-ES"/>
        </w:rPr>
        <w:t>La</w:t>
      </w:r>
      <w:r w:rsidR="00B4654D" w:rsidRPr="00CF1B1B">
        <w:rPr>
          <w:spacing w:val="4"/>
          <w:lang w:val="es-ES"/>
        </w:rPr>
        <w:t xml:space="preserve"> cifra estimada de ahorros del </w:t>
      </w:r>
      <w:r w:rsidR="00237B81" w:rsidRPr="00CF1B1B">
        <w:rPr>
          <w:spacing w:val="4"/>
          <w:lang w:val="es-ES"/>
        </w:rPr>
        <w:t>sector público</w:t>
      </w:r>
      <w:r w:rsidRPr="00CF1B1B">
        <w:rPr>
          <w:spacing w:val="4"/>
          <w:lang w:val="es-ES"/>
        </w:rPr>
        <w:t xml:space="preserve"> </w:t>
      </w:r>
      <w:r w:rsidR="00D22D3C" w:rsidRPr="00CF1B1B">
        <w:rPr>
          <w:spacing w:val="4"/>
          <w:lang w:val="es-ES"/>
        </w:rPr>
        <w:t xml:space="preserve">foral </w:t>
      </w:r>
      <w:r w:rsidRPr="00CF1B1B">
        <w:rPr>
          <w:spacing w:val="4"/>
          <w:lang w:val="es-ES"/>
        </w:rPr>
        <w:t xml:space="preserve">de Navarra, </w:t>
      </w:r>
      <w:r w:rsidR="001D585C" w:rsidRPr="00CF1B1B">
        <w:rPr>
          <w:spacing w:val="4"/>
          <w:lang w:val="es-ES"/>
        </w:rPr>
        <w:t>proporci</w:t>
      </w:r>
      <w:r w:rsidR="001D585C" w:rsidRPr="00CF1B1B">
        <w:rPr>
          <w:spacing w:val="4"/>
          <w:lang w:val="es-ES"/>
        </w:rPr>
        <w:t>o</w:t>
      </w:r>
      <w:r w:rsidR="001D585C" w:rsidRPr="00CF1B1B">
        <w:rPr>
          <w:spacing w:val="4"/>
          <w:lang w:val="es-ES"/>
        </w:rPr>
        <w:t xml:space="preserve">nada íntegramente por el sector público empresarial y </w:t>
      </w:r>
      <w:r w:rsidR="00B424B7" w:rsidRPr="00CF1B1B">
        <w:rPr>
          <w:spacing w:val="4"/>
          <w:lang w:val="es-ES"/>
        </w:rPr>
        <w:t xml:space="preserve">derivada de procesos de </w:t>
      </w:r>
      <w:r w:rsidR="00B424B7" w:rsidRPr="00CF1B1B">
        <w:rPr>
          <w:spacing w:val="4"/>
          <w:lang w:val="es-ES"/>
        </w:rPr>
        <w:lastRenderedPageBreak/>
        <w:t xml:space="preserve">ordenación y </w:t>
      </w:r>
      <w:r w:rsidRPr="00CF1B1B">
        <w:rPr>
          <w:spacing w:val="4"/>
          <w:lang w:val="es-ES"/>
        </w:rPr>
        <w:t xml:space="preserve">una vez realizados </w:t>
      </w:r>
      <w:r w:rsidR="0048241D" w:rsidRPr="00CF1B1B">
        <w:rPr>
          <w:spacing w:val="4"/>
          <w:lang w:val="es-ES"/>
        </w:rPr>
        <w:t xml:space="preserve">determinados ajustes a criterio de esta Cámara, </w:t>
      </w:r>
      <w:r w:rsidR="007A08D1" w:rsidRPr="00CF1B1B">
        <w:rPr>
          <w:spacing w:val="4"/>
          <w:lang w:val="es-ES"/>
        </w:rPr>
        <w:t>asciende a 32,</w:t>
      </w:r>
      <w:r w:rsidR="00F92396" w:rsidRPr="00CF1B1B">
        <w:rPr>
          <w:spacing w:val="4"/>
          <w:lang w:val="es-ES"/>
        </w:rPr>
        <w:t>57</w:t>
      </w:r>
      <w:r w:rsidR="007A08D1" w:rsidRPr="00CF1B1B">
        <w:rPr>
          <w:spacing w:val="4"/>
          <w:lang w:val="es-ES"/>
        </w:rPr>
        <w:t xml:space="preserve"> millones de euros. </w:t>
      </w:r>
    </w:p>
    <w:p w:rsidR="00B42E01" w:rsidRPr="007043B7" w:rsidRDefault="00B42E01" w:rsidP="00B42E01">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pPr>
      <w:r w:rsidRPr="007043B7">
        <w:rPr>
          <w:rFonts w:cs="Arial"/>
        </w:rPr>
        <w:t xml:space="preserve">En relación a los activos </w:t>
      </w:r>
      <w:r w:rsidR="001D25C6" w:rsidRPr="007043B7">
        <w:rPr>
          <w:rFonts w:cs="Arial"/>
        </w:rPr>
        <w:t xml:space="preserve">y pasivos </w:t>
      </w:r>
      <w:r w:rsidRPr="007043B7">
        <w:rPr>
          <w:rFonts w:cs="Arial"/>
        </w:rPr>
        <w:t xml:space="preserve">de los organismos autónomos y </w:t>
      </w:r>
      <w:r w:rsidR="00CC23BC" w:rsidRPr="007043B7">
        <w:rPr>
          <w:rFonts w:cs="Arial"/>
        </w:rPr>
        <w:t xml:space="preserve">la </w:t>
      </w:r>
      <w:r w:rsidRPr="007043B7">
        <w:rPr>
          <w:rFonts w:cs="Arial"/>
        </w:rPr>
        <w:t>fu</w:t>
      </w:r>
      <w:r w:rsidRPr="007043B7">
        <w:rPr>
          <w:rFonts w:cs="Arial"/>
        </w:rPr>
        <w:t>n</w:t>
      </w:r>
      <w:r w:rsidRPr="007043B7">
        <w:rPr>
          <w:rFonts w:cs="Arial"/>
        </w:rPr>
        <w:t>da</w:t>
      </w:r>
      <w:r w:rsidR="00CC23BC" w:rsidRPr="007043B7">
        <w:rPr>
          <w:rFonts w:cs="Arial"/>
        </w:rPr>
        <w:t>ción</w:t>
      </w:r>
      <w:r w:rsidRPr="007043B7">
        <w:rPr>
          <w:rFonts w:cs="Arial"/>
        </w:rPr>
        <w:t xml:space="preserve"> pú</w:t>
      </w:r>
      <w:r w:rsidR="001D25C6" w:rsidRPr="007043B7">
        <w:rPr>
          <w:rFonts w:cs="Arial"/>
        </w:rPr>
        <w:t>blica</w:t>
      </w:r>
      <w:r w:rsidRPr="007043B7">
        <w:rPr>
          <w:rFonts w:cs="Arial"/>
        </w:rPr>
        <w:t xml:space="preserve"> </w:t>
      </w:r>
      <w:r w:rsidR="001D25C6" w:rsidRPr="007043B7">
        <w:rPr>
          <w:rFonts w:cs="Arial"/>
        </w:rPr>
        <w:t>suprimida se han adscrito a l</w:t>
      </w:r>
      <w:r w:rsidRPr="007043B7">
        <w:rPr>
          <w:rFonts w:cs="Arial"/>
        </w:rPr>
        <w:t>os Departamentos de la Admini</w:t>
      </w:r>
      <w:r w:rsidRPr="007043B7">
        <w:rPr>
          <w:rFonts w:cs="Arial"/>
        </w:rPr>
        <w:t>s</w:t>
      </w:r>
      <w:r w:rsidRPr="007043B7">
        <w:rPr>
          <w:rFonts w:cs="Arial"/>
        </w:rPr>
        <w:t>tración</w:t>
      </w:r>
      <w:r w:rsidR="00B36E55" w:rsidRPr="007043B7">
        <w:rPr>
          <w:rFonts w:cs="Arial"/>
        </w:rPr>
        <w:t xml:space="preserve"> de la Comunidad Foral</w:t>
      </w:r>
      <w:r w:rsidR="001D25C6" w:rsidRPr="007043B7">
        <w:rPr>
          <w:rFonts w:cs="Arial"/>
        </w:rPr>
        <w:t xml:space="preserve"> y Organismo Autónomo que han asumido las funciones de los entes extinguidos</w:t>
      </w:r>
      <w:r w:rsidRPr="007043B7">
        <w:rPr>
          <w:rFonts w:cs="Arial"/>
        </w:rPr>
        <w:t xml:space="preserve">.  </w:t>
      </w:r>
    </w:p>
    <w:p w:rsidR="00B424B7" w:rsidRPr="001D25C6" w:rsidRDefault="00B424B7" w:rsidP="00B424B7">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pPr>
      <w:r w:rsidRPr="001D25C6">
        <w:rPr>
          <w:rFonts w:cs="Arial"/>
        </w:rPr>
        <w:t>Los activos y pasivos de las s</w:t>
      </w:r>
      <w:r w:rsidR="00EF3FC0" w:rsidRPr="001D25C6">
        <w:rPr>
          <w:rFonts w:cs="Arial"/>
        </w:rPr>
        <w:t>ociedades públicas absorbidas,</w:t>
      </w:r>
      <w:r w:rsidRPr="001D25C6">
        <w:rPr>
          <w:rFonts w:cs="Arial"/>
        </w:rPr>
        <w:t xml:space="preserve"> según consta </w:t>
      </w:r>
      <w:r w:rsidR="00810691" w:rsidRPr="001D25C6">
        <w:rPr>
          <w:lang w:val="es-ES"/>
        </w:rPr>
        <w:t>en los informes de auditoría</w:t>
      </w:r>
      <w:r w:rsidRPr="001D25C6">
        <w:rPr>
          <w:lang w:val="es-ES"/>
        </w:rPr>
        <w:t xml:space="preserve"> en los ejercicios 2011, 2013 y 2014, </w:t>
      </w:r>
      <w:r w:rsidR="00EF3FC0" w:rsidRPr="001D25C6">
        <w:rPr>
          <w:lang w:val="es-ES"/>
        </w:rPr>
        <w:t>han sido transmitidos en bloque en favor de las sociedades absorbentes, al haberse pr</w:t>
      </w:r>
      <w:r w:rsidR="00EF3FC0" w:rsidRPr="001D25C6">
        <w:rPr>
          <w:lang w:val="es-ES"/>
        </w:rPr>
        <w:t>o</w:t>
      </w:r>
      <w:r w:rsidR="00EF3FC0" w:rsidRPr="001D25C6">
        <w:rPr>
          <w:lang w:val="es-ES"/>
        </w:rPr>
        <w:t>ducido la sucesión universal en todos los derechos y obligaciones.</w:t>
      </w:r>
    </w:p>
    <w:p w:rsidR="00CC23BC" w:rsidRDefault="0017115B" w:rsidP="000A6322">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pPr>
      <w:r w:rsidRPr="001D25C6">
        <w:t xml:space="preserve">Los dos planes de reordenación llevados a cabo </w:t>
      </w:r>
      <w:r w:rsidR="0048241D" w:rsidRPr="001D25C6">
        <w:t>por la Corporación Públ</w:t>
      </w:r>
      <w:r w:rsidR="0048241D" w:rsidRPr="001D25C6">
        <w:t>i</w:t>
      </w:r>
      <w:r w:rsidR="0048241D" w:rsidRPr="001D25C6">
        <w:t xml:space="preserve">ca Empresarial de Navarra </w:t>
      </w:r>
      <w:r w:rsidRPr="001D25C6">
        <w:t xml:space="preserve">han cumplido </w:t>
      </w:r>
      <w:r w:rsidR="00E179B9" w:rsidRPr="001D25C6">
        <w:t xml:space="preserve">razonablemente </w:t>
      </w:r>
      <w:r w:rsidRPr="001D25C6">
        <w:t>los objetivos previ</w:t>
      </w:r>
      <w:r w:rsidRPr="001D25C6">
        <w:t>s</w:t>
      </w:r>
      <w:r w:rsidRPr="001D25C6">
        <w:t xml:space="preserve">tos en el plazo </w:t>
      </w:r>
      <w:r w:rsidR="00417B1C" w:rsidRPr="001D25C6">
        <w:t>programado</w:t>
      </w:r>
      <w:r w:rsidR="00551028" w:rsidRPr="001D25C6">
        <w:t xml:space="preserve">. </w:t>
      </w:r>
      <w:bookmarkEnd w:id="20"/>
      <w:bookmarkEnd w:id="21"/>
      <w:bookmarkEnd w:id="22"/>
      <w:bookmarkEnd w:id="23"/>
      <w:bookmarkEnd w:id="24"/>
      <w:bookmarkEnd w:id="25"/>
      <w:bookmarkEnd w:id="26"/>
      <w:bookmarkEnd w:id="27"/>
      <w:bookmarkEnd w:id="28"/>
    </w:p>
    <w:p w:rsidR="000359BC" w:rsidRDefault="00A8534B" w:rsidP="00A8534B">
      <w:pPr>
        <w:pStyle w:val="texto"/>
        <w:tabs>
          <w:tab w:val="clear" w:pos="2835"/>
          <w:tab w:val="clear" w:pos="3969"/>
          <w:tab w:val="clear" w:pos="5103"/>
          <w:tab w:val="clear" w:pos="6237"/>
          <w:tab w:val="clear" w:pos="7371"/>
          <w:tab w:val="left" w:pos="480"/>
        </w:tabs>
        <w:ind w:left="289" w:firstLine="0"/>
      </w:pPr>
      <w:r>
        <w:t>Recomendamos</w:t>
      </w:r>
      <w:r w:rsidR="00D2579E">
        <w:t>:</w:t>
      </w:r>
    </w:p>
    <w:p w:rsidR="005C2BFF" w:rsidRPr="005C2BFF" w:rsidRDefault="00B4654D" w:rsidP="005C2BFF">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i/>
        </w:rPr>
      </w:pPr>
      <w:r>
        <w:rPr>
          <w:i/>
        </w:rPr>
        <w:t>En futuros procesos de reordenación l</w:t>
      </w:r>
      <w:r w:rsidR="00080B3D">
        <w:rPr>
          <w:i/>
        </w:rPr>
        <w:t xml:space="preserve">levar </w:t>
      </w:r>
      <w:r w:rsidR="00563DBA">
        <w:rPr>
          <w:i/>
        </w:rPr>
        <w:t xml:space="preserve">a cabo de forma integrada y </w:t>
      </w:r>
      <w:r w:rsidR="001E6D42">
        <w:rPr>
          <w:i/>
        </w:rPr>
        <w:t>conjunta su</w:t>
      </w:r>
      <w:r w:rsidR="00A41D6D">
        <w:rPr>
          <w:i/>
        </w:rPr>
        <w:t xml:space="preserve"> planificación </w:t>
      </w:r>
      <w:r>
        <w:rPr>
          <w:i/>
        </w:rPr>
        <w:t xml:space="preserve">y desarrollarla </w:t>
      </w:r>
      <w:r w:rsidR="00F816A3">
        <w:rPr>
          <w:i/>
        </w:rPr>
        <w:t>posterior</w:t>
      </w:r>
      <w:r w:rsidR="00AE115C">
        <w:rPr>
          <w:i/>
        </w:rPr>
        <w:t>mente</w:t>
      </w:r>
      <w:r w:rsidR="00F816A3">
        <w:rPr>
          <w:i/>
        </w:rPr>
        <w:t xml:space="preserve"> a través de </w:t>
      </w:r>
      <w:r w:rsidR="005C2BFF">
        <w:rPr>
          <w:i/>
        </w:rPr>
        <w:t>planes sectoria</w:t>
      </w:r>
      <w:r w:rsidR="00810691">
        <w:rPr>
          <w:i/>
        </w:rPr>
        <w:t>les individuales.</w:t>
      </w:r>
    </w:p>
    <w:p w:rsidR="005C2BFF" w:rsidRPr="00CC23BC" w:rsidRDefault="00AE115C" w:rsidP="005C2BFF">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i/>
        </w:rPr>
      </w:pPr>
      <w:r w:rsidRPr="00CC23BC">
        <w:rPr>
          <w:i/>
        </w:rPr>
        <w:t xml:space="preserve">Los </w:t>
      </w:r>
      <w:r w:rsidR="001E6D42" w:rsidRPr="00CC23BC">
        <w:rPr>
          <w:i/>
        </w:rPr>
        <w:t xml:space="preserve">planes </w:t>
      </w:r>
      <w:r w:rsidRPr="00CC23BC">
        <w:rPr>
          <w:i/>
        </w:rPr>
        <w:t xml:space="preserve">de </w:t>
      </w:r>
      <w:r w:rsidR="001E6D42" w:rsidRPr="00CC23BC">
        <w:rPr>
          <w:i/>
        </w:rPr>
        <w:t>proceso</w:t>
      </w:r>
      <w:r w:rsidR="005D2942" w:rsidRPr="00CC23BC">
        <w:rPr>
          <w:i/>
        </w:rPr>
        <w:t>s</w:t>
      </w:r>
      <w:r w:rsidR="001E6D42" w:rsidRPr="00CC23BC">
        <w:rPr>
          <w:i/>
        </w:rPr>
        <w:t xml:space="preserve"> de </w:t>
      </w:r>
      <w:r w:rsidRPr="00CC23BC">
        <w:rPr>
          <w:i/>
        </w:rPr>
        <w:t xml:space="preserve">reordenación </w:t>
      </w:r>
      <w:r w:rsidR="005D2942" w:rsidRPr="00CC23BC">
        <w:rPr>
          <w:i/>
        </w:rPr>
        <w:t xml:space="preserve">en </w:t>
      </w:r>
      <w:r w:rsidR="0009739B" w:rsidRPr="00CC23BC">
        <w:rPr>
          <w:i/>
        </w:rPr>
        <w:t xml:space="preserve">los </w:t>
      </w:r>
      <w:r w:rsidR="005D2942" w:rsidRPr="00CC23BC">
        <w:rPr>
          <w:i/>
        </w:rPr>
        <w:t xml:space="preserve">ámbitos administrativos y fundacionales </w:t>
      </w:r>
      <w:r w:rsidRPr="00CC23BC">
        <w:rPr>
          <w:i/>
        </w:rPr>
        <w:t xml:space="preserve">deben incluir </w:t>
      </w:r>
      <w:r w:rsidR="005D2942" w:rsidRPr="00CC23BC">
        <w:rPr>
          <w:i/>
        </w:rPr>
        <w:t xml:space="preserve">también </w:t>
      </w:r>
      <w:r w:rsidRPr="00CC23BC">
        <w:rPr>
          <w:i/>
        </w:rPr>
        <w:t>los correspondientes objetivos que sean concretos, cuantificables y evaluables económicamente</w:t>
      </w:r>
      <w:r w:rsidR="005C2BFF" w:rsidRPr="00CC23BC">
        <w:rPr>
          <w:i/>
        </w:rPr>
        <w:t>.</w:t>
      </w:r>
    </w:p>
    <w:p w:rsidR="00542449" w:rsidRPr="00563DBA" w:rsidRDefault="00542449" w:rsidP="00542449">
      <w:pPr>
        <w:pStyle w:val="texto"/>
        <w:numPr>
          <w:ilvl w:val="0"/>
          <w:numId w:val="7"/>
        </w:numPr>
        <w:tabs>
          <w:tab w:val="clear" w:pos="2835"/>
          <w:tab w:val="clear" w:pos="3969"/>
          <w:tab w:val="clear" w:pos="5103"/>
          <w:tab w:val="clear" w:pos="6237"/>
          <w:tab w:val="clear" w:pos="7371"/>
          <w:tab w:val="num" w:pos="169"/>
          <w:tab w:val="left" w:pos="480"/>
          <w:tab w:val="num" w:pos="720"/>
        </w:tabs>
        <w:ind w:left="0" w:firstLine="289"/>
        <w:rPr>
          <w:i/>
        </w:rPr>
      </w:pPr>
      <w:bookmarkStart w:id="29" w:name="_Toc521909258"/>
      <w:r w:rsidRPr="00563DBA">
        <w:rPr>
          <w:i/>
        </w:rPr>
        <w:t xml:space="preserve">Aprobar por órgano competente </w:t>
      </w:r>
      <w:r w:rsidR="00563DBA" w:rsidRPr="00563DBA">
        <w:rPr>
          <w:i/>
        </w:rPr>
        <w:t xml:space="preserve">los planes </w:t>
      </w:r>
      <w:r w:rsidR="00A41D6D">
        <w:rPr>
          <w:i/>
        </w:rPr>
        <w:t xml:space="preserve">de reordenación </w:t>
      </w:r>
      <w:r w:rsidR="00563DBA" w:rsidRPr="00563DBA">
        <w:rPr>
          <w:i/>
        </w:rPr>
        <w:t xml:space="preserve">cuando lo exijan las normas que se aprueben al efecto. </w:t>
      </w:r>
    </w:p>
    <w:p w:rsidR="00542449" w:rsidRPr="00542449" w:rsidRDefault="00542449" w:rsidP="00542449">
      <w:pPr>
        <w:spacing w:after="0"/>
        <w:ind w:firstLine="0"/>
        <w:jc w:val="left"/>
        <w:rPr>
          <w:i/>
          <w:spacing w:val="6"/>
          <w:sz w:val="26"/>
          <w:szCs w:val="24"/>
        </w:rPr>
      </w:pPr>
      <w:r>
        <w:rPr>
          <w:i/>
        </w:rPr>
        <w:br w:type="page"/>
      </w:r>
    </w:p>
    <w:p w:rsidR="0017115B" w:rsidRDefault="0017115B" w:rsidP="0017115B">
      <w:pPr>
        <w:pStyle w:val="atitulo1"/>
      </w:pPr>
      <w:bookmarkStart w:id="30" w:name="_Toc527376674"/>
      <w:r w:rsidRPr="003C6BE1">
        <w:lastRenderedPageBreak/>
        <w:t>V. Análisis de</w:t>
      </w:r>
      <w:r>
        <w:t xml:space="preserve">l proceso de reordenación del </w:t>
      </w:r>
      <w:r w:rsidR="00237B81">
        <w:t>sector público</w:t>
      </w:r>
      <w:r>
        <w:t xml:space="preserve"> </w:t>
      </w:r>
      <w:r w:rsidR="00D22D3C">
        <w:t xml:space="preserve">foral </w:t>
      </w:r>
      <w:r>
        <w:t>de Nav</w:t>
      </w:r>
      <w:r>
        <w:t>a</w:t>
      </w:r>
      <w:r>
        <w:t>rra</w:t>
      </w:r>
      <w:bookmarkEnd w:id="29"/>
      <w:bookmarkEnd w:id="30"/>
      <w:r w:rsidRPr="003C6BE1">
        <w:t xml:space="preserve"> </w:t>
      </w:r>
      <w:bookmarkStart w:id="31" w:name="_Toc451930249"/>
      <w:bookmarkStart w:id="32" w:name="_Toc451933567"/>
      <w:bookmarkStart w:id="33" w:name="_Toc451933626"/>
      <w:bookmarkEnd w:id="17"/>
      <w:bookmarkEnd w:id="18"/>
    </w:p>
    <w:p w:rsidR="0017115B" w:rsidRPr="00E1182C" w:rsidRDefault="00982D05" w:rsidP="00244F3D">
      <w:pPr>
        <w:pStyle w:val="atitulo2"/>
        <w:spacing w:before="300"/>
      </w:pPr>
      <w:bookmarkStart w:id="34" w:name="_Toc527376675"/>
      <w:bookmarkStart w:id="35" w:name="_Toc521909263"/>
      <w:bookmarkEnd w:id="31"/>
      <w:bookmarkEnd w:id="32"/>
      <w:bookmarkEnd w:id="33"/>
      <w:r>
        <w:t>V.1</w:t>
      </w:r>
      <w:r w:rsidR="0017115B">
        <w:t xml:space="preserve">. </w:t>
      </w:r>
      <w:r w:rsidR="0017115B" w:rsidRPr="00E1182C">
        <w:t>Evoluci</w:t>
      </w:r>
      <w:r w:rsidR="0017115B">
        <w:t>ón del número de entidades</w:t>
      </w:r>
      <w:bookmarkEnd w:id="34"/>
      <w:r w:rsidR="0017115B">
        <w:t xml:space="preserve"> </w:t>
      </w:r>
      <w:bookmarkEnd w:id="35"/>
    </w:p>
    <w:p w:rsidR="0017115B" w:rsidRPr="008F214C" w:rsidRDefault="0017115B" w:rsidP="00DD21F4">
      <w:pPr>
        <w:pStyle w:val="texto"/>
        <w:rPr>
          <w:lang w:val="es-ES"/>
        </w:rPr>
      </w:pPr>
      <w:r w:rsidRPr="008F214C">
        <w:rPr>
          <w:lang w:val="es-ES"/>
        </w:rPr>
        <w:t xml:space="preserve">La evolución </w:t>
      </w:r>
      <w:r w:rsidR="00253280">
        <w:rPr>
          <w:lang w:val="es-ES"/>
        </w:rPr>
        <w:t xml:space="preserve">del conjunto de entidades </w:t>
      </w:r>
      <w:r w:rsidR="002A6AA1">
        <w:rPr>
          <w:lang w:val="es-ES"/>
        </w:rPr>
        <w:t xml:space="preserve">del </w:t>
      </w:r>
      <w:r w:rsidR="00237B81">
        <w:rPr>
          <w:lang w:val="es-ES"/>
        </w:rPr>
        <w:t>sector público</w:t>
      </w:r>
      <w:r w:rsidR="002A6AA1">
        <w:rPr>
          <w:lang w:val="es-ES"/>
        </w:rPr>
        <w:t xml:space="preserve"> </w:t>
      </w:r>
      <w:r w:rsidR="00D22D3C">
        <w:rPr>
          <w:lang w:val="es-ES"/>
        </w:rPr>
        <w:t xml:space="preserve">foral </w:t>
      </w:r>
      <w:r w:rsidR="002A6AA1">
        <w:rPr>
          <w:lang w:val="es-ES"/>
        </w:rPr>
        <w:t>d</w:t>
      </w:r>
      <w:r w:rsidRPr="008F214C">
        <w:rPr>
          <w:lang w:val="es-ES"/>
        </w:rPr>
        <w:t xml:space="preserve">urante el periodo 2010-2016 </w:t>
      </w:r>
      <w:r w:rsidR="00B36E55">
        <w:rPr>
          <w:lang w:val="es-ES"/>
        </w:rPr>
        <w:t xml:space="preserve">según los procesos descritos en el apartado II.2 del informe </w:t>
      </w:r>
      <w:r w:rsidR="00253280">
        <w:rPr>
          <w:lang w:val="es-ES"/>
        </w:rPr>
        <w:t>es la siguiente</w:t>
      </w:r>
      <w:r w:rsidRPr="008F214C">
        <w:rPr>
          <w:lang w:val="es-ES"/>
        </w:rPr>
        <w:t xml:space="preserve">: </w:t>
      </w:r>
    </w:p>
    <w:p w:rsidR="0017115B" w:rsidRDefault="00F80941" w:rsidP="00E25F69">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before="320" w:after="240"/>
        <w:ind w:left="0" w:firstLine="289"/>
        <w:rPr>
          <w:rFonts w:cs="Arial"/>
        </w:rPr>
      </w:pPr>
      <w:r>
        <w:rPr>
          <w:rFonts w:cs="Arial"/>
        </w:rPr>
        <w:t>Tipología de entidades</w:t>
      </w:r>
    </w:p>
    <w:tbl>
      <w:tblPr>
        <w:tblW w:w="8656" w:type="dxa"/>
        <w:jc w:val="center"/>
        <w:tblCellMar>
          <w:left w:w="70" w:type="dxa"/>
          <w:right w:w="70" w:type="dxa"/>
        </w:tblCellMar>
        <w:tblLook w:val="04A0" w:firstRow="1" w:lastRow="0" w:firstColumn="1" w:lastColumn="0" w:noHBand="0" w:noVBand="1"/>
      </w:tblPr>
      <w:tblGrid>
        <w:gridCol w:w="2701"/>
        <w:gridCol w:w="567"/>
        <w:gridCol w:w="567"/>
        <w:gridCol w:w="541"/>
        <w:gridCol w:w="541"/>
        <w:gridCol w:w="572"/>
        <w:gridCol w:w="541"/>
        <w:gridCol w:w="541"/>
        <w:gridCol w:w="951"/>
        <w:gridCol w:w="1134"/>
      </w:tblGrid>
      <w:tr w:rsidR="00D57A37" w:rsidRPr="00E25F69" w:rsidTr="00E95BCC">
        <w:trPr>
          <w:trHeight w:val="340"/>
          <w:jc w:val="center"/>
        </w:trPr>
        <w:tc>
          <w:tcPr>
            <w:tcW w:w="270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D57A37">
            <w:pPr>
              <w:spacing w:after="0"/>
              <w:ind w:firstLine="0"/>
              <w:jc w:val="left"/>
              <w:rPr>
                <w:rFonts w:ascii="Arial" w:hAnsi="Arial" w:cs="Arial"/>
                <w:color w:val="000000"/>
                <w:sz w:val="17"/>
                <w:szCs w:val="17"/>
                <w:lang w:val="es-ES" w:eastAsia="es-ES"/>
              </w:rPr>
            </w:pPr>
            <w:r w:rsidRPr="00E25F69">
              <w:rPr>
                <w:rFonts w:ascii="Arial" w:hAnsi="Arial" w:cs="Arial"/>
                <w:color w:val="000000"/>
                <w:sz w:val="17"/>
                <w:szCs w:val="17"/>
                <w:lang w:eastAsia="es-ES"/>
              </w:rPr>
              <w:t>Entidades</w:t>
            </w:r>
          </w:p>
        </w:tc>
        <w:tc>
          <w:tcPr>
            <w:tcW w:w="567"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2010</w:t>
            </w:r>
          </w:p>
        </w:tc>
        <w:tc>
          <w:tcPr>
            <w:tcW w:w="567"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2011</w:t>
            </w:r>
          </w:p>
        </w:tc>
        <w:tc>
          <w:tcPr>
            <w:tcW w:w="54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2012</w:t>
            </w:r>
          </w:p>
        </w:tc>
        <w:tc>
          <w:tcPr>
            <w:tcW w:w="54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2013</w:t>
            </w:r>
          </w:p>
        </w:tc>
        <w:tc>
          <w:tcPr>
            <w:tcW w:w="572"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2014</w:t>
            </w:r>
          </w:p>
        </w:tc>
        <w:tc>
          <w:tcPr>
            <w:tcW w:w="54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2015</w:t>
            </w:r>
          </w:p>
        </w:tc>
        <w:tc>
          <w:tcPr>
            <w:tcW w:w="54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2016</w:t>
            </w:r>
          </w:p>
        </w:tc>
        <w:tc>
          <w:tcPr>
            <w:tcW w:w="95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6E26D6"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Variación 2016/10</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eastAsia="es-ES"/>
              </w:rPr>
              <w:t>% Variación</w:t>
            </w:r>
          </w:p>
        </w:tc>
      </w:tr>
      <w:tr w:rsidR="002A6AA1" w:rsidRPr="00E25F69" w:rsidTr="00E95BCC">
        <w:trPr>
          <w:trHeight w:val="255"/>
          <w:jc w:val="center"/>
        </w:trPr>
        <w:tc>
          <w:tcPr>
            <w:tcW w:w="2701" w:type="dxa"/>
            <w:tcBorders>
              <w:top w:val="single" w:sz="4" w:space="0" w:color="auto"/>
              <w:left w:val="nil"/>
              <w:bottom w:val="single" w:sz="2" w:space="0" w:color="auto"/>
              <w:right w:val="nil"/>
            </w:tcBorders>
            <w:shd w:val="clear" w:color="auto" w:fill="auto"/>
            <w:noWrap/>
            <w:vAlign w:val="center"/>
          </w:tcPr>
          <w:p w:rsidR="002A6AA1" w:rsidRPr="00E25F69" w:rsidRDefault="00A41D6D" w:rsidP="00A41D6D">
            <w:pPr>
              <w:spacing w:after="0"/>
              <w:ind w:firstLine="0"/>
              <w:jc w:val="lef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Entes</w:t>
            </w:r>
            <w:r w:rsidR="002A6AA1">
              <w:rPr>
                <w:rFonts w:ascii="Arial Narrow" w:hAnsi="Arial Narrow" w:cs="Tahoma"/>
                <w:color w:val="000000"/>
                <w:sz w:val="18"/>
                <w:szCs w:val="18"/>
                <w:lang w:val="es-ES" w:eastAsia="es-ES"/>
              </w:rPr>
              <w:t xml:space="preserve"> Públic</w:t>
            </w:r>
            <w:r>
              <w:rPr>
                <w:rFonts w:ascii="Arial Narrow" w:hAnsi="Arial Narrow" w:cs="Tahoma"/>
                <w:color w:val="000000"/>
                <w:sz w:val="18"/>
                <w:szCs w:val="18"/>
                <w:lang w:val="es-ES" w:eastAsia="es-ES"/>
              </w:rPr>
              <w:t>o</w:t>
            </w:r>
            <w:r w:rsidR="002A6AA1">
              <w:rPr>
                <w:rFonts w:ascii="Arial Narrow" w:hAnsi="Arial Narrow" w:cs="Tahoma"/>
                <w:color w:val="000000"/>
                <w:sz w:val="18"/>
                <w:szCs w:val="18"/>
                <w:lang w:val="es-ES" w:eastAsia="es-ES"/>
              </w:rPr>
              <w:t>s</w:t>
            </w:r>
          </w:p>
        </w:tc>
        <w:tc>
          <w:tcPr>
            <w:tcW w:w="567"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2</w:t>
            </w:r>
          </w:p>
        </w:tc>
        <w:tc>
          <w:tcPr>
            <w:tcW w:w="567"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541"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541"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572"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541"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541"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951"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1</w:t>
            </w:r>
          </w:p>
        </w:tc>
        <w:tc>
          <w:tcPr>
            <w:tcW w:w="1134" w:type="dxa"/>
            <w:tcBorders>
              <w:top w:val="single" w:sz="4" w:space="0" w:color="auto"/>
              <w:left w:val="nil"/>
              <w:bottom w:val="single" w:sz="2" w:space="0" w:color="auto"/>
              <w:right w:val="nil"/>
            </w:tcBorders>
            <w:shd w:val="clear" w:color="auto" w:fill="auto"/>
            <w:noWrap/>
            <w:vAlign w:val="center"/>
          </w:tcPr>
          <w:p w:rsidR="002A6AA1" w:rsidRPr="00E25F69" w:rsidRDefault="002A6AA1" w:rsidP="00787723">
            <w:pPr>
              <w:spacing w:after="0"/>
              <w:ind w:firstLine="0"/>
              <w:jc w:val="right"/>
              <w:rPr>
                <w:rFonts w:ascii="Arial Narrow" w:hAnsi="Arial Narrow" w:cs="Tahoma"/>
                <w:color w:val="000000"/>
                <w:sz w:val="18"/>
                <w:szCs w:val="18"/>
                <w:lang w:val="es-ES" w:eastAsia="es-ES"/>
              </w:rPr>
            </w:pPr>
            <w:r>
              <w:rPr>
                <w:rFonts w:ascii="Arial Narrow" w:hAnsi="Arial Narrow" w:cs="Tahoma"/>
                <w:color w:val="000000"/>
                <w:sz w:val="18"/>
                <w:szCs w:val="18"/>
                <w:lang w:val="es-ES" w:eastAsia="es-ES"/>
              </w:rPr>
              <w:t>-50</w:t>
            </w:r>
          </w:p>
        </w:tc>
      </w:tr>
      <w:tr w:rsidR="00D57A37" w:rsidRPr="00E25F69" w:rsidTr="00E95BCC">
        <w:trPr>
          <w:trHeight w:val="255"/>
          <w:jc w:val="center"/>
        </w:trPr>
        <w:tc>
          <w:tcPr>
            <w:tcW w:w="270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D57A37">
            <w:pPr>
              <w:spacing w:after="0"/>
              <w:ind w:firstLine="0"/>
              <w:jc w:val="lef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Organismos Autónomos</w:t>
            </w:r>
          </w:p>
        </w:tc>
        <w:tc>
          <w:tcPr>
            <w:tcW w:w="567"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12</w:t>
            </w:r>
          </w:p>
        </w:tc>
        <w:tc>
          <w:tcPr>
            <w:tcW w:w="567"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11</w:t>
            </w:r>
          </w:p>
        </w:tc>
        <w:tc>
          <w:tcPr>
            <w:tcW w:w="54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9</w:t>
            </w:r>
          </w:p>
        </w:tc>
        <w:tc>
          <w:tcPr>
            <w:tcW w:w="54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9</w:t>
            </w:r>
          </w:p>
        </w:tc>
        <w:tc>
          <w:tcPr>
            <w:tcW w:w="572"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9</w:t>
            </w:r>
          </w:p>
        </w:tc>
        <w:tc>
          <w:tcPr>
            <w:tcW w:w="54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8</w:t>
            </w:r>
          </w:p>
        </w:tc>
        <w:tc>
          <w:tcPr>
            <w:tcW w:w="54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8</w:t>
            </w:r>
          </w:p>
        </w:tc>
        <w:tc>
          <w:tcPr>
            <w:tcW w:w="951"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-4</w:t>
            </w:r>
          </w:p>
        </w:tc>
        <w:tc>
          <w:tcPr>
            <w:tcW w:w="1134" w:type="dxa"/>
            <w:tcBorders>
              <w:top w:val="single" w:sz="4"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-33</w:t>
            </w:r>
          </w:p>
        </w:tc>
      </w:tr>
      <w:tr w:rsidR="00D57A37" w:rsidRPr="00E25F69" w:rsidTr="00E95BCC">
        <w:trPr>
          <w:trHeight w:val="255"/>
          <w:jc w:val="center"/>
        </w:trPr>
        <w:tc>
          <w:tcPr>
            <w:tcW w:w="2701"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D57A37">
            <w:pPr>
              <w:spacing w:after="0"/>
              <w:ind w:firstLine="0"/>
              <w:jc w:val="left"/>
              <w:rPr>
                <w:rFonts w:ascii="Arial Narrow" w:hAnsi="Arial Narrow" w:cs="Tahoma"/>
                <w:sz w:val="18"/>
                <w:szCs w:val="18"/>
                <w:lang w:val="es-ES" w:eastAsia="es-ES"/>
              </w:rPr>
            </w:pPr>
            <w:r w:rsidRPr="00E25F69">
              <w:rPr>
                <w:rFonts w:ascii="Arial Narrow" w:hAnsi="Arial Narrow" w:cs="Tahoma"/>
                <w:sz w:val="18"/>
                <w:szCs w:val="18"/>
                <w:lang w:val="es-ES" w:eastAsia="es-ES"/>
              </w:rPr>
              <w:t>Sociedades Públicas</w:t>
            </w:r>
          </w:p>
        </w:tc>
        <w:tc>
          <w:tcPr>
            <w:tcW w:w="567"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39</w:t>
            </w:r>
          </w:p>
        </w:tc>
        <w:tc>
          <w:tcPr>
            <w:tcW w:w="567"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2</w:t>
            </w:r>
            <w:r w:rsidR="006E26D6" w:rsidRPr="00E25F69">
              <w:rPr>
                <w:rFonts w:ascii="Arial Narrow" w:hAnsi="Arial Narrow" w:cs="Tahoma"/>
                <w:sz w:val="18"/>
                <w:szCs w:val="18"/>
                <w:lang w:val="es-ES" w:eastAsia="es-ES"/>
              </w:rPr>
              <w:t>0</w:t>
            </w:r>
          </w:p>
        </w:tc>
        <w:tc>
          <w:tcPr>
            <w:tcW w:w="541" w:type="dxa"/>
            <w:tcBorders>
              <w:top w:val="single" w:sz="2" w:space="0" w:color="auto"/>
              <w:left w:val="nil"/>
              <w:bottom w:val="single" w:sz="2" w:space="0" w:color="auto"/>
              <w:right w:val="nil"/>
            </w:tcBorders>
            <w:shd w:val="clear" w:color="auto" w:fill="auto"/>
            <w:noWrap/>
            <w:vAlign w:val="center"/>
            <w:hideMark/>
          </w:tcPr>
          <w:p w:rsidR="00D57A37" w:rsidRPr="00E25F69" w:rsidRDefault="006E26D6"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19</w:t>
            </w:r>
          </w:p>
        </w:tc>
        <w:tc>
          <w:tcPr>
            <w:tcW w:w="541"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17</w:t>
            </w:r>
          </w:p>
        </w:tc>
        <w:tc>
          <w:tcPr>
            <w:tcW w:w="572"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16</w:t>
            </w:r>
          </w:p>
        </w:tc>
        <w:tc>
          <w:tcPr>
            <w:tcW w:w="541"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16</w:t>
            </w:r>
          </w:p>
        </w:tc>
        <w:tc>
          <w:tcPr>
            <w:tcW w:w="541"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sz w:val="18"/>
                <w:szCs w:val="18"/>
                <w:lang w:val="es-ES" w:eastAsia="es-ES"/>
              </w:rPr>
            </w:pPr>
            <w:r w:rsidRPr="00E25F69">
              <w:rPr>
                <w:rFonts w:ascii="Arial Narrow" w:hAnsi="Arial Narrow" w:cs="Tahoma"/>
                <w:sz w:val="18"/>
                <w:szCs w:val="18"/>
                <w:lang w:val="es-ES" w:eastAsia="es-ES"/>
              </w:rPr>
              <w:t>17</w:t>
            </w:r>
          </w:p>
        </w:tc>
        <w:tc>
          <w:tcPr>
            <w:tcW w:w="951"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-22</w:t>
            </w:r>
          </w:p>
        </w:tc>
        <w:tc>
          <w:tcPr>
            <w:tcW w:w="1134" w:type="dxa"/>
            <w:tcBorders>
              <w:top w:val="single" w:sz="2" w:space="0" w:color="auto"/>
              <w:left w:val="nil"/>
              <w:bottom w:val="single" w:sz="2"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-56</w:t>
            </w:r>
          </w:p>
        </w:tc>
      </w:tr>
      <w:tr w:rsidR="00D57A37" w:rsidRPr="00E25F69" w:rsidTr="00E95BCC">
        <w:trPr>
          <w:trHeight w:val="255"/>
          <w:jc w:val="center"/>
        </w:trPr>
        <w:tc>
          <w:tcPr>
            <w:tcW w:w="270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D57A37">
            <w:pPr>
              <w:spacing w:after="0"/>
              <w:ind w:firstLine="0"/>
              <w:jc w:val="lef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Fundaciones Públicas</w:t>
            </w:r>
          </w:p>
        </w:tc>
        <w:tc>
          <w:tcPr>
            <w:tcW w:w="567"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7</w:t>
            </w:r>
          </w:p>
        </w:tc>
        <w:tc>
          <w:tcPr>
            <w:tcW w:w="567"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7</w:t>
            </w:r>
          </w:p>
        </w:tc>
        <w:tc>
          <w:tcPr>
            <w:tcW w:w="54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7</w:t>
            </w:r>
          </w:p>
        </w:tc>
        <w:tc>
          <w:tcPr>
            <w:tcW w:w="54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7</w:t>
            </w:r>
          </w:p>
        </w:tc>
        <w:tc>
          <w:tcPr>
            <w:tcW w:w="572"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6</w:t>
            </w:r>
          </w:p>
        </w:tc>
        <w:tc>
          <w:tcPr>
            <w:tcW w:w="54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4</w:t>
            </w:r>
          </w:p>
        </w:tc>
        <w:tc>
          <w:tcPr>
            <w:tcW w:w="54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4</w:t>
            </w:r>
          </w:p>
        </w:tc>
        <w:tc>
          <w:tcPr>
            <w:tcW w:w="951"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-3</w:t>
            </w:r>
          </w:p>
        </w:tc>
        <w:tc>
          <w:tcPr>
            <w:tcW w:w="1134" w:type="dxa"/>
            <w:tcBorders>
              <w:top w:val="single" w:sz="2" w:space="0" w:color="auto"/>
              <w:left w:val="nil"/>
              <w:bottom w:val="single" w:sz="4" w:space="0" w:color="auto"/>
              <w:right w:val="nil"/>
            </w:tcBorders>
            <w:shd w:val="clear" w:color="auto" w:fill="auto"/>
            <w:noWrap/>
            <w:vAlign w:val="center"/>
            <w:hideMark/>
          </w:tcPr>
          <w:p w:rsidR="00D57A37" w:rsidRPr="00E25F69" w:rsidRDefault="00D57A37" w:rsidP="00787723">
            <w:pPr>
              <w:spacing w:after="0"/>
              <w:ind w:firstLine="0"/>
              <w:jc w:val="right"/>
              <w:rPr>
                <w:rFonts w:ascii="Arial Narrow" w:hAnsi="Arial Narrow" w:cs="Tahoma"/>
                <w:color w:val="000000"/>
                <w:sz w:val="18"/>
                <w:szCs w:val="18"/>
                <w:lang w:val="es-ES" w:eastAsia="es-ES"/>
              </w:rPr>
            </w:pPr>
            <w:r w:rsidRPr="00E25F69">
              <w:rPr>
                <w:rFonts w:ascii="Arial Narrow" w:hAnsi="Arial Narrow" w:cs="Tahoma"/>
                <w:color w:val="000000"/>
                <w:sz w:val="18"/>
                <w:szCs w:val="18"/>
                <w:lang w:val="es-ES" w:eastAsia="es-ES"/>
              </w:rPr>
              <w:t>-43</w:t>
            </w:r>
          </w:p>
        </w:tc>
      </w:tr>
      <w:tr w:rsidR="00F30E92" w:rsidRPr="00E25F69" w:rsidTr="00E95BCC">
        <w:trPr>
          <w:trHeight w:val="270"/>
          <w:jc w:val="center"/>
        </w:trPr>
        <w:tc>
          <w:tcPr>
            <w:tcW w:w="270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D57A37">
            <w:pPr>
              <w:spacing w:after="0"/>
              <w:ind w:firstLine="0"/>
              <w:jc w:val="left"/>
              <w:rPr>
                <w:rFonts w:ascii="Arial" w:hAnsi="Arial" w:cs="Arial"/>
                <w:sz w:val="17"/>
                <w:szCs w:val="17"/>
                <w:lang w:val="es-ES" w:eastAsia="es-ES"/>
              </w:rPr>
            </w:pPr>
            <w:r w:rsidRPr="00E25F69">
              <w:rPr>
                <w:rFonts w:ascii="Arial" w:hAnsi="Arial" w:cs="Arial"/>
                <w:sz w:val="17"/>
                <w:szCs w:val="17"/>
                <w:lang w:val="es-ES" w:eastAsia="es-ES"/>
              </w:rPr>
              <w:t>Total</w:t>
            </w:r>
          </w:p>
        </w:tc>
        <w:tc>
          <w:tcPr>
            <w:tcW w:w="567"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60</w:t>
            </w:r>
          </w:p>
        </w:tc>
        <w:tc>
          <w:tcPr>
            <w:tcW w:w="567"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39</w:t>
            </w:r>
          </w:p>
        </w:tc>
        <w:tc>
          <w:tcPr>
            <w:tcW w:w="541"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36</w:t>
            </w:r>
          </w:p>
        </w:tc>
        <w:tc>
          <w:tcPr>
            <w:tcW w:w="541"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34</w:t>
            </w:r>
          </w:p>
        </w:tc>
        <w:tc>
          <w:tcPr>
            <w:tcW w:w="572"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32</w:t>
            </w:r>
          </w:p>
        </w:tc>
        <w:tc>
          <w:tcPr>
            <w:tcW w:w="541"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29</w:t>
            </w:r>
          </w:p>
        </w:tc>
        <w:tc>
          <w:tcPr>
            <w:tcW w:w="541" w:type="dxa"/>
            <w:tcBorders>
              <w:top w:val="single" w:sz="4" w:space="0" w:color="auto"/>
              <w:left w:val="nil"/>
              <w:bottom w:val="single" w:sz="4" w:space="0" w:color="auto"/>
              <w:right w:val="nil"/>
            </w:tcBorders>
            <w:shd w:val="clear" w:color="auto" w:fill="8DB3E2" w:themeFill="text2" w:themeFillTint="66"/>
            <w:noWrap/>
            <w:vAlign w:val="center"/>
          </w:tcPr>
          <w:p w:rsidR="00D57A37" w:rsidRPr="00E25F69" w:rsidRDefault="002A6AA1" w:rsidP="00787723">
            <w:pPr>
              <w:spacing w:after="0"/>
              <w:ind w:firstLine="0"/>
              <w:jc w:val="right"/>
              <w:rPr>
                <w:rFonts w:ascii="Arial" w:hAnsi="Arial" w:cs="Arial"/>
                <w:sz w:val="17"/>
                <w:szCs w:val="17"/>
                <w:lang w:val="es-ES" w:eastAsia="es-ES"/>
              </w:rPr>
            </w:pPr>
            <w:r>
              <w:rPr>
                <w:rFonts w:ascii="Arial" w:hAnsi="Arial" w:cs="Arial"/>
                <w:sz w:val="17"/>
                <w:szCs w:val="17"/>
                <w:lang w:val="es-ES" w:eastAsia="es-ES"/>
              </w:rPr>
              <w:t>30</w:t>
            </w:r>
          </w:p>
        </w:tc>
        <w:tc>
          <w:tcPr>
            <w:tcW w:w="951"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2A6AA1" w:rsidP="00787723">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-30</w:t>
            </w:r>
          </w:p>
        </w:tc>
        <w:tc>
          <w:tcPr>
            <w:tcW w:w="1134" w:type="dxa"/>
            <w:tcBorders>
              <w:top w:val="single" w:sz="4" w:space="0" w:color="auto"/>
              <w:left w:val="nil"/>
              <w:bottom w:val="single" w:sz="4" w:space="0" w:color="auto"/>
              <w:right w:val="nil"/>
            </w:tcBorders>
            <w:shd w:val="clear" w:color="auto" w:fill="8DB3E2" w:themeFill="text2" w:themeFillTint="66"/>
            <w:noWrap/>
            <w:vAlign w:val="center"/>
            <w:hideMark/>
          </w:tcPr>
          <w:p w:rsidR="00D57A37" w:rsidRPr="00E25F69" w:rsidRDefault="00D57A37" w:rsidP="00787723">
            <w:pPr>
              <w:spacing w:after="0"/>
              <w:ind w:firstLine="0"/>
              <w:jc w:val="right"/>
              <w:rPr>
                <w:rFonts w:ascii="Arial" w:hAnsi="Arial" w:cs="Arial"/>
                <w:color w:val="000000"/>
                <w:sz w:val="17"/>
                <w:szCs w:val="17"/>
                <w:lang w:val="es-ES" w:eastAsia="es-ES"/>
              </w:rPr>
            </w:pPr>
            <w:r w:rsidRPr="00E25F69">
              <w:rPr>
                <w:rFonts w:ascii="Arial" w:hAnsi="Arial" w:cs="Arial"/>
                <w:color w:val="000000"/>
                <w:sz w:val="17"/>
                <w:szCs w:val="17"/>
                <w:lang w:val="es-ES" w:eastAsia="es-ES"/>
              </w:rPr>
              <w:t>-5</w:t>
            </w:r>
            <w:r w:rsidR="006E26D6" w:rsidRPr="00E25F69">
              <w:rPr>
                <w:rFonts w:ascii="Arial" w:hAnsi="Arial" w:cs="Arial"/>
                <w:color w:val="000000"/>
                <w:sz w:val="17"/>
                <w:szCs w:val="17"/>
                <w:lang w:val="es-ES" w:eastAsia="es-ES"/>
              </w:rPr>
              <w:t>0</w:t>
            </w:r>
          </w:p>
        </w:tc>
      </w:tr>
    </w:tbl>
    <w:p w:rsidR="00051E18" w:rsidRDefault="00051E18" w:rsidP="00733729">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before="360" w:after="260"/>
        <w:ind w:left="0" w:firstLine="289"/>
        <w:rPr>
          <w:rFonts w:cs="Arial"/>
        </w:rPr>
      </w:pPr>
      <w:r w:rsidRPr="00710698">
        <w:rPr>
          <w:rFonts w:cs="Arial"/>
        </w:rPr>
        <w:t>Detalle de las variaciones</w:t>
      </w:r>
      <w:r>
        <w:rPr>
          <w:rFonts w:cs="Arial"/>
        </w:rPr>
        <w:t xml:space="preserve"> por tipo de entidad</w:t>
      </w:r>
    </w:p>
    <w:tbl>
      <w:tblPr>
        <w:tblW w:w="8600" w:type="dxa"/>
        <w:jc w:val="center"/>
        <w:tblCellMar>
          <w:left w:w="70" w:type="dxa"/>
          <w:right w:w="70" w:type="dxa"/>
        </w:tblCellMar>
        <w:tblLook w:val="04A0" w:firstRow="1" w:lastRow="0" w:firstColumn="1" w:lastColumn="0" w:noHBand="0" w:noVBand="1"/>
      </w:tblPr>
      <w:tblGrid>
        <w:gridCol w:w="3082"/>
        <w:gridCol w:w="891"/>
        <w:gridCol w:w="752"/>
        <w:gridCol w:w="809"/>
        <w:gridCol w:w="778"/>
        <w:gridCol w:w="748"/>
        <w:gridCol w:w="772"/>
        <w:gridCol w:w="768"/>
      </w:tblGrid>
      <w:tr w:rsidR="00FE4D90" w:rsidRPr="00F07B2D" w:rsidTr="00E95BCC">
        <w:trPr>
          <w:trHeight w:val="340"/>
          <w:jc w:val="center"/>
        </w:trPr>
        <w:tc>
          <w:tcPr>
            <w:tcW w:w="3082"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left"/>
              <w:rPr>
                <w:rFonts w:ascii="Arial" w:hAnsi="Arial" w:cs="Arial"/>
                <w:color w:val="000000"/>
                <w:sz w:val="17"/>
                <w:szCs w:val="17"/>
                <w:lang w:val="es-ES" w:eastAsia="es-ES"/>
              </w:rPr>
            </w:pPr>
            <w:r w:rsidRPr="00F07B2D">
              <w:rPr>
                <w:rFonts w:ascii="Arial" w:hAnsi="Arial" w:cs="Arial"/>
                <w:color w:val="000000"/>
                <w:sz w:val="17"/>
                <w:szCs w:val="17"/>
                <w:lang w:val="es-ES" w:eastAsia="es-ES"/>
              </w:rPr>
              <w:t>Variaci</w:t>
            </w:r>
            <w:r>
              <w:rPr>
                <w:rFonts w:ascii="Arial" w:hAnsi="Arial" w:cs="Arial"/>
                <w:color w:val="000000"/>
                <w:sz w:val="17"/>
                <w:szCs w:val="17"/>
                <w:lang w:val="es-ES" w:eastAsia="es-ES"/>
              </w:rPr>
              <w:t>ó</w:t>
            </w:r>
            <w:r w:rsidRPr="00F07B2D">
              <w:rPr>
                <w:rFonts w:ascii="Arial" w:hAnsi="Arial" w:cs="Arial"/>
                <w:color w:val="000000"/>
                <w:sz w:val="17"/>
                <w:szCs w:val="17"/>
                <w:lang w:val="es-ES" w:eastAsia="es-ES"/>
              </w:rPr>
              <w:t>n Entidades</w:t>
            </w:r>
          </w:p>
        </w:tc>
        <w:tc>
          <w:tcPr>
            <w:tcW w:w="891"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2010</w:t>
            </w:r>
          </w:p>
        </w:tc>
        <w:tc>
          <w:tcPr>
            <w:tcW w:w="752"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2011</w:t>
            </w:r>
          </w:p>
        </w:tc>
        <w:tc>
          <w:tcPr>
            <w:tcW w:w="809"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2012</w:t>
            </w:r>
          </w:p>
        </w:tc>
        <w:tc>
          <w:tcPr>
            <w:tcW w:w="778"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2013</w:t>
            </w:r>
          </w:p>
        </w:tc>
        <w:tc>
          <w:tcPr>
            <w:tcW w:w="748"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2014</w:t>
            </w:r>
          </w:p>
        </w:tc>
        <w:tc>
          <w:tcPr>
            <w:tcW w:w="772"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2015</w:t>
            </w:r>
          </w:p>
        </w:tc>
        <w:tc>
          <w:tcPr>
            <w:tcW w:w="768" w:type="dxa"/>
            <w:tcBorders>
              <w:top w:val="single" w:sz="4" w:space="0" w:color="auto"/>
              <w:left w:val="nil"/>
              <w:bottom w:val="single" w:sz="4" w:space="0" w:color="auto"/>
              <w:right w:val="nil"/>
            </w:tcBorders>
            <w:shd w:val="clear" w:color="000000" w:fill="8DB4E2"/>
            <w:noWrap/>
            <w:vAlign w:val="center"/>
            <w:hideMark/>
          </w:tcPr>
          <w:p w:rsidR="00FE4D90" w:rsidRPr="00F07B2D" w:rsidRDefault="00FE4D90" w:rsidP="00FE4D90">
            <w:pPr>
              <w:spacing w:after="0"/>
              <w:ind w:firstLine="0"/>
              <w:jc w:val="right"/>
              <w:rPr>
                <w:rFonts w:ascii="Arial" w:hAnsi="Arial" w:cs="Arial"/>
                <w:color w:val="000000"/>
                <w:sz w:val="17"/>
                <w:szCs w:val="17"/>
                <w:lang w:val="es-ES" w:eastAsia="es-ES"/>
              </w:rPr>
            </w:pPr>
            <w:r w:rsidRPr="00F07B2D">
              <w:rPr>
                <w:rFonts w:ascii="Arial" w:hAnsi="Arial" w:cs="Arial"/>
                <w:color w:val="000000"/>
                <w:sz w:val="17"/>
                <w:szCs w:val="17"/>
                <w:lang w:val="es-ES" w:eastAsia="es-ES"/>
              </w:rPr>
              <w:t>2016</w:t>
            </w:r>
          </w:p>
        </w:tc>
      </w:tr>
      <w:tr w:rsidR="00FE4D90" w:rsidRPr="00F07B2D" w:rsidTr="00E95BCC">
        <w:trPr>
          <w:trHeight w:val="227"/>
          <w:jc w:val="center"/>
        </w:trPr>
        <w:tc>
          <w:tcPr>
            <w:tcW w:w="3082" w:type="dxa"/>
            <w:tcBorders>
              <w:top w:val="single" w:sz="2" w:space="0" w:color="auto"/>
              <w:left w:val="nil"/>
              <w:bottom w:val="nil"/>
              <w:right w:val="nil"/>
            </w:tcBorders>
            <w:shd w:val="clear" w:color="auto" w:fill="auto"/>
            <w:noWrap/>
            <w:vAlign w:val="center"/>
            <w:hideMark/>
          </w:tcPr>
          <w:p w:rsidR="00FE4D90" w:rsidRPr="00F07B2D" w:rsidRDefault="00FE4D90" w:rsidP="00A41D6D">
            <w:pPr>
              <w:spacing w:after="0"/>
              <w:ind w:firstLine="0"/>
              <w:jc w:val="lef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Ent</w:t>
            </w:r>
            <w:r w:rsidR="00A41D6D">
              <w:rPr>
                <w:rFonts w:ascii="Arial Narrow" w:hAnsi="Arial Narrow" w:cs="Arial"/>
                <w:b/>
                <w:bCs/>
                <w:color w:val="000000"/>
                <w:sz w:val="18"/>
                <w:szCs w:val="18"/>
                <w:lang w:val="es-ES" w:eastAsia="es-ES"/>
              </w:rPr>
              <w:t>es Público</w:t>
            </w:r>
            <w:r w:rsidRPr="00F07B2D">
              <w:rPr>
                <w:rFonts w:ascii="Arial Narrow" w:hAnsi="Arial Narrow" w:cs="Arial"/>
                <w:b/>
                <w:bCs/>
                <w:color w:val="000000"/>
                <w:sz w:val="18"/>
                <w:szCs w:val="18"/>
                <w:lang w:val="es-ES" w:eastAsia="es-ES"/>
              </w:rPr>
              <w:t>s</w:t>
            </w:r>
          </w:p>
        </w:tc>
        <w:tc>
          <w:tcPr>
            <w:tcW w:w="891"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2</w:t>
            </w:r>
          </w:p>
        </w:tc>
        <w:tc>
          <w:tcPr>
            <w:tcW w:w="752"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c>
          <w:tcPr>
            <w:tcW w:w="809"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c>
          <w:tcPr>
            <w:tcW w:w="778"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c>
          <w:tcPr>
            <w:tcW w:w="748"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c>
          <w:tcPr>
            <w:tcW w:w="772"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c>
          <w:tcPr>
            <w:tcW w:w="768" w:type="dxa"/>
            <w:tcBorders>
              <w:top w:val="single" w:sz="2" w:space="0" w:color="auto"/>
              <w:left w:val="nil"/>
              <w:bottom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w:t>
            </w:r>
          </w:p>
        </w:tc>
      </w:tr>
      <w:tr w:rsidR="00FE4D90" w:rsidRPr="00F07B2D" w:rsidTr="00E95BCC">
        <w:trPr>
          <w:trHeight w:val="227"/>
          <w:jc w:val="center"/>
        </w:trPr>
        <w:tc>
          <w:tcPr>
            <w:tcW w:w="3082"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Altas</w:t>
            </w:r>
          </w:p>
        </w:tc>
        <w:tc>
          <w:tcPr>
            <w:tcW w:w="891"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752"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809"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778"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748"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772"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c>
          <w:tcPr>
            <w:tcW w:w="768" w:type="dxa"/>
            <w:tcBorders>
              <w:top w:val="nil"/>
              <w:left w:val="nil"/>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olor w:val="000000"/>
                <w:sz w:val="18"/>
                <w:szCs w:val="18"/>
                <w:lang w:val="es-ES" w:eastAsia="es-ES"/>
              </w:rPr>
            </w:pPr>
          </w:p>
        </w:tc>
      </w:tr>
      <w:tr w:rsidR="00FE4D90" w:rsidRPr="00F07B2D" w:rsidTr="00E95BCC">
        <w:trPr>
          <w:trHeight w:val="227"/>
          <w:jc w:val="center"/>
        </w:trPr>
        <w:tc>
          <w:tcPr>
            <w:tcW w:w="3082"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Bajas</w:t>
            </w:r>
          </w:p>
        </w:tc>
        <w:tc>
          <w:tcPr>
            <w:tcW w:w="891"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52"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809"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78"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48"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72"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68" w:type="dxa"/>
            <w:tcBorders>
              <w:top w:val="nil"/>
              <w:left w:val="nil"/>
              <w:bottom w:val="single" w:sz="2" w:space="0" w:color="auto"/>
              <w:right w:val="nil"/>
            </w:tcBorders>
            <w:shd w:val="clear" w:color="auto" w:fill="auto"/>
            <w:noWrap/>
            <w:vAlign w:val="center"/>
            <w:hideMark/>
          </w:tcPr>
          <w:p w:rsidR="00FE4D90" w:rsidRPr="00F07B2D" w:rsidRDefault="00FE4D90" w:rsidP="00FE4D90">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r>
      <w:tr w:rsidR="0025202A" w:rsidRPr="00F07B2D" w:rsidTr="00E95BCC">
        <w:trPr>
          <w:trHeight w:val="227"/>
          <w:jc w:val="center"/>
        </w:trPr>
        <w:tc>
          <w:tcPr>
            <w:tcW w:w="3082" w:type="dxa"/>
            <w:tcBorders>
              <w:top w:val="single" w:sz="4" w:space="0" w:color="auto"/>
              <w:left w:val="nil"/>
              <w:bottom w:val="nil"/>
              <w:right w:val="nil"/>
            </w:tcBorders>
            <w:shd w:val="clear" w:color="auto" w:fill="auto"/>
            <w:noWrap/>
            <w:vAlign w:val="center"/>
            <w:hideMark/>
          </w:tcPr>
          <w:p w:rsidR="0025202A" w:rsidRPr="00F07B2D" w:rsidRDefault="0025202A" w:rsidP="0025202A">
            <w:pPr>
              <w:spacing w:after="0"/>
              <w:ind w:firstLine="0"/>
              <w:jc w:val="lef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Organismos Autónomos</w:t>
            </w:r>
          </w:p>
        </w:tc>
        <w:tc>
          <w:tcPr>
            <w:tcW w:w="891"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12</w:t>
            </w:r>
          </w:p>
        </w:tc>
        <w:tc>
          <w:tcPr>
            <w:tcW w:w="752"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11</w:t>
            </w:r>
          </w:p>
        </w:tc>
        <w:tc>
          <w:tcPr>
            <w:tcW w:w="809"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9</w:t>
            </w:r>
          </w:p>
        </w:tc>
        <w:tc>
          <w:tcPr>
            <w:tcW w:w="778"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9</w:t>
            </w:r>
          </w:p>
        </w:tc>
        <w:tc>
          <w:tcPr>
            <w:tcW w:w="748"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9</w:t>
            </w:r>
          </w:p>
        </w:tc>
        <w:tc>
          <w:tcPr>
            <w:tcW w:w="772"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8</w:t>
            </w:r>
          </w:p>
        </w:tc>
        <w:tc>
          <w:tcPr>
            <w:tcW w:w="768" w:type="dxa"/>
            <w:tcBorders>
              <w:top w:val="single" w:sz="4"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8</w:t>
            </w:r>
          </w:p>
        </w:tc>
      </w:tr>
      <w:tr w:rsidR="0025202A" w:rsidRPr="00F07B2D" w:rsidTr="00E95BCC">
        <w:trPr>
          <w:trHeight w:val="227"/>
          <w:jc w:val="center"/>
        </w:trPr>
        <w:tc>
          <w:tcPr>
            <w:tcW w:w="3082" w:type="dxa"/>
            <w:tcBorders>
              <w:top w:val="nil"/>
              <w:left w:val="nil"/>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Altas</w:t>
            </w:r>
          </w:p>
        </w:tc>
        <w:tc>
          <w:tcPr>
            <w:tcW w:w="891"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52"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809"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77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4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72"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6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r>
      <w:tr w:rsidR="0025202A" w:rsidRPr="00F07B2D" w:rsidTr="00E95BCC">
        <w:trPr>
          <w:trHeight w:val="227"/>
          <w:jc w:val="center"/>
        </w:trPr>
        <w:tc>
          <w:tcPr>
            <w:tcW w:w="3082" w:type="dxa"/>
            <w:tcBorders>
              <w:top w:val="nil"/>
              <w:left w:val="nil"/>
              <w:bottom w:val="single" w:sz="2" w:space="0" w:color="auto"/>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Bajas</w:t>
            </w:r>
          </w:p>
        </w:tc>
        <w:tc>
          <w:tcPr>
            <w:tcW w:w="891"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52"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809"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-3</w:t>
            </w:r>
          </w:p>
        </w:tc>
        <w:tc>
          <w:tcPr>
            <w:tcW w:w="778"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48"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72"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768"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 </w:t>
            </w:r>
          </w:p>
        </w:tc>
      </w:tr>
      <w:tr w:rsidR="0025202A" w:rsidRPr="00F07B2D" w:rsidTr="00E95BCC">
        <w:trPr>
          <w:trHeight w:val="227"/>
          <w:jc w:val="center"/>
        </w:trPr>
        <w:tc>
          <w:tcPr>
            <w:tcW w:w="3082" w:type="dxa"/>
            <w:tcBorders>
              <w:top w:val="single" w:sz="2" w:space="0" w:color="auto"/>
              <w:left w:val="nil"/>
              <w:bottom w:val="nil"/>
              <w:right w:val="nil"/>
            </w:tcBorders>
            <w:shd w:val="clear" w:color="auto" w:fill="auto"/>
            <w:noWrap/>
            <w:vAlign w:val="center"/>
            <w:hideMark/>
          </w:tcPr>
          <w:p w:rsidR="0025202A" w:rsidRPr="00F07B2D" w:rsidRDefault="0025202A" w:rsidP="0025202A">
            <w:pPr>
              <w:spacing w:after="0"/>
              <w:ind w:firstLine="0"/>
              <w:jc w:val="lef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Sociedades Públicas</w:t>
            </w:r>
          </w:p>
        </w:tc>
        <w:tc>
          <w:tcPr>
            <w:tcW w:w="891"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39</w:t>
            </w:r>
          </w:p>
        </w:tc>
        <w:tc>
          <w:tcPr>
            <w:tcW w:w="752"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2</w:t>
            </w:r>
            <w:r w:rsidR="006E26D6">
              <w:rPr>
                <w:rFonts w:ascii="Arial Narrow" w:hAnsi="Arial Narrow" w:cs="Arial"/>
                <w:b/>
                <w:bCs/>
                <w:color w:val="000000"/>
                <w:sz w:val="18"/>
                <w:szCs w:val="18"/>
                <w:lang w:val="es-ES" w:eastAsia="es-ES"/>
              </w:rPr>
              <w:t>0</w:t>
            </w:r>
          </w:p>
        </w:tc>
        <w:tc>
          <w:tcPr>
            <w:tcW w:w="809" w:type="dxa"/>
            <w:tcBorders>
              <w:top w:val="single" w:sz="2" w:space="0" w:color="auto"/>
              <w:left w:val="nil"/>
              <w:bottom w:val="nil"/>
              <w:right w:val="nil"/>
            </w:tcBorders>
            <w:shd w:val="clear" w:color="auto" w:fill="auto"/>
            <w:noWrap/>
            <w:vAlign w:val="center"/>
            <w:hideMark/>
          </w:tcPr>
          <w:p w:rsidR="0025202A" w:rsidRPr="00F07B2D" w:rsidRDefault="006E26D6" w:rsidP="006A2DC9">
            <w:pPr>
              <w:spacing w:after="0"/>
              <w:ind w:firstLine="0"/>
              <w:jc w:val="right"/>
              <w:rPr>
                <w:rFonts w:ascii="Arial Narrow" w:hAnsi="Arial Narrow" w:cs="Arial"/>
                <w:b/>
                <w:bCs/>
                <w:color w:val="000000"/>
                <w:sz w:val="18"/>
                <w:szCs w:val="18"/>
                <w:lang w:val="es-ES" w:eastAsia="es-ES"/>
              </w:rPr>
            </w:pPr>
            <w:r>
              <w:rPr>
                <w:rFonts w:ascii="Arial Narrow" w:hAnsi="Arial Narrow" w:cs="Arial"/>
                <w:b/>
                <w:bCs/>
                <w:color w:val="000000"/>
                <w:sz w:val="18"/>
                <w:szCs w:val="18"/>
                <w:lang w:val="es-ES" w:eastAsia="es-ES"/>
              </w:rPr>
              <w:t>19</w:t>
            </w:r>
          </w:p>
        </w:tc>
        <w:tc>
          <w:tcPr>
            <w:tcW w:w="77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17</w:t>
            </w:r>
          </w:p>
        </w:tc>
        <w:tc>
          <w:tcPr>
            <w:tcW w:w="74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16</w:t>
            </w:r>
          </w:p>
        </w:tc>
        <w:tc>
          <w:tcPr>
            <w:tcW w:w="772"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16</w:t>
            </w:r>
          </w:p>
        </w:tc>
        <w:tc>
          <w:tcPr>
            <w:tcW w:w="76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17</w:t>
            </w:r>
          </w:p>
        </w:tc>
      </w:tr>
      <w:tr w:rsidR="0025202A" w:rsidRPr="00F07B2D" w:rsidTr="00E95BCC">
        <w:trPr>
          <w:trHeight w:val="227"/>
          <w:jc w:val="center"/>
        </w:trPr>
        <w:tc>
          <w:tcPr>
            <w:tcW w:w="3082" w:type="dxa"/>
            <w:tcBorders>
              <w:top w:val="nil"/>
              <w:left w:val="nil"/>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Altas</w:t>
            </w:r>
          </w:p>
        </w:tc>
        <w:tc>
          <w:tcPr>
            <w:tcW w:w="891"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52" w:type="dxa"/>
            <w:tcBorders>
              <w:top w:val="nil"/>
              <w:left w:val="nil"/>
              <w:right w:val="nil"/>
            </w:tcBorders>
            <w:shd w:val="clear" w:color="auto" w:fill="auto"/>
            <w:noWrap/>
            <w:vAlign w:val="center"/>
            <w:hideMark/>
          </w:tcPr>
          <w:p w:rsidR="0025202A" w:rsidRPr="00F07B2D" w:rsidRDefault="006E26D6" w:rsidP="006A2DC9">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1</w:t>
            </w:r>
          </w:p>
        </w:tc>
        <w:tc>
          <w:tcPr>
            <w:tcW w:w="809"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7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4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72"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68" w:type="dxa"/>
            <w:tcBorders>
              <w:top w:val="nil"/>
              <w:left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r>
      <w:tr w:rsidR="0025202A" w:rsidRPr="00F07B2D" w:rsidTr="00E95BCC">
        <w:trPr>
          <w:trHeight w:val="227"/>
          <w:jc w:val="center"/>
        </w:trPr>
        <w:tc>
          <w:tcPr>
            <w:tcW w:w="3082" w:type="dxa"/>
            <w:tcBorders>
              <w:top w:val="nil"/>
              <w:left w:val="nil"/>
              <w:bottom w:val="single" w:sz="2" w:space="0" w:color="auto"/>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Bajas</w:t>
            </w:r>
          </w:p>
        </w:tc>
        <w:tc>
          <w:tcPr>
            <w:tcW w:w="891"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52"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-20</w:t>
            </w:r>
          </w:p>
        </w:tc>
        <w:tc>
          <w:tcPr>
            <w:tcW w:w="809"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778"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w:t>
            </w:r>
            <w:r w:rsidR="006E26D6">
              <w:rPr>
                <w:rFonts w:ascii="Arial Narrow" w:hAnsi="Arial Narrow" w:cs="Arial"/>
                <w:color w:val="000000"/>
                <w:sz w:val="18"/>
                <w:szCs w:val="18"/>
                <w:lang w:val="es-ES" w:eastAsia="es-ES"/>
              </w:rPr>
              <w:t>2</w:t>
            </w:r>
          </w:p>
        </w:tc>
        <w:tc>
          <w:tcPr>
            <w:tcW w:w="748" w:type="dxa"/>
            <w:tcBorders>
              <w:top w:val="nil"/>
              <w:left w:val="nil"/>
              <w:bottom w:val="single" w:sz="2" w:space="0" w:color="auto"/>
              <w:right w:val="nil"/>
            </w:tcBorders>
            <w:shd w:val="clear" w:color="auto" w:fill="auto"/>
            <w:noWrap/>
            <w:vAlign w:val="center"/>
            <w:hideMark/>
          </w:tcPr>
          <w:p w:rsidR="0025202A" w:rsidRPr="00F07B2D" w:rsidRDefault="006E26D6" w:rsidP="006A2DC9">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-1</w:t>
            </w:r>
          </w:p>
        </w:tc>
        <w:tc>
          <w:tcPr>
            <w:tcW w:w="772"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68" w:type="dxa"/>
            <w:tcBorders>
              <w:top w:val="nil"/>
              <w:left w:val="nil"/>
              <w:bottom w:val="single" w:sz="2"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r>
      <w:tr w:rsidR="0025202A" w:rsidRPr="00F07B2D" w:rsidTr="00E95BCC">
        <w:trPr>
          <w:trHeight w:val="227"/>
          <w:jc w:val="center"/>
        </w:trPr>
        <w:tc>
          <w:tcPr>
            <w:tcW w:w="3082" w:type="dxa"/>
            <w:tcBorders>
              <w:top w:val="single" w:sz="2" w:space="0" w:color="auto"/>
              <w:left w:val="nil"/>
              <w:bottom w:val="nil"/>
              <w:right w:val="nil"/>
            </w:tcBorders>
            <w:shd w:val="clear" w:color="auto" w:fill="auto"/>
            <w:noWrap/>
            <w:vAlign w:val="center"/>
            <w:hideMark/>
          </w:tcPr>
          <w:p w:rsidR="0025202A" w:rsidRPr="00F07B2D" w:rsidRDefault="0025202A" w:rsidP="0025202A">
            <w:pPr>
              <w:spacing w:after="0"/>
              <w:ind w:firstLine="0"/>
              <w:jc w:val="lef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Fundaciones Públicas</w:t>
            </w:r>
          </w:p>
        </w:tc>
        <w:tc>
          <w:tcPr>
            <w:tcW w:w="891"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7</w:t>
            </w:r>
          </w:p>
        </w:tc>
        <w:tc>
          <w:tcPr>
            <w:tcW w:w="752"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7</w:t>
            </w:r>
          </w:p>
        </w:tc>
        <w:tc>
          <w:tcPr>
            <w:tcW w:w="809"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7</w:t>
            </w:r>
          </w:p>
        </w:tc>
        <w:tc>
          <w:tcPr>
            <w:tcW w:w="77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7</w:t>
            </w:r>
          </w:p>
        </w:tc>
        <w:tc>
          <w:tcPr>
            <w:tcW w:w="74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6</w:t>
            </w:r>
          </w:p>
        </w:tc>
        <w:tc>
          <w:tcPr>
            <w:tcW w:w="772"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4</w:t>
            </w:r>
          </w:p>
        </w:tc>
        <w:tc>
          <w:tcPr>
            <w:tcW w:w="768" w:type="dxa"/>
            <w:tcBorders>
              <w:top w:val="single" w:sz="2" w:space="0" w:color="auto"/>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4</w:t>
            </w:r>
          </w:p>
        </w:tc>
      </w:tr>
      <w:tr w:rsidR="0025202A" w:rsidRPr="00F07B2D" w:rsidTr="00E95BCC">
        <w:trPr>
          <w:trHeight w:val="227"/>
          <w:jc w:val="center"/>
        </w:trPr>
        <w:tc>
          <w:tcPr>
            <w:tcW w:w="3082" w:type="dxa"/>
            <w:tcBorders>
              <w:top w:val="nil"/>
              <w:left w:val="nil"/>
              <w:bottom w:val="nil"/>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Altas</w:t>
            </w:r>
          </w:p>
        </w:tc>
        <w:tc>
          <w:tcPr>
            <w:tcW w:w="891"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52"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809"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78"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48"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72"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c>
          <w:tcPr>
            <w:tcW w:w="768" w:type="dxa"/>
            <w:tcBorders>
              <w:top w:val="nil"/>
              <w:left w:val="nil"/>
              <w:bottom w:val="nil"/>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olor w:val="000000"/>
                <w:sz w:val="18"/>
                <w:szCs w:val="18"/>
                <w:lang w:val="es-ES" w:eastAsia="es-ES"/>
              </w:rPr>
            </w:pPr>
          </w:p>
        </w:tc>
      </w:tr>
      <w:tr w:rsidR="0025202A" w:rsidRPr="00F07B2D" w:rsidTr="00E95BCC">
        <w:trPr>
          <w:trHeight w:val="227"/>
          <w:jc w:val="center"/>
        </w:trPr>
        <w:tc>
          <w:tcPr>
            <w:tcW w:w="3082" w:type="dxa"/>
            <w:tcBorders>
              <w:top w:val="nil"/>
              <w:left w:val="nil"/>
              <w:bottom w:val="single" w:sz="4" w:space="0" w:color="auto"/>
              <w:right w:val="nil"/>
            </w:tcBorders>
            <w:shd w:val="clear" w:color="auto" w:fill="auto"/>
            <w:noWrap/>
            <w:vAlign w:val="center"/>
            <w:hideMark/>
          </w:tcPr>
          <w:p w:rsidR="0025202A" w:rsidRPr="00F07B2D" w:rsidRDefault="0025202A" w:rsidP="0025202A">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Bajas</w:t>
            </w:r>
          </w:p>
        </w:tc>
        <w:tc>
          <w:tcPr>
            <w:tcW w:w="891"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 </w:t>
            </w:r>
          </w:p>
        </w:tc>
        <w:tc>
          <w:tcPr>
            <w:tcW w:w="752"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 </w:t>
            </w:r>
          </w:p>
        </w:tc>
        <w:tc>
          <w:tcPr>
            <w:tcW w:w="809"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 </w:t>
            </w:r>
          </w:p>
        </w:tc>
        <w:tc>
          <w:tcPr>
            <w:tcW w:w="778"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 </w:t>
            </w:r>
          </w:p>
        </w:tc>
        <w:tc>
          <w:tcPr>
            <w:tcW w:w="748"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-1</w:t>
            </w:r>
          </w:p>
        </w:tc>
        <w:tc>
          <w:tcPr>
            <w:tcW w:w="772"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color w:val="000000"/>
                <w:sz w:val="18"/>
                <w:szCs w:val="18"/>
                <w:lang w:val="es-ES" w:eastAsia="es-ES"/>
              </w:rPr>
            </w:pPr>
            <w:r w:rsidRPr="00F07B2D">
              <w:rPr>
                <w:rFonts w:ascii="Arial Narrow" w:hAnsi="Arial Narrow" w:cs="Arial"/>
                <w:color w:val="000000"/>
                <w:sz w:val="18"/>
                <w:szCs w:val="18"/>
                <w:lang w:val="es-ES" w:eastAsia="es-ES"/>
              </w:rPr>
              <w:t>-2</w:t>
            </w:r>
          </w:p>
        </w:tc>
        <w:tc>
          <w:tcPr>
            <w:tcW w:w="768" w:type="dxa"/>
            <w:tcBorders>
              <w:top w:val="nil"/>
              <w:left w:val="nil"/>
              <w:bottom w:val="single" w:sz="4" w:space="0" w:color="auto"/>
              <w:right w:val="nil"/>
            </w:tcBorders>
            <w:shd w:val="clear" w:color="auto" w:fill="auto"/>
            <w:noWrap/>
            <w:vAlign w:val="center"/>
            <w:hideMark/>
          </w:tcPr>
          <w:p w:rsidR="0025202A" w:rsidRPr="00F07B2D" w:rsidRDefault="0025202A" w:rsidP="006A2DC9">
            <w:pPr>
              <w:spacing w:after="0"/>
              <w:ind w:firstLine="0"/>
              <w:jc w:val="right"/>
              <w:rPr>
                <w:rFonts w:ascii="Arial Narrow" w:hAnsi="Arial Narrow" w:cs="Arial"/>
                <w:b/>
                <w:bCs/>
                <w:color w:val="000000"/>
                <w:sz w:val="18"/>
                <w:szCs w:val="18"/>
                <w:lang w:val="es-ES" w:eastAsia="es-ES"/>
              </w:rPr>
            </w:pPr>
            <w:r w:rsidRPr="00F07B2D">
              <w:rPr>
                <w:rFonts w:ascii="Arial Narrow" w:hAnsi="Arial Narrow" w:cs="Arial"/>
                <w:b/>
                <w:bCs/>
                <w:color w:val="000000"/>
                <w:sz w:val="18"/>
                <w:szCs w:val="18"/>
                <w:lang w:val="es-ES" w:eastAsia="es-ES"/>
              </w:rPr>
              <w:t> </w:t>
            </w:r>
          </w:p>
        </w:tc>
      </w:tr>
      <w:tr w:rsidR="0025202A" w:rsidRPr="00F07B2D" w:rsidTr="00E95BCC">
        <w:trPr>
          <w:trHeight w:val="284"/>
          <w:jc w:val="center"/>
        </w:trPr>
        <w:tc>
          <w:tcPr>
            <w:tcW w:w="3082" w:type="dxa"/>
            <w:tcBorders>
              <w:top w:val="single" w:sz="4" w:space="0" w:color="auto"/>
              <w:left w:val="nil"/>
              <w:bottom w:val="single" w:sz="4" w:space="0" w:color="auto"/>
              <w:right w:val="nil"/>
            </w:tcBorders>
            <w:shd w:val="clear" w:color="000000" w:fill="8DB4E2"/>
            <w:noWrap/>
            <w:vAlign w:val="center"/>
            <w:hideMark/>
          </w:tcPr>
          <w:p w:rsidR="0025202A" w:rsidRPr="00F07B2D" w:rsidRDefault="00F07B2D" w:rsidP="0025202A">
            <w:pPr>
              <w:spacing w:after="0"/>
              <w:ind w:firstLine="0"/>
              <w:jc w:val="left"/>
              <w:rPr>
                <w:rFonts w:ascii="Arial" w:hAnsi="Arial" w:cs="Arial"/>
                <w:bCs/>
                <w:color w:val="000000"/>
                <w:sz w:val="16"/>
                <w:szCs w:val="16"/>
                <w:lang w:val="es-ES" w:eastAsia="es-ES"/>
              </w:rPr>
            </w:pPr>
            <w:r w:rsidRPr="00F07B2D">
              <w:rPr>
                <w:rFonts w:ascii="Arial" w:hAnsi="Arial" w:cs="Arial"/>
                <w:bCs/>
                <w:color w:val="000000"/>
                <w:sz w:val="16"/>
                <w:szCs w:val="16"/>
                <w:lang w:val="es-ES" w:eastAsia="es-ES"/>
              </w:rPr>
              <w:t>Total</w:t>
            </w:r>
          </w:p>
        </w:tc>
        <w:tc>
          <w:tcPr>
            <w:tcW w:w="891"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FE4D90">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60</w:t>
            </w:r>
          </w:p>
        </w:tc>
        <w:tc>
          <w:tcPr>
            <w:tcW w:w="752"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39</w:t>
            </w:r>
          </w:p>
        </w:tc>
        <w:tc>
          <w:tcPr>
            <w:tcW w:w="809"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36</w:t>
            </w:r>
          </w:p>
        </w:tc>
        <w:tc>
          <w:tcPr>
            <w:tcW w:w="778"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34</w:t>
            </w:r>
          </w:p>
        </w:tc>
        <w:tc>
          <w:tcPr>
            <w:tcW w:w="748"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32</w:t>
            </w:r>
          </w:p>
        </w:tc>
        <w:tc>
          <w:tcPr>
            <w:tcW w:w="772"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29</w:t>
            </w:r>
          </w:p>
        </w:tc>
        <w:tc>
          <w:tcPr>
            <w:tcW w:w="768" w:type="dxa"/>
            <w:tcBorders>
              <w:top w:val="single" w:sz="4" w:space="0" w:color="auto"/>
              <w:left w:val="nil"/>
              <w:bottom w:val="single" w:sz="4" w:space="0" w:color="auto"/>
              <w:right w:val="nil"/>
            </w:tcBorders>
            <w:shd w:val="clear" w:color="000000" w:fill="8DB4E2"/>
            <w:noWrap/>
            <w:vAlign w:val="center"/>
            <w:hideMark/>
          </w:tcPr>
          <w:p w:rsidR="0025202A" w:rsidRPr="00F07B2D" w:rsidRDefault="00FE4D90" w:rsidP="006A2DC9">
            <w:pPr>
              <w:spacing w:after="0"/>
              <w:ind w:firstLine="0"/>
              <w:jc w:val="right"/>
              <w:rPr>
                <w:rFonts w:ascii="Arial" w:hAnsi="Arial" w:cs="Arial"/>
                <w:bCs/>
                <w:color w:val="000000"/>
                <w:sz w:val="16"/>
                <w:szCs w:val="16"/>
                <w:lang w:val="es-ES" w:eastAsia="es-ES"/>
              </w:rPr>
            </w:pPr>
            <w:r>
              <w:rPr>
                <w:rFonts w:ascii="Arial" w:hAnsi="Arial" w:cs="Arial"/>
                <w:bCs/>
                <w:color w:val="000000"/>
                <w:sz w:val="16"/>
                <w:szCs w:val="16"/>
                <w:lang w:val="es-ES" w:eastAsia="es-ES"/>
              </w:rPr>
              <w:t>30</w:t>
            </w:r>
          </w:p>
        </w:tc>
      </w:tr>
    </w:tbl>
    <w:p w:rsidR="00FE4D90" w:rsidRDefault="00FE4D90" w:rsidP="0038244F">
      <w:pPr>
        <w:pStyle w:val="texto"/>
        <w:spacing w:before="300"/>
      </w:pPr>
      <w:bookmarkStart w:id="36" w:name="_Toc521909264"/>
      <w:r w:rsidRPr="00FE4D90">
        <w:rPr>
          <w:b/>
        </w:rPr>
        <w:t>En definitiva</w:t>
      </w:r>
      <w:r>
        <w:t>, los distintos procesos de reordenación han supuesto una r</w:t>
      </w:r>
      <w:r>
        <w:t>e</w:t>
      </w:r>
      <w:r>
        <w:t>ducción estructural del 50 por ciento en el sector público instrumental en co</w:t>
      </w:r>
      <w:r>
        <w:t>n</w:t>
      </w:r>
      <w:r>
        <w:t xml:space="preserve">junto, al haberse suprimido 30 entidades de las 60 que existían en 2010. </w:t>
      </w:r>
    </w:p>
    <w:p w:rsidR="00733729" w:rsidRDefault="00733729">
      <w:pPr>
        <w:spacing w:after="0"/>
        <w:ind w:firstLine="0"/>
        <w:jc w:val="left"/>
        <w:rPr>
          <w:spacing w:val="6"/>
          <w:sz w:val="26"/>
          <w:szCs w:val="24"/>
          <w:lang w:val="es-ES"/>
        </w:rPr>
      </w:pPr>
      <w:r>
        <w:rPr>
          <w:lang w:val="es-ES"/>
        </w:rPr>
        <w:br w:type="page"/>
      </w:r>
    </w:p>
    <w:p w:rsidR="0017115B" w:rsidRDefault="00980F55" w:rsidP="0038244F">
      <w:pPr>
        <w:pStyle w:val="atitulo2"/>
        <w:spacing w:before="300"/>
      </w:pPr>
      <w:bookmarkStart w:id="37" w:name="_Toc527376676"/>
      <w:r>
        <w:lastRenderedPageBreak/>
        <w:t>V.2</w:t>
      </w:r>
      <w:r w:rsidR="0017115B">
        <w:t>. Efectos económicos de la reestructuración</w:t>
      </w:r>
      <w:bookmarkEnd w:id="36"/>
      <w:bookmarkEnd w:id="37"/>
    </w:p>
    <w:p w:rsidR="00DB01E1" w:rsidRPr="0013528B" w:rsidRDefault="00980F55" w:rsidP="0038244F">
      <w:pPr>
        <w:pStyle w:val="atitulo3"/>
        <w:spacing w:before="240" w:after="200"/>
        <w:rPr>
          <w:rFonts w:cs="Arial"/>
        </w:rPr>
      </w:pPr>
      <w:r>
        <w:rPr>
          <w:rFonts w:cs="Arial"/>
        </w:rPr>
        <w:t>V.2</w:t>
      </w:r>
      <w:r w:rsidR="00DB01E1" w:rsidRPr="0013528B">
        <w:rPr>
          <w:rFonts w:cs="Arial"/>
        </w:rPr>
        <w:t>.1</w:t>
      </w:r>
      <w:r w:rsidR="00773097">
        <w:rPr>
          <w:rFonts w:cs="Arial"/>
        </w:rPr>
        <w:t>.</w:t>
      </w:r>
      <w:r w:rsidR="00DB01E1" w:rsidRPr="0013528B">
        <w:rPr>
          <w:rFonts w:cs="Arial"/>
        </w:rPr>
        <w:t xml:space="preserve"> Sector </w:t>
      </w:r>
      <w:r w:rsidR="00237B81" w:rsidRPr="0013528B">
        <w:rPr>
          <w:rFonts w:cs="Arial"/>
        </w:rPr>
        <w:t>público administrativo</w:t>
      </w:r>
    </w:p>
    <w:p w:rsidR="006E26D6" w:rsidRDefault="006E26D6" w:rsidP="003D0DE5">
      <w:pPr>
        <w:pStyle w:val="texto"/>
        <w:spacing w:after="160"/>
        <w:rPr>
          <w:lang w:val="es-ES"/>
        </w:rPr>
      </w:pPr>
      <w:r w:rsidRPr="006E54A0">
        <w:rPr>
          <w:lang w:val="es-ES"/>
        </w:rPr>
        <w:t>Las disposiciones normativas en las que se han basado los acuerdos de e</w:t>
      </w:r>
      <w:r w:rsidRPr="006E54A0">
        <w:rPr>
          <w:lang w:val="es-ES"/>
        </w:rPr>
        <w:t>x</w:t>
      </w:r>
      <w:r w:rsidRPr="006E54A0">
        <w:rPr>
          <w:lang w:val="es-ES"/>
        </w:rPr>
        <w:t>tinción, establecen de conformidad con la Ley Foral 15/2004</w:t>
      </w:r>
      <w:r w:rsidR="00CF1B1B">
        <w:rPr>
          <w:lang w:val="es-ES"/>
        </w:rPr>
        <w:t xml:space="preserve"> </w:t>
      </w:r>
      <w:r w:rsidRPr="006E54A0">
        <w:rPr>
          <w:lang w:val="es-ES"/>
        </w:rPr>
        <w:t xml:space="preserve">el destino </w:t>
      </w:r>
      <w:r w:rsidR="004B58D4">
        <w:rPr>
          <w:lang w:val="es-ES"/>
        </w:rPr>
        <w:t>del personal y el régimen de adscripción del conjunto de bienes</w:t>
      </w:r>
      <w:r w:rsidR="007043B7">
        <w:rPr>
          <w:lang w:val="es-ES"/>
        </w:rPr>
        <w:t>, derechos y obl</w:t>
      </w:r>
      <w:r w:rsidR="007043B7">
        <w:rPr>
          <w:lang w:val="es-ES"/>
        </w:rPr>
        <w:t>i</w:t>
      </w:r>
      <w:r w:rsidR="007043B7">
        <w:rPr>
          <w:lang w:val="es-ES"/>
        </w:rPr>
        <w:t>gaciones</w:t>
      </w:r>
      <w:r w:rsidR="004B58D4">
        <w:rPr>
          <w:lang w:val="es-ES"/>
        </w:rPr>
        <w:t xml:space="preserve"> resultante</w:t>
      </w:r>
      <w:r w:rsidR="001D25C6">
        <w:rPr>
          <w:lang w:val="es-ES"/>
        </w:rPr>
        <w:t xml:space="preserve"> de la extinción</w:t>
      </w:r>
      <w:r w:rsidR="004B58D4">
        <w:rPr>
          <w:lang w:val="es-ES"/>
        </w:rPr>
        <w:t xml:space="preserve">, </w:t>
      </w:r>
      <w:r>
        <w:rPr>
          <w:lang w:val="es-ES"/>
        </w:rPr>
        <w:t xml:space="preserve">en los Departamentos </w:t>
      </w:r>
      <w:r w:rsidR="0005098E">
        <w:rPr>
          <w:lang w:val="es-ES"/>
        </w:rPr>
        <w:t xml:space="preserve">y Organismo Público </w:t>
      </w:r>
      <w:r>
        <w:rPr>
          <w:lang w:val="es-ES"/>
        </w:rPr>
        <w:t xml:space="preserve">citados en el apartado </w:t>
      </w:r>
      <w:r w:rsidR="00CA789D">
        <w:rPr>
          <w:lang w:val="es-ES"/>
        </w:rPr>
        <w:t>I</w:t>
      </w:r>
      <w:r w:rsidR="005C2BFF">
        <w:rPr>
          <w:lang w:val="es-ES"/>
        </w:rPr>
        <w:t>I</w:t>
      </w:r>
      <w:r w:rsidR="00B17FD3">
        <w:rPr>
          <w:lang w:val="es-ES"/>
        </w:rPr>
        <w:t>.2</w:t>
      </w:r>
      <w:r w:rsidR="005C2BFF">
        <w:rPr>
          <w:lang w:val="es-ES"/>
        </w:rPr>
        <w:t xml:space="preserve"> </w:t>
      </w:r>
      <w:r>
        <w:rPr>
          <w:lang w:val="es-ES"/>
        </w:rPr>
        <w:t>del infor</w:t>
      </w:r>
      <w:r w:rsidR="004B58D4">
        <w:rPr>
          <w:lang w:val="es-ES"/>
        </w:rPr>
        <w:t>me.</w:t>
      </w:r>
    </w:p>
    <w:p w:rsidR="00982D05" w:rsidRDefault="006E26D6" w:rsidP="003D0DE5">
      <w:pPr>
        <w:pStyle w:val="texto"/>
        <w:spacing w:after="160"/>
        <w:rPr>
          <w:lang w:val="es-ES"/>
        </w:rPr>
      </w:pPr>
      <w:r w:rsidRPr="006E54A0">
        <w:rPr>
          <w:lang w:val="es-ES"/>
        </w:rPr>
        <w:t xml:space="preserve"> </w:t>
      </w:r>
      <w:r w:rsidR="001D25C6">
        <w:rPr>
          <w:lang w:val="es-ES"/>
        </w:rPr>
        <w:t>D</w:t>
      </w:r>
      <w:r w:rsidR="00B36E55">
        <w:rPr>
          <w:lang w:val="es-ES"/>
        </w:rPr>
        <w:t xml:space="preserve">e nuestra revisión señalamos </w:t>
      </w:r>
      <w:r w:rsidR="00982D05">
        <w:rPr>
          <w:lang w:val="es-ES"/>
        </w:rPr>
        <w:t>lo siguiente:</w:t>
      </w:r>
    </w:p>
    <w:p w:rsidR="002E2236" w:rsidRPr="001D25C6" w:rsidRDefault="001D25C6" w:rsidP="003D0DE5">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after="160"/>
        <w:ind w:left="0" w:firstLine="289"/>
        <w:rPr>
          <w:rFonts w:cs="Arial"/>
        </w:rPr>
      </w:pPr>
      <w:r>
        <w:rPr>
          <w:rFonts w:cs="Arial"/>
          <w:lang w:val="es-ES"/>
        </w:rPr>
        <w:t>E</w:t>
      </w:r>
      <w:r w:rsidRPr="001D25C6">
        <w:rPr>
          <w:rFonts w:cs="Arial"/>
          <w:lang w:val="es-ES"/>
        </w:rPr>
        <w:t xml:space="preserve">n </w:t>
      </w:r>
      <w:r w:rsidR="002E2236" w:rsidRPr="001D25C6">
        <w:rPr>
          <w:rFonts w:cs="Arial"/>
        </w:rPr>
        <w:t>e</w:t>
      </w:r>
      <w:r w:rsidR="00F91455" w:rsidRPr="001D25C6">
        <w:rPr>
          <w:rFonts w:cs="Arial"/>
        </w:rPr>
        <w:t xml:space="preserve">l Servicio de Patrimonio </w:t>
      </w:r>
      <w:r>
        <w:rPr>
          <w:rFonts w:cs="Arial"/>
        </w:rPr>
        <w:t xml:space="preserve">consta </w:t>
      </w:r>
      <w:r w:rsidRPr="001D25C6">
        <w:rPr>
          <w:rFonts w:cs="Arial"/>
        </w:rPr>
        <w:t xml:space="preserve">el registro de </w:t>
      </w:r>
      <w:r w:rsidR="002E2236" w:rsidRPr="001D25C6">
        <w:rPr>
          <w:rFonts w:cs="Arial"/>
        </w:rPr>
        <w:t xml:space="preserve">los cambios de </w:t>
      </w:r>
      <w:r w:rsidR="00F91455" w:rsidRPr="001D25C6">
        <w:rPr>
          <w:rFonts w:cs="Arial"/>
        </w:rPr>
        <w:t>adscri</w:t>
      </w:r>
      <w:r w:rsidR="00F91455" w:rsidRPr="001D25C6">
        <w:rPr>
          <w:rFonts w:cs="Arial"/>
        </w:rPr>
        <w:t>p</w:t>
      </w:r>
      <w:r w:rsidR="00F91455" w:rsidRPr="001D25C6">
        <w:rPr>
          <w:rFonts w:cs="Arial"/>
        </w:rPr>
        <w:t>ci</w:t>
      </w:r>
      <w:r w:rsidRPr="001D25C6">
        <w:rPr>
          <w:rFonts w:cs="Arial"/>
        </w:rPr>
        <w:t>ón</w:t>
      </w:r>
      <w:r w:rsidR="002E2236" w:rsidRPr="001D25C6">
        <w:rPr>
          <w:rFonts w:cs="Arial"/>
        </w:rPr>
        <w:t>.</w:t>
      </w:r>
    </w:p>
    <w:p w:rsidR="00982D05" w:rsidRPr="00BA771A" w:rsidRDefault="00982D05" w:rsidP="003D0DE5">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after="160"/>
        <w:ind w:left="0" w:firstLine="289"/>
        <w:rPr>
          <w:rFonts w:cs="Arial"/>
        </w:rPr>
      </w:pPr>
      <w:r w:rsidRPr="00BA771A">
        <w:rPr>
          <w:rFonts w:cs="Arial"/>
        </w:rPr>
        <w:t>No consta estimación de posibles efect</w:t>
      </w:r>
      <w:r w:rsidR="00CE75A2">
        <w:rPr>
          <w:rFonts w:cs="Arial"/>
        </w:rPr>
        <w:t>os económicos derivados de l</w:t>
      </w:r>
      <w:r w:rsidR="00B36E55">
        <w:rPr>
          <w:rFonts w:cs="Arial"/>
        </w:rPr>
        <w:t>o</w:t>
      </w:r>
      <w:r w:rsidR="00CE75A2">
        <w:rPr>
          <w:rFonts w:cs="Arial"/>
        </w:rPr>
        <w:t xml:space="preserve">s </w:t>
      </w:r>
      <w:r w:rsidR="00B36E55">
        <w:rPr>
          <w:rFonts w:cs="Arial"/>
        </w:rPr>
        <w:t>o</w:t>
      </w:r>
      <w:r w:rsidR="00B36E55">
        <w:rPr>
          <w:rFonts w:cs="Arial"/>
        </w:rPr>
        <w:t>r</w:t>
      </w:r>
      <w:r w:rsidR="00B36E55">
        <w:rPr>
          <w:rFonts w:cs="Arial"/>
        </w:rPr>
        <w:t xml:space="preserve">ganismos </w:t>
      </w:r>
      <w:r w:rsidR="00CE75A2">
        <w:rPr>
          <w:rFonts w:cs="Arial"/>
        </w:rPr>
        <w:t>suprimid</w:t>
      </w:r>
      <w:r w:rsidR="00B36E55">
        <w:rPr>
          <w:rFonts w:cs="Arial"/>
        </w:rPr>
        <w:t>o</w:t>
      </w:r>
      <w:r w:rsidR="00CE75A2">
        <w:rPr>
          <w:rFonts w:cs="Arial"/>
        </w:rPr>
        <w:t xml:space="preserve">s. </w:t>
      </w:r>
    </w:p>
    <w:p w:rsidR="00DB01E1" w:rsidRPr="0013528B" w:rsidRDefault="00DB01E1" w:rsidP="003D0DE5">
      <w:pPr>
        <w:pStyle w:val="atitulo3"/>
        <w:spacing w:before="360"/>
        <w:rPr>
          <w:rFonts w:cs="Arial"/>
        </w:rPr>
      </w:pPr>
      <w:r w:rsidRPr="0013528B">
        <w:rPr>
          <w:rFonts w:cs="Arial"/>
        </w:rPr>
        <w:t>V.</w:t>
      </w:r>
      <w:r w:rsidR="00980F55">
        <w:rPr>
          <w:rFonts w:cs="Arial"/>
        </w:rPr>
        <w:t>2</w:t>
      </w:r>
      <w:r w:rsidRPr="0013528B">
        <w:rPr>
          <w:rFonts w:cs="Arial"/>
        </w:rPr>
        <w:t>.2</w:t>
      </w:r>
      <w:r w:rsidR="00980F55">
        <w:rPr>
          <w:rFonts w:cs="Arial"/>
        </w:rPr>
        <w:t>.</w:t>
      </w:r>
      <w:r w:rsidRPr="0013528B">
        <w:rPr>
          <w:rFonts w:cs="Arial"/>
        </w:rPr>
        <w:t xml:space="preserve"> Sector </w:t>
      </w:r>
      <w:r w:rsidR="00237B81" w:rsidRPr="0013528B">
        <w:rPr>
          <w:rFonts w:cs="Arial"/>
        </w:rPr>
        <w:t>público empresarial</w:t>
      </w:r>
    </w:p>
    <w:p w:rsidR="0017115B" w:rsidRPr="00AD7F66" w:rsidRDefault="0017115B" w:rsidP="00DD21F4">
      <w:pPr>
        <w:pStyle w:val="atitulo3"/>
        <w:spacing w:before="240"/>
        <w:rPr>
          <w:rFonts w:cs="Arial"/>
        </w:rPr>
      </w:pPr>
      <w:bookmarkStart w:id="38" w:name="_Toc521909265"/>
      <w:r w:rsidRPr="00AD7F66">
        <w:rPr>
          <w:rFonts w:cs="Arial"/>
        </w:rPr>
        <w:t>V.</w:t>
      </w:r>
      <w:r w:rsidR="00980F55">
        <w:rPr>
          <w:rFonts w:cs="Arial"/>
        </w:rPr>
        <w:t>2</w:t>
      </w:r>
      <w:r w:rsidRPr="00AD7F66">
        <w:rPr>
          <w:rFonts w:cs="Arial"/>
        </w:rPr>
        <w:t>.</w:t>
      </w:r>
      <w:r w:rsidR="000B5037">
        <w:rPr>
          <w:rFonts w:cs="Arial"/>
        </w:rPr>
        <w:t>2.1</w:t>
      </w:r>
      <w:r w:rsidR="00980F55">
        <w:rPr>
          <w:rFonts w:cs="Arial"/>
        </w:rPr>
        <w:t>.</w:t>
      </w:r>
      <w:r w:rsidRPr="00AD7F66">
        <w:rPr>
          <w:rFonts w:cs="Arial"/>
        </w:rPr>
        <w:t xml:space="preserve"> Aspectos generales y metodología</w:t>
      </w:r>
      <w:bookmarkEnd w:id="38"/>
    </w:p>
    <w:p w:rsidR="0005098E" w:rsidRDefault="00B17FD3" w:rsidP="003E2507">
      <w:pPr>
        <w:pStyle w:val="texto"/>
        <w:spacing w:after="120"/>
        <w:rPr>
          <w:rFonts w:eastAsiaTheme="minorHAnsi"/>
          <w:szCs w:val="26"/>
        </w:rPr>
      </w:pPr>
      <w:r>
        <w:rPr>
          <w:rFonts w:eastAsiaTheme="minorHAnsi"/>
          <w:szCs w:val="26"/>
        </w:rPr>
        <w:t xml:space="preserve">El ahorro estimado total y su evolución temporal </w:t>
      </w:r>
      <w:r w:rsidR="006E26D6">
        <w:rPr>
          <w:rFonts w:eastAsiaTheme="minorHAnsi"/>
          <w:szCs w:val="26"/>
        </w:rPr>
        <w:t>según información remit</w:t>
      </w:r>
      <w:r w:rsidR="006E26D6">
        <w:rPr>
          <w:rFonts w:eastAsiaTheme="minorHAnsi"/>
          <w:szCs w:val="26"/>
        </w:rPr>
        <w:t>i</w:t>
      </w:r>
      <w:r w:rsidR="006E26D6">
        <w:rPr>
          <w:rFonts w:eastAsiaTheme="minorHAnsi"/>
          <w:szCs w:val="26"/>
        </w:rPr>
        <w:t xml:space="preserve">da al MINHAFP </w:t>
      </w:r>
      <w:r>
        <w:rPr>
          <w:rFonts w:eastAsiaTheme="minorHAnsi"/>
          <w:szCs w:val="26"/>
        </w:rPr>
        <w:t xml:space="preserve">es el </w:t>
      </w:r>
      <w:r w:rsidR="0005098E">
        <w:rPr>
          <w:rFonts w:eastAsiaTheme="minorHAnsi"/>
          <w:szCs w:val="26"/>
        </w:rPr>
        <w:t>siguiente:</w:t>
      </w:r>
    </w:p>
    <w:p w:rsidR="00D44C2B" w:rsidRDefault="00D44C2B" w:rsidP="00D44C2B">
      <w:pPr>
        <w:pStyle w:val="texto"/>
        <w:spacing w:after="100"/>
        <w:jc w:val="right"/>
        <w:rPr>
          <w:rFonts w:eastAsiaTheme="minorHAnsi"/>
          <w:szCs w:val="26"/>
        </w:rPr>
      </w:pPr>
      <w:r w:rsidRPr="00862DAE">
        <w:rPr>
          <w:rFonts w:ascii="Arial Narrow" w:hAnsi="Arial Narrow"/>
          <w:sz w:val="16"/>
          <w:szCs w:val="16"/>
        </w:rPr>
        <w:t>(en miles de euros)</w:t>
      </w:r>
    </w:p>
    <w:tbl>
      <w:tblPr>
        <w:tblW w:w="872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388"/>
        <w:gridCol w:w="680"/>
        <w:gridCol w:w="822"/>
        <w:gridCol w:w="794"/>
        <w:gridCol w:w="755"/>
        <w:gridCol w:w="709"/>
        <w:gridCol w:w="709"/>
        <w:gridCol w:w="864"/>
      </w:tblGrid>
      <w:tr w:rsidR="0005098E" w:rsidRPr="001F5F90" w:rsidTr="0005098E">
        <w:trPr>
          <w:trHeight w:val="315"/>
          <w:jc w:val="center"/>
        </w:trPr>
        <w:tc>
          <w:tcPr>
            <w:tcW w:w="3388"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left"/>
              <w:rPr>
                <w:rFonts w:ascii="Arial" w:hAnsi="Arial" w:cs="Arial"/>
                <w:color w:val="000000"/>
                <w:sz w:val="16"/>
                <w:szCs w:val="16"/>
                <w:lang w:val="es-ES" w:eastAsia="es-ES"/>
              </w:rPr>
            </w:pPr>
            <w:r w:rsidRPr="001F5F90">
              <w:rPr>
                <w:rFonts w:ascii="Arial" w:hAnsi="Arial" w:cs="Arial"/>
                <w:color w:val="000000"/>
                <w:sz w:val="16"/>
                <w:szCs w:val="16"/>
                <w:lang w:val="es-ES" w:eastAsia="es-ES"/>
              </w:rPr>
              <w:t> </w:t>
            </w:r>
          </w:p>
        </w:tc>
        <w:tc>
          <w:tcPr>
            <w:tcW w:w="680"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2011</w:t>
            </w:r>
          </w:p>
        </w:tc>
        <w:tc>
          <w:tcPr>
            <w:tcW w:w="822"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2012</w:t>
            </w:r>
          </w:p>
        </w:tc>
        <w:tc>
          <w:tcPr>
            <w:tcW w:w="794"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2013</w:t>
            </w:r>
          </w:p>
        </w:tc>
        <w:tc>
          <w:tcPr>
            <w:tcW w:w="755"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2014</w:t>
            </w:r>
          </w:p>
        </w:tc>
        <w:tc>
          <w:tcPr>
            <w:tcW w:w="709"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2015</w:t>
            </w:r>
          </w:p>
        </w:tc>
        <w:tc>
          <w:tcPr>
            <w:tcW w:w="709"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2016</w:t>
            </w:r>
          </w:p>
        </w:tc>
        <w:tc>
          <w:tcPr>
            <w:tcW w:w="864" w:type="dxa"/>
            <w:tcBorders>
              <w:bottom w:val="single" w:sz="4" w:space="0" w:color="auto"/>
            </w:tcBorders>
            <w:shd w:val="clear" w:color="auto" w:fill="8DB3E2" w:themeFill="text2" w:themeFillTint="66"/>
            <w:noWrap/>
            <w:vAlign w:val="center"/>
            <w:hideMark/>
          </w:tcPr>
          <w:p w:rsidR="0005098E" w:rsidRPr="001F5F90" w:rsidRDefault="0005098E" w:rsidP="0005098E">
            <w:pPr>
              <w:spacing w:after="0"/>
              <w:ind w:firstLine="0"/>
              <w:jc w:val="right"/>
              <w:rPr>
                <w:rFonts w:ascii="Arial" w:hAnsi="Arial" w:cs="Arial"/>
                <w:bCs/>
                <w:color w:val="000000"/>
                <w:sz w:val="16"/>
                <w:szCs w:val="16"/>
                <w:lang w:val="es-ES" w:eastAsia="es-ES"/>
              </w:rPr>
            </w:pPr>
            <w:r w:rsidRPr="001F5F90">
              <w:rPr>
                <w:rFonts w:ascii="Arial" w:hAnsi="Arial" w:cs="Arial"/>
                <w:bCs/>
                <w:color w:val="000000"/>
                <w:sz w:val="16"/>
                <w:szCs w:val="16"/>
                <w:lang w:val="es-ES" w:eastAsia="es-ES"/>
              </w:rPr>
              <w:t>Total</w:t>
            </w:r>
          </w:p>
        </w:tc>
      </w:tr>
      <w:tr w:rsidR="0005098E" w:rsidRPr="001F5F90" w:rsidTr="0005098E">
        <w:trPr>
          <w:trHeight w:val="255"/>
          <w:jc w:val="center"/>
        </w:trPr>
        <w:tc>
          <w:tcPr>
            <w:tcW w:w="3388" w:type="dxa"/>
            <w:tcBorders>
              <w:bottom w:val="single" w:sz="2" w:space="0" w:color="auto"/>
            </w:tcBorders>
            <w:shd w:val="clear" w:color="auto" w:fill="auto"/>
            <w:noWrap/>
            <w:vAlign w:val="center"/>
            <w:hideMark/>
          </w:tcPr>
          <w:p w:rsidR="0005098E" w:rsidRPr="001F5F90" w:rsidRDefault="00AE115C" w:rsidP="0005098E">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Ahorros</w:t>
            </w:r>
          </w:p>
        </w:tc>
        <w:tc>
          <w:tcPr>
            <w:tcW w:w="680"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5.714</w:t>
            </w:r>
          </w:p>
        </w:tc>
        <w:tc>
          <w:tcPr>
            <w:tcW w:w="822"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10.723</w:t>
            </w:r>
          </w:p>
        </w:tc>
        <w:tc>
          <w:tcPr>
            <w:tcW w:w="794"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38.541</w:t>
            </w:r>
          </w:p>
        </w:tc>
        <w:tc>
          <w:tcPr>
            <w:tcW w:w="755"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5.909</w:t>
            </w:r>
          </w:p>
        </w:tc>
        <w:tc>
          <w:tcPr>
            <w:tcW w:w="709"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3.353</w:t>
            </w:r>
          </w:p>
        </w:tc>
        <w:tc>
          <w:tcPr>
            <w:tcW w:w="709"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BE3736">
              <w:rPr>
                <w:rFonts w:ascii="Arial Narrow" w:hAnsi="Arial Narrow"/>
                <w:sz w:val="17"/>
                <w:szCs w:val="17"/>
                <w:lang w:val="es-ES" w:eastAsia="es-ES"/>
              </w:rPr>
              <w:t>0</w:t>
            </w:r>
          </w:p>
        </w:tc>
        <w:tc>
          <w:tcPr>
            <w:tcW w:w="864" w:type="dxa"/>
            <w:tcBorders>
              <w:bottom w:val="single" w:sz="2" w:space="0" w:color="auto"/>
            </w:tcBorders>
            <w:shd w:val="clear" w:color="auto" w:fill="auto"/>
            <w:noWrap/>
            <w:vAlign w:val="center"/>
            <w:hideMark/>
          </w:tcPr>
          <w:p w:rsidR="0005098E" w:rsidRPr="001F5F90" w:rsidRDefault="0005098E" w:rsidP="0005098E">
            <w:pPr>
              <w:spacing w:after="0"/>
              <w:ind w:firstLine="0"/>
              <w:jc w:val="right"/>
              <w:rPr>
                <w:rFonts w:ascii="Arial Narrow" w:hAnsi="Arial Narrow"/>
                <w:color w:val="000000"/>
                <w:sz w:val="17"/>
                <w:szCs w:val="17"/>
                <w:lang w:val="es-ES" w:eastAsia="es-ES"/>
              </w:rPr>
            </w:pPr>
            <w:r w:rsidRPr="001F5F90">
              <w:rPr>
                <w:rFonts w:ascii="Arial Narrow" w:hAnsi="Arial Narrow"/>
                <w:color w:val="000000"/>
                <w:sz w:val="17"/>
                <w:szCs w:val="17"/>
                <w:lang w:val="es-ES" w:eastAsia="es-ES"/>
              </w:rPr>
              <w:t>64.240</w:t>
            </w:r>
          </w:p>
        </w:tc>
      </w:tr>
    </w:tbl>
    <w:p w:rsidR="0005098E" w:rsidRDefault="0005098E" w:rsidP="003E2507">
      <w:pPr>
        <w:pStyle w:val="texto"/>
        <w:spacing w:before="240" w:after="120"/>
        <w:rPr>
          <w:rFonts w:eastAsiaTheme="minorHAnsi"/>
          <w:szCs w:val="26"/>
        </w:rPr>
      </w:pPr>
      <w:r>
        <w:rPr>
          <w:rFonts w:eastAsiaTheme="minorHAnsi"/>
          <w:szCs w:val="26"/>
        </w:rPr>
        <w:t xml:space="preserve">Los ahorros que CPEN considera que derivan de forma específica de planes de reordenación </w:t>
      </w:r>
      <w:r w:rsidR="00AE115C">
        <w:rPr>
          <w:rFonts w:eastAsiaTheme="minorHAnsi"/>
          <w:szCs w:val="26"/>
        </w:rPr>
        <w:t>son</w:t>
      </w:r>
      <w:r>
        <w:rPr>
          <w:rFonts w:eastAsiaTheme="minorHAnsi"/>
          <w:szCs w:val="26"/>
        </w:rPr>
        <w:t>:</w:t>
      </w:r>
    </w:p>
    <w:p w:rsidR="008243E9" w:rsidRDefault="00733729" w:rsidP="00733729">
      <w:pPr>
        <w:pStyle w:val="texto"/>
        <w:spacing w:after="100"/>
        <w:jc w:val="right"/>
        <w:rPr>
          <w:rFonts w:eastAsiaTheme="minorHAnsi"/>
          <w:szCs w:val="26"/>
        </w:rPr>
      </w:pPr>
      <w:r w:rsidRPr="00862DAE">
        <w:rPr>
          <w:rFonts w:ascii="Arial Narrow" w:hAnsi="Arial Narrow"/>
          <w:sz w:val="16"/>
          <w:szCs w:val="16"/>
        </w:rPr>
        <w:t>(en miles de euros)</w:t>
      </w:r>
    </w:p>
    <w:tbl>
      <w:tblPr>
        <w:tblW w:w="8750"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42"/>
        <w:gridCol w:w="719"/>
        <w:gridCol w:w="840"/>
        <w:gridCol w:w="797"/>
        <w:gridCol w:w="713"/>
        <w:gridCol w:w="709"/>
        <w:gridCol w:w="709"/>
        <w:gridCol w:w="921"/>
      </w:tblGrid>
      <w:tr w:rsidR="0005098E" w:rsidRPr="0005098E" w:rsidTr="009D0508">
        <w:trPr>
          <w:trHeight w:val="321"/>
        </w:trPr>
        <w:tc>
          <w:tcPr>
            <w:tcW w:w="3342" w:type="dxa"/>
            <w:tcBorders>
              <w:bottom w:val="single" w:sz="4" w:space="0" w:color="auto"/>
            </w:tcBorders>
            <w:shd w:val="clear" w:color="000000" w:fill="8DB3E2"/>
            <w:noWrap/>
            <w:vAlign w:val="center"/>
            <w:hideMark/>
          </w:tcPr>
          <w:p w:rsidR="0005098E" w:rsidRPr="0005098E" w:rsidRDefault="0005098E" w:rsidP="0005098E">
            <w:pPr>
              <w:spacing w:after="0"/>
              <w:ind w:firstLine="0"/>
              <w:jc w:val="left"/>
              <w:rPr>
                <w:rFonts w:ascii="Arial" w:hAnsi="Arial" w:cs="Arial"/>
                <w:color w:val="000000"/>
                <w:sz w:val="16"/>
                <w:szCs w:val="16"/>
                <w:lang w:val="es-ES" w:eastAsia="es-ES"/>
              </w:rPr>
            </w:pPr>
            <w:r w:rsidRPr="0005098E">
              <w:rPr>
                <w:rFonts w:ascii="Arial" w:hAnsi="Arial" w:cs="Arial"/>
                <w:color w:val="000000"/>
                <w:sz w:val="16"/>
                <w:szCs w:val="16"/>
                <w:lang w:val="es-ES" w:eastAsia="es-ES"/>
              </w:rPr>
              <w:t> </w:t>
            </w:r>
          </w:p>
        </w:tc>
        <w:tc>
          <w:tcPr>
            <w:tcW w:w="719"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2011</w:t>
            </w:r>
          </w:p>
        </w:tc>
        <w:tc>
          <w:tcPr>
            <w:tcW w:w="840"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2012</w:t>
            </w:r>
          </w:p>
        </w:tc>
        <w:tc>
          <w:tcPr>
            <w:tcW w:w="797"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2013</w:t>
            </w:r>
          </w:p>
        </w:tc>
        <w:tc>
          <w:tcPr>
            <w:tcW w:w="713"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2014</w:t>
            </w:r>
          </w:p>
        </w:tc>
        <w:tc>
          <w:tcPr>
            <w:tcW w:w="709"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2015</w:t>
            </w:r>
          </w:p>
        </w:tc>
        <w:tc>
          <w:tcPr>
            <w:tcW w:w="709"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2016</w:t>
            </w:r>
          </w:p>
        </w:tc>
        <w:tc>
          <w:tcPr>
            <w:tcW w:w="921" w:type="dxa"/>
            <w:tcBorders>
              <w:bottom w:val="single" w:sz="4" w:space="0" w:color="auto"/>
            </w:tcBorders>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Total</w:t>
            </w:r>
          </w:p>
        </w:tc>
      </w:tr>
      <w:tr w:rsidR="0005098E" w:rsidRPr="0005098E" w:rsidTr="009D0508">
        <w:trPr>
          <w:trHeight w:val="255"/>
        </w:trPr>
        <w:tc>
          <w:tcPr>
            <w:tcW w:w="3342" w:type="dxa"/>
            <w:tcBorders>
              <w:bottom w:val="single" w:sz="2" w:space="0" w:color="auto"/>
            </w:tcBorders>
            <w:shd w:val="clear" w:color="auto" w:fill="auto"/>
            <w:noWrap/>
            <w:vAlign w:val="center"/>
            <w:hideMark/>
          </w:tcPr>
          <w:p w:rsidR="0005098E" w:rsidRPr="0005098E" w:rsidRDefault="00AE115C" w:rsidP="00AE115C">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 xml:space="preserve">Ahorros según información remitida al </w:t>
            </w:r>
            <w:r w:rsidR="0005098E" w:rsidRPr="0005098E">
              <w:rPr>
                <w:rFonts w:ascii="Arial Narrow" w:hAnsi="Arial Narrow"/>
                <w:color w:val="000000"/>
                <w:sz w:val="17"/>
                <w:szCs w:val="17"/>
                <w:lang w:val="es-ES" w:eastAsia="es-ES"/>
              </w:rPr>
              <w:t>Ministerio</w:t>
            </w:r>
          </w:p>
        </w:tc>
        <w:tc>
          <w:tcPr>
            <w:tcW w:w="719"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5.714</w:t>
            </w:r>
          </w:p>
        </w:tc>
        <w:tc>
          <w:tcPr>
            <w:tcW w:w="840"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10.723</w:t>
            </w:r>
          </w:p>
        </w:tc>
        <w:tc>
          <w:tcPr>
            <w:tcW w:w="797"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38.541</w:t>
            </w:r>
          </w:p>
        </w:tc>
        <w:tc>
          <w:tcPr>
            <w:tcW w:w="713"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5.909</w:t>
            </w:r>
          </w:p>
        </w:tc>
        <w:tc>
          <w:tcPr>
            <w:tcW w:w="709"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3.353</w:t>
            </w:r>
          </w:p>
        </w:tc>
        <w:tc>
          <w:tcPr>
            <w:tcW w:w="709"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0</w:t>
            </w:r>
          </w:p>
        </w:tc>
        <w:tc>
          <w:tcPr>
            <w:tcW w:w="921" w:type="dxa"/>
            <w:tcBorders>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64.240</w:t>
            </w:r>
          </w:p>
        </w:tc>
      </w:tr>
      <w:tr w:rsidR="0005098E" w:rsidRPr="0005098E" w:rsidTr="009D0508">
        <w:trPr>
          <w:trHeight w:val="273"/>
        </w:trPr>
        <w:tc>
          <w:tcPr>
            <w:tcW w:w="3342"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lef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Efecto económico Subgrupo Burnizko</w:t>
            </w:r>
          </w:p>
        </w:tc>
        <w:tc>
          <w:tcPr>
            <w:tcW w:w="719"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 </w:t>
            </w:r>
          </w:p>
        </w:tc>
        <w:tc>
          <w:tcPr>
            <w:tcW w:w="840"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 </w:t>
            </w:r>
          </w:p>
        </w:tc>
        <w:tc>
          <w:tcPr>
            <w:tcW w:w="797"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-29.575</w:t>
            </w:r>
          </w:p>
        </w:tc>
        <w:tc>
          <w:tcPr>
            <w:tcW w:w="713"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 </w:t>
            </w:r>
          </w:p>
        </w:tc>
        <w:tc>
          <w:tcPr>
            <w:tcW w:w="709"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 </w:t>
            </w:r>
          </w:p>
        </w:tc>
        <w:tc>
          <w:tcPr>
            <w:tcW w:w="709" w:type="dxa"/>
            <w:tcBorders>
              <w:top w:val="single" w:sz="2" w:space="0" w:color="auto"/>
              <w:bottom w:val="single" w:sz="2" w:space="0" w:color="auto"/>
            </w:tcBorders>
            <w:shd w:val="clear" w:color="auto" w:fill="auto"/>
            <w:noWrap/>
            <w:vAlign w:val="center"/>
            <w:hideMark/>
          </w:tcPr>
          <w:p w:rsidR="0005098E" w:rsidRPr="0005098E" w:rsidRDefault="0005098E" w:rsidP="0005098E">
            <w:pPr>
              <w:spacing w:after="0"/>
              <w:ind w:firstLine="0"/>
              <w:jc w:val="right"/>
              <w:rPr>
                <w:rFonts w:ascii="Arial Narrow" w:hAnsi="Arial Narrow"/>
                <w:color w:val="000000"/>
                <w:sz w:val="17"/>
                <w:szCs w:val="17"/>
                <w:lang w:val="es-ES" w:eastAsia="es-ES"/>
              </w:rPr>
            </w:pPr>
          </w:p>
        </w:tc>
        <w:tc>
          <w:tcPr>
            <w:tcW w:w="921" w:type="dxa"/>
            <w:tcBorders>
              <w:top w:val="single" w:sz="2" w:space="0" w:color="auto"/>
              <w:bottom w:val="single" w:sz="2" w:space="0" w:color="auto"/>
            </w:tcBorders>
            <w:shd w:val="clear" w:color="auto" w:fill="auto"/>
            <w:noWrap/>
            <w:vAlign w:val="center"/>
            <w:hideMark/>
          </w:tcPr>
          <w:p w:rsidR="0005098E" w:rsidRPr="0005098E" w:rsidRDefault="00A41D6D" w:rsidP="00A41D6D">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 xml:space="preserve">  -29.575</w:t>
            </w:r>
          </w:p>
        </w:tc>
      </w:tr>
      <w:tr w:rsidR="00A41D6D" w:rsidRPr="0005098E" w:rsidTr="009D0508">
        <w:trPr>
          <w:trHeight w:val="273"/>
        </w:trPr>
        <w:tc>
          <w:tcPr>
            <w:tcW w:w="3342" w:type="dxa"/>
            <w:tcBorders>
              <w:top w:val="single" w:sz="2" w:space="0" w:color="auto"/>
            </w:tcBorders>
            <w:shd w:val="clear" w:color="auto" w:fill="auto"/>
            <w:noWrap/>
            <w:vAlign w:val="center"/>
          </w:tcPr>
          <w:p w:rsidR="00A41D6D" w:rsidRPr="0005098E" w:rsidRDefault="00A41D6D" w:rsidP="0005098E">
            <w:pPr>
              <w:spacing w:after="0"/>
              <w:ind w:firstLine="0"/>
              <w:jc w:val="left"/>
              <w:rPr>
                <w:rFonts w:ascii="Arial Narrow" w:hAnsi="Arial Narrow"/>
                <w:color w:val="000000"/>
                <w:sz w:val="17"/>
                <w:szCs w:val="17"/>
                <w:lang w:val="es-ES" w:eastAsia="es-ES"/>
              </w:rPr>
            </w:pPr>
            <w:r w:rsidRPr="0005098E">
              <w:rPr>
                <w:rFonts w:ascii="Arial Narrow" w:hAnsi="Arial Narrow"/>
                <w:color w:val="000000"/>
                <w:sz w:val="17"/>
                <w:szCs w:val="17"/>
                <w:lang w:val="es-ES" w:eastAsia="es-ES"/>
              </w:rPr>
              <w:t>Desahorro devolución paga extraordinaria 2012</w:t>
            </w:r>
          </w:p>
        </w:tc>
        <w:tc>
          <w:tcPr>
            <w:tcW w:w="719" w:type="dxa"/>
            <w:tcBorders>
              <w:top w:val="single" w:sz="2" w:space="0" w:color="auto"/>
            </w:tcBorders>
            <w:shd w:val="clear" w:color="auto" w:fill="auto"/>
            <w:noWrap/>
            <w:vAlign w:val="center"/>
          </w:tcPr>
          <w:p w:rsidR="00A41D6D" w:rsidRPr="0005098E" w:rsidRDefault="00A41D6D" w:rsidP="0005098E">
            <w:pPr>
              <w:spacing w:after="0"/>
              <w:ind w:firstLine="0"/>
              <w:jc w:val="right"/>
              <w:rPr>
                <w:rFonts w:ascii="Arial Narrow" w:hAnsi="Arial Narrow"/>
                <w:color w:val="000000"/>
                <w:sz w:val="17"/>
                <w:szCs w:val="17"/>
                <w:lang w:val="es-ES" w:eastAsia="es-ES"/>
              </w:rPr>
            </w:pPr>
          </w:p>
        </w:tc>
        <w:tc>
          <w:tcPr>
            <w:tcW w:w="840" w:type="dxa"/>
            <w:tcBorders>
              <w:top w:val="single" w:sz="2" w:space="0" w:color="auto"/>
            </w:tcBorders>
            <w:shd w:val="clear" w:color="auto" w:fill="auto"/>
            <w:noWrap/>
            <w:vAlign w:val="center"/>
          </w:tcPr>
          <w:p w:rsidR="00A41D6D" w:rsidRPr="0005098E" w:rsidRDefault="00A41D6D" w:rsidP="0005098E">
            <w:pPr>
              <w:spacing w:after="0"/>
              <w:ind w:firstLine="0"/>
              <w:jc w:val="right"/>
              <w:rPr>
                <w:rFonts w:ascii="Arial Narrow" w:hAnsi="Arial Narrow"/>
                <w:color w:val="000000"/>
                <w:sz w:val="17"/>
                <w:szCs w:val="17"/>
                <w:lang w:val="es-ES" w:eastAsia="es-ES"/>
              </w:rPr>
            </w:pPr>
          </w:p>
        </w:tc>
        <w:tc>
          <w:tcPr>
            <w:tcW w:w="797" w:type="dxa"/>
            <w:tcBorders>
              <w:top w:val="single" w:sz="2" w:space="0" w:color="auto"/>
            </w:tcBorders>
            <w:shd w:val="clear" w:color="auto" w:fill="auto"/>
            <w:noWrap/>
            <w:vAlign w:val="center"/>
          </w:tcPr>
          <w:p w:rsidR="00A41D6D" w:rsidRPr="0005098E" w:rsidRDefault="00A41D6D" w:rsidP="0005098E">
            <w:pPr>
              <w:spacing w:after="0"/>
              <w:ind w:firstLine="0"/>
              <w:jc w:val="right"/>
              <w:rPr>
                <w:rFonts w:ascii="Arial Narrow" w:hAnsi="Arial Narrow"/>
                <w:color w:val="000000"/>
                <w:sz w:val="17"/>
                <w:szCs w:val="17"/>
                <w:lang w:val="es-ES" w:eastAsia="es-ES"/>
              </w:rPr>
            </w:pPr>
          </w:p>
        </w:tc>
        <w:tc>
          <w:tcPr>
            <w:tcW w:w="713" w:type="dxa"/>
            <w:tcBorders>
              <w:top w:val="single" w:sz="2" w:space="0" w:color="auto"/>
            </w:tcBorders>
            <w:shd w:val="clear" w:color="auto" w:fill="auto"/>
            <w:noWrap/>
            <w:vAlign w:val="center"/>
          </w:tcPr>
          <w:p w:rsidR="00A41D6D" w:rsidRPr="0005098E" w:rsidRDefault="00A41D6D" w:rsidP="0005098E">
            <w:pPr>
              <w:spacing w:after="0"/>
              <w:ind w:firstLine="0"/>
              <w:jc w:val="right"/>
              <w:rPr>
                <w:rFonts w:ascii="Arial Narrow" w:hAnsi="Arial Narrow"/>
                <w:color w:val="000000"/>
                <w:sz w:val="17"/>
                <w:szCs w:val="17"/>
                <w:lang w:val="es-ES" w:eastAsia="es-ES"/>
              </w:rPr>
            </w:pPr>
          </w:p>
        </w:tc>
        <w:tc>
          <w:tcPr>
            <w:tcW w:w="709" w:type="dxa"/>
            <w:tcBorders>
              <w:top w:val="single" w:sz="2" w:space="0" w:color="auto"/>
            </w:tcBorders>
            <w:shd w:val="clear" w:color="auto" w:fill="auto"/>
            <w:noWrap/>
            <w:vAlign w:val="center"/>
          </w:tcPr>
          <w:p w:rsidR="00A41D6D" w:rsidRPr="0005098E" w:rsidRDefault="00A41D6D" w:rsidP="0005098E">
            <w:pPr>
              <w:spacing w:after="0"/>
              <w:ind w:firstLine="0"/>
              <w:jc w:val="right"/>
              <w:rPr>
                <w:rFonts w:ascii="Arial Narrow" w:hAnsi="Arial Narrow"/>
                <w:color w:val="000000"/>
                <w:sz w:val="17"/>
                <w:szCs w:val="17"/>
                <w:lang w:val="es-ES" w:eastAsia="es-ES"/>
              </w:rPr>
            </w:pPr>
          </w:p>
        </w:tc>
        <w:tc>
          <w:tcPr>
            <w:tcW w:w="709" w:type="dxa"/>
            <w:tcBorders>
              <w:top w:val="single" w:sz="2" w:space="0" w:color="auto"/>
            </w:tcBorders>
            <w:shd w:val="clear" w:color="auto" w:fill="auto"/>
            <w:noWrap/>
            <w:vAlign w:val="center"/>
          </w:tcPr>
          <w:p w:rsidR="00A41D6D" w:rsidRDefault="00A41D6D" w:rsidP="0005098E">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-1.215</w:t>
            </w:r>
            <w:r w:rsidRPr="0005098E">
              <w:rPr>
                <w:rFonts w:ascii="Arial Narrow" w:hAnsi="Arial Narrow"/>
                <w:color w:val="000000"/>
                <w:sz w:val="17"/>
                <w:szCs w:val="17"/>
                <w:lang w:val="es-ES" w:eastAsia="es-ES"/>
              </w:rPr>
              <w:t> </w:t>
            </w:r>
          </w:p>
        </w:tc>
        <w:tc>
          <w:tcPr>
            <w:tcW w:w="921" w:type="dxa"/>
            <w:tcBorders>
              <w:top w:val="single" w:sz="2" w:space="0" w:color="auto"/>
            </w:tcBorders>
            <w:shd w:val="clear" w:color="auto" w:fill="auto"/>
            <w:noWrap/>
            <w:vAlign w:val="center"/>
          </w:tcPr>
          <w:p w:rsidR="00A41D6D" w:rsidRDefault="00A41D6D" w:rsidP="00A41D6D">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-1.215</w:t>
            </w:r>
          </w:p>
        </w:tc>
      </w:tr>
      <w:tr w:rsidR="0005098E" w:rsidRPr="0005098E" w:rsidTr="009D0508">
        <w:trPr>
          <w:trHeight w:val="249"/>
        </w:trPr>
        <w:tc>
          <w:tcPr>
            <w:tcW w:w="3342" w:type="dxa"/>
            <w:shd w:val="clear" w:color="000000" w:fill="8DB3E2"/>
            <w:noWrap/>
            <w:vAlign w:val="center"/>
            <w:hideMark/>
          </w:tcPr>
          <w:p w:rsidR="0005098E" w:rsidRPr="0005098E" w:rsidRDefault="0005098E" w:rsidP="0005098E">
            <w:pPr>
              <w:spacing w:after="0"/>
              <w:ind w:firstLine="0"/>
              <w:jc w:val="left"/>
              <w:rPr>
                <w:rFonts w:ascii="Arial" w:hAnsi="Arial" w:cs="Arial"/>
                <w:color w:val="000000"/>
                <w:sz w:val="16"/>
                <w:szCs w:val="16"/>
                <w:lang w:val="es-ES" w:eastAsia="es-ES"/>
              </w:rPr>
            </w:pPr>
            <w:r w:rsidRPr="0005098E">
              <w:rPr>
                <w:rFonts w:ascii="Arial" w:hAnsi="Arial" w:cs="Arial"/>
                <w:color w:val="000000"/>
                <w:sz w:val="16"/>
                <w:szCs w:val="16"/>
                <w:lang w:val="es-ES" w:eastAsia="es-ES"/>
              </w:rPr>
              <w:t>Ahorros específicos Planes de Reordenación</w:t>
            </w:r>
          </w:p>
        </w:tc>
        <w:tc>
          <w:tcPr>
            <w:tcW w:w="719" w:type="dxa"/>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5.714</w:t>
            </w:r>
          </w:p>
        </w:tc>
        <w:tc>
          <w:tcPr>
            <w:tcW w:w="840" w:type="dxa"/>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10.723</w:t>
            </w:r>
          </w:p>
        </w:tc>
        <w:tc>
          <w:tcPr>
            <w:tcW w:w="797" w:type="dxa"/>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8.966</w:t>
            </w:r>
          </w:p>
        </w:tc>
        <w:tc>
          <w:tcPr>
            <w:tcW w:w="713" w:type="dxa"/>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5.909</w:t>
            </w:r>
          </w:p>
        </w:tc>
        <w:tc>
          <w:tcPr>
            <w:tcW w:w="709" w:type="dxa"/>
            <w:shd w:val="clear" w:color="000000" w:fill="8DB3E2"/>
            <w:noWrap/>
            <w:vAlign w:val="center"/>
            <w:hideMark/>
          </w:tcPr>
          <w:p w:rsidR="0005098E" w:rsidRPr="0005098E" w:rsidRDefault="0005098E" w:rsidP="0005098E">
            <w:pPr>
              <w:spacing w:after="0"/>
              <w:ind w:firstLine="0"/>
              <w:jc w:val="right"/>
              <w:rPr>
                <w:rFonts w:ascii="Arial" w:hAnsi="Arial" w:cs="Arial"/>
                <w:color w:val="000000"/>
                <w:sz w:val="16"/>
                <w:szCs w:val="16"/>
                <w:lang w:val="es-ES" w:eastAsia="es-ES"/>
              </w:rPr>
            </w:pPr>
            <w:r w:rsidRPr="0005098E">
              <w:rPr>
                <w:rFonts w:ascii="Arial" w:hAnsi="Arial" w:cs="Arial"/>
                <w:color w:val="000000"/>
                <w:sz w:val="16"/>
                <w:szCs w:val="16"/>
                <w:lang w:val="es-ES" w:eastAsia="es-ES"/>
              </w:rPr>
              <w:t>3.353</w:t>
            </w:r>
          </w:p>
        </w:tc>
        <w:tc>
          <w:tcPr>
            <w:tcW w:w="709" w:type="dxa"/>
            <w:shd w:val="clear" w:color="000000" w:fill="8DB3E2"/>
            <w:noWrap/>
            <w:vAlign w:val="center"/>
            <w:hideMark/>
          </w:tcPr>
          <w:p w:rsidR="0005098E" w:rsidRPr="0005098E" w:rsidRDefault="00A41D6D" w:rsidP="0005098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-1.215</w:t>
            </w:r>
          </w:p>
        </w:tc>
        <w:tc>
          <w:tcPr>
            <w:tcW w:w="921" w:type="dxa"/>
            <w:shd w:val="clear" w:color="000000" w:fill="8DB3E2"/>
            <w:noWrap/>
            <w:vAlign w:val="center"/>
            <w:hideMark/>
          </w:tcPr>
          <w:p w:rsidR="0005098E" w:rsidRPr="0005098E" w:rsidRDefault="00A41D6D" w:rsidP="0005098E">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33.450</w:t>
            </w:r>
          </w:p>
        </w:tc>
      </w:tr>
    </w:tbl>
    <w:p w:rsidR="0017115B" w:rsidRDefault="0005098E" w:rsidP="003D0DE5">
      <w:pPr>
        <w:pStyle w:val="texto"/>
        <w:spacing w:before="240" w:after="160"/>
        <w:rPr>
          <w:rFonts w:eastAsiaTheme="minorHAnsi"/>
          <w:szCs w:val="26"/>
        </w:rPr>
      </w:pPr>
      <w:r>
        <w:rPr>
          <w:rFonts w:eastAsiaTheme="minorHAnsi"/>
          <w:szCs w:val="26"/>
        </w:rPr>
        <w:t>I</w:t>
      </w:r>
      <w:r w:rsidR="006E26D6">
        <w:rPr>
          <w:rFonts w:eastAsiaTheme="minorHAnsi"/>
          <w:szCs w:val="26"/>
        </w:rPr>
        <w:t>ndica</w:t>
      </w:r>
      <w:r>
        <w:rPr>
          <w:rFonts w:eastAsiaTheme="minorHAnsi"/>
          <w:szCs w:val="26"/>
        </w:rPr>
        <w:t xml:space="preserve">mos </w:t>
      </w:r>
      <w:r w:rsidR="006E26D6">
        <w:rPr>
          <w:rFonts w:eastAsiaTheme="minorHAnsi"/>
          <w:szCs w:val="26"/>
        </w:rPr>
        <w:t xml:space="preserve">varias cuestiones: </w:t>
      </w:r>
    </w:p>
    <w:p w:rsidR="000B5037" w:rsidRDefault="006E26D6" w:rsidP="003D0DE5">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after="160"/>
        <w:ind w:left="0" w:firstLine="289"/>
        <w:rPr>
          <w:rFonts w:cs="Arial"/>
        </w:rPr>
      </w:pPr>
      <w:r>
        <w:rPr>
          <w:rFonts w:cs="Arial"/>
        </w:rPr>
        <w:t>Ante la ausencia de criterios ho</w:t>
      </w:r>
      <w:r w:rsidR="00502796">
        <w:rPr>
          <w:rFonts w:cs="Arial"/>
        </w:rPr>
        <w:t>mogéneos del concepto de ahorro</w:t>
      </w:r>
      <w:r>
        <w:rPr>
          <w:rFonts w:cs="Arial"/>
        </w:rPr>
        <w:t xml:space="preserve"> y su pr</w:t>
      </w:r>
      <w:r>
        <w:rPr>
          <w:rFonts w:cs="Arial"/>
        </w:rPr>
        <w:t>o</w:t>
      </w:r>
      <w:r>
        <w:rPr>
          <w:rFonts w:cs="Arial"/>
        </w:rPr>
        <w:t>cedimiento de cálculo, l</w:t>
      </w:r>
      <w:r w:rsidR="000B5037">
        <w:rPr>
          <w:rFonts w:cs="Arial"/>
        </w:rPr>
        <w:t xml:space="preserve">a CPEN </w:t>
      </w:r>
      <w:r w:rsidR="0005098E">
        <w:rPr>
          <w:rFonts w:cs="Arial"/>
        </w:rPr>
        <w:t xml:space="preserve">formuló </w:t>
      </w:r>
      <w:r w:rsidR="000B5037">
        <w:rPr>
          <w:rFonts w:cs="Arial"/>
        </w:rPr>
        <w:t xml:space="preserve">una metodología que </w:t>
      </w:r>
      <w:r w:rsidR="00A41D6D">
        <w:rPr>
          <w:rFonts w:cs="Arial"/>
        </w:rPr>
        <w:t>al estar doc</w:t>
      </w:r>
      <w:r w:rsidR="00A41D6D">
        <w:rPr>
          <w:rFonts w:cs="Arial"/>
        </w:rPr>
        <w:t>u</w:t>
      </w:r>
      <w:r w:rsidR="00A41D6D">
        <w:rPr>
          <w:rFonts w:cs="Arial"/>
        </w:rPr>
        <w:t xml:space="preserve">mentada y soportada, </w:t>
      </w:r>
      <w:r w:rsidR="000B5037">
        <w:rPr>
          <w:rFonts w:cs="Arial"/>
        </w:rPr>
        <w:t xml:space="preserve">nos ha permitido verificar </w:t>
      </w:r>
      <w:r w:rsidR="004B58D4">
        <w:rPr>
          <w:rFonts w:cs="Arial"/>
        </w:rPr>
        <w:t>las estimaciones realizadas</w:t>
      </w:r>
      <w:r w:rsidR="002C61E2">
        <w:rPr>
          <w:rFonts w:cs="Arial"/>
        </w:rPr>
        <w:t xml:space="preserve"> y comprobarlas</w:t>
      </w:r>
      <w:r w:rsidR="00B36E55">
        <w:rPr>
          <w:rFonts w:cs="Arial"/>
        </w:rPr>
        <w:t xml:space="preserve">. </w:t>
      </w:r>
    </w:p>
    <w:p w:rsidR="006E26D6" w:rsidRDefault="0017115B" w:rsidP="003D0DE5">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after="180"/>
        <w:ind w:left="0" w:firstLine="289"/>
        <w:rPr>
          <w:rFonts w:cs="Arial"/>
        </w:rPr>
      </w:pPr>
      <w:r w:rsidRPr="00E85602">
        <w:rPr>
          <w:rFonts w:cs="Arial"/>
        </w:rPr>
        <w:t>L</w:t>
      </w:r>
      <w:r w:rsidR="006E26D6">
        <w:rPr>
          <w:rFonts w:cs="Arial"/>
        </w:rPr>
        <w:t xml:space="preserve">a desinversión de </w:t>
      </w:r>
      <w:r w:rsidR="004529AE">
        <w:rPr>
          <w:rFonts w:cs="Arial"/>
        </w:rPr>
        <w:t>SODENA</w:t>
      </w:r>
      <w:r w:rsidR="006E26D6">
        <w:rPr>
          <w:rFonts w:cs="Arial"/>
        </w:rPr>
        <w:t xml:space="preserve"> en el </w:t>
      </w:r>
      <w:r w:rsidRPr="00BE3736">
        <w:rPr>
          <w:rFonts w:cs="Arial"/>
        </w:rPr>
        <w:t xml:space="preserve">subgrupo </w:t>
      </w:r>
      <w:r w:rsidR="00BE3736" w:rsidRPr="00BE3736">
        <w:rPr>
          <w:rFonts w:cs="Arial"/>
        </w:rPr>
        <w:t>Burnizko S.A.</w:t>
      </w:r>
      <w:r w:rsidR="001D585C">
        <w:rPr>
          <w:rFonts w:cs="Arial"/>
        </w:rPr>
        <w:t xml:space="preserve"> que ha s</w:t>
      </w:r>
      <w:r w:rsidR="001D585C">
        <w:rPr>
          <w:rFonts w:cs="Arial"/>
        </w:rPr>
        <w:t>u</w:t>
      </w:r>
      <w:r w:rsidR="001D585C">
        <w:rPr>
          <w:rFonts w:cs="Arial"/>
        </w:rPr>
        <w:t xml:space="preserve">puesto un ahorro de 29,57 millones de euros, </w:t>
      </w:r>
      <w:r w:rsidR="006E26D6">
        <w:rPr>
          <w:rFonts w:cs="Arial"/>
        </w:rPr>
        <w:t xml:space="preserve">no se corresponde con ninguna </w:t>
      </w:r>
      <w:r w:rsidR="006E26D6">
        <w:rPr>
          <w:rFonts w:cs="Arial"/>
        </w:rPr>
        <w:lastRenderedPageBreak/>
        <w:t>medida espe</w:t>
      </w:r>
      <w:r w:rsidR="002C61E2">
        <w:rPr>
          <w:rFonts w:cs="Arial"/>
        </w:rPr>
        <w:t xml:space="preserve">cífica de planes de ordenación, </w:t>
      </w:r>
      <w:r w:rsidR="006E26D6">
        <w:rPr>
          <w:rFonts w:cs="Arial"/>
        </w:rPr>
        <w:t xml:space="preserve">motivo por el cual, </w:t>
      </w:r>
      <w:r w:rsidR="004B58D4">
        <w:rPr>
          <w:rFonts w:cs="Arial"/>
        </w:rPr>
        <w:t xml:space="preserve">y </w:t>
      </w:r>
      <w:r w:rsidR="006E26D6">
        <w:rPr>
          <w:rFonts w:cs="Arial"/>
        </w:rPr>
        <w:t>sin perjuicio de formar parte de la información remitida al ministerio, no se incluye como ahorro</w:t>
      </w:r>
      <w:r w:rsidR="00502796">
        <w:rPr>
          <w:rFonts w:cs="Arial"/>
        </w:rPr>
        <w:t xml:space="preserve">s derivados de la reordenación en </w:t>
      </w:r>
      <w:r w:rsidR="002C61E2">
        <w:rPr>
          <w:rFonts w:cs="Arial"/>
        </w:rPr>
        <w:t xml:space="preserve">nuestro </w:t>
      </w:r>
      <w:r w:rsidR="00502796">
        <w:rPr>
          <w:rFonts w:cs="Arial"/>
        </w:rPr>
        <w:t>informe.</w:t>
      </w:r>
    </w:p>
    <w:p w:rsidR="006E26D6" w:rsidRPr="00226CAD" w:rsidRDefault="006E26D6" w:rsidP="003D0DE5">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spacing w:val="8"/>
        </w:rPr>
      </w:pPr>
      <w:r w:rsidRPr="00226CAD">
        <w:rPr>
          <w:rFonts w:cs="Arial"/>
          <w:spacing w:val="8"/>
        </w:rPr>
        <w:t xml:space="preserve">La devolución de la paga extraordinaria que se había suprimido en 2012, se corresponde con </w:t>
      </w:r>
      <w:r w:rsidR="00502796" w:rsidRPr="00226CAD">
        <w:rPr>
          <w:rFonts w:cs="Arial"/>
          <w:spacing w:val="8"/>
        </w:rPr>
        <w:t xml:space="preserve">la aplicación de </w:t>
      </w:r>
      <w:r w:rsidRPr="00226CAD">
        <w:rPr>
          <w:rFonts w:cs="Arial"/>
          <w:spacing w:val="8"/>
        </w:rPr>
        <w:t xml:space="preserve">una medida </w:t>
      </w:r>
      <w:r w:rsidR="00502796" w:rsidRPr="00226CAD">
        <w:rPr>
          <w:rFonts w:cs="Arial"/>
          <w:spacing w:val="8"/>
        </w:rPr>
        <w:t xml:space="preserve">aprobada </w:t>
      </w:r>
      <w:r w:rsidRPr="00226CAD">
        <w:rPr>
          <w:rFonts w:cs="Arial"/>
          <w:spacing w:val="8"/>
        </w:rPr>
        <w:t xml:space="preserve">por el Gobierno de Navarra </w:t>
      </w:r>
      <w:r w:rsidR="00697849" w:rsidRPr="00226CAD">
        <w:rPr>
          <w:rFonts w:cs="Arial"/>
          <w:spacing w:val="8"/>
        </w:rPr>
        <w:t xml:space="preserve">para el personal de la Administración de la Comunidad Foral </w:t>
      </w:r>
      <w:r w:rsidRPr="00226CAD">
        <w:rPr>
          <w:rFonts w:cs="Arial"/>
          <w:spacing w:val="8"/>
        </w:rPr>
        <w:t xml:space="preserve">en </w:t>
      </w:r>
      <w:r w:rsidR="00502796" w:rsidRPr="00226CAD">
        <w:rPr>
          <w:rFonts w:cs="Arial"/>
          <w:spacing w:val="8"/>
        </w:rPr>
        <w:t>d</w:t>
      </w:r>
      <w:r w:rsidR="00502796" w:rsidRPr="00226CAD">
        <w:rPr>
          <w:rFonts w:cs="Arial"/>
          <w:spacing w:val="8"/>
        </w:rPr>
        <w:t>i</w:t>
      </w:r>
      <w:r w:rsidR="00502796" w:rsidRPr="00226CAD">
        <w:rPr>
          <w:rFonts w:cs="Arial"/>
          <w:spacing w:val="8"/>
        </w:rPr>
        <w:t xml:space="preserve">ciembre </w:t>
      </w:r>
      <w:r w:rsidR="00223E86" w:rsidRPr="00226CAD">
        <w:rPr>
          <w:rFonts w:cs="Arial"/>
          <w:spacing w:val="8"/>
        </w:rPr>
        <w:t>de 2015;</w:t>
      </w:r>
      <w:r w:rsidR="001B0DC2" w:rsidRPr="00226CAD">
        <w:rPr>
          <w:rFonts w:cs="Arial"/>
          <w:spacing w:val="8"/>
        </w:rPr>
        <w:t xml:space="preserve"> medida que se extendía al personal de las sociedades públ</w:t>
      </w:r>
      <w:r w:rsidR="001B0DC2" w:rsidRPr="00226CAD">
        <w:rPr>
          <w:rFonts w:cs="Arial"/>
          <w:spacing w:val="8"/>
        </w:rPr>
        <w:t>i</w:t>
      </w:r>
      <w:r w:rsidR="001B0DC2" w:rsidRPr="00226CAD">
        <w:rPr>
          <w:rFonts w:cs="Arial"/>
          <w:spacing w:val="8"/>
        </w:rPr>
        <w:t>cas</w:t>
      </w:r>
      <w:r w:rsidR="00561278" w:rsidRPr="00226CAD">
        <w:rPr>
          <w:rFonts w:cs="Arial"/>
          <w:spacing w:val="8"/>
        </w:rPr>
        <w:t xml:space="preserve"> y que al cierre del ejercicio 2016 se había devuelto el 51 por ciento. En los ejercicios no fiscalizados 2017 y 2018 se devuelve el 49 por ciento re</w:t>
      </w:r>
      <w:r w:rsidR="00561278" w:rsidRPr="00226CAD">
        <w:rPr>
          <w:rFonts w:cs="Arial"/>
          <w:spacing w:val="8"/>
        </w:rPr>
        <w:t>s</w:t>
      </w:r>
      <w:r w:rsidR="00561278" w:rsidRPr="00226CAD">
        <w:rPr>
          <w:rFonts w:cs="Arial"/>
          <w:spacing w:val="8"/>
        </w:rPr>
        <w:t>tante.</w:t>
      </w:r>
    </w:p>
    <w:p w:rsidR="0017115B" w:rsidRPr="00177E5A" w:rsidRDefault="002C61E2" w:rsidP="003D0DE5">
      <w:pPr>
        <w:pStyle w:val="texto"/>
        <w:spacing w:after="180"/>
        <w:rPr>
          <w:rFonts w:eastAsiaTheme="minorHAnsi"/>
          <w:szCs w:val="26"/>
        </w:rPr>
      </w:pPr>
      <w:r>
        <w:rPr>
          <w:rFonts w:eastAsiaTheme="minorHAnsi"/>
          <w:szCs w:val="26"/>
        </w:rPr>
        <w:t>M</w:t>
      </w:r>
      <w:r w:rsidR="0017115B">
        <w:rPr>
          <w:rFonts w:eastAsiaTheme="minorHAnsi"/>
          <w:szCs w:val="26"/>
        </w:rPr>
        <w:t xml:space="preserve">atizadas las anteriores cuestiones, </w:t>
      </w:r>
      <w:r w:rsidR="00AB4029">
        <w:rPr>
          <w:rFonts w:eastAsiaTheme="minorHAnsi"/>
          <w:szCs w:val="26"/>
        </w:rPr>
        <w:t>l</w:t>
      </w:r>
      <w:r w:rsidR="0017115B" w:rsidRPr="00177E5A">
        <w:rPr>
          <w:rFonts w:eastAsiaTheme="minorHAnsi"/>
          <w:szCs w:val="26"/>
        </w:rPr>
        <w:t>a estimación de los ahorros se ha real</w:t>
      </w:r>
      <w:r w:rsidR="0017115B" w:rsidRPr="00177E5A">
        <w:rPr>
          <w:rFonts w:eastAsiaTheme="minorHAnsi"/>
          <w:szCs w:val="26"/>
        </w:rPr>
        <w:t>i</w:t>
      </w:r>
      <w:r w:rsidR="0017115B" w:rsidRPr="00177E5A">
        <w:rPr>
          <w:rFonts w:eastAsiaTheme="minorHAnsi"/>
          <w:szCs w:val="26"/>
        </w:rPr>
        <w:t xml:space="preserve">zado </w:t>
      </w:r>
      <w:r>
        <w:rPr>
          <w:rFonts w:eastAsiaTheme="minorHAnsi"/>
          <w:szCs w:val="26"/>
        </w:rPr>
        <w:t xml:space="preserve">en </w:t>
      </w:r>
      <w:r w:rsidR="0017115B" w:rsidRPr="00177E5A">
        <w:rPr>
          <w:rFonts w:eastAsiaTheme="minorHAnsi"/>
          <w:szCs w:val="26"/>
        </w:rPr>
        <w:t>dos planes diferenciados</w:t>
      </w:r>
      <w:bookmarkStart w:id="39" w:name="TMB498694979"/>
      <w:bookmarkEnd w:id="39"/>
      <w:r w:rsidR="0017115B" w:rsidRPr="00177E5A">
        <w:rPr>
          <w:rFonts w:eastAsiaTheme="minorHAnsi"/>
          <w:szCs w:val="26"/>
        </w:rPr>
        <w:t xml:space="preserve"> y en dos fases</w:t>
      </w:r>
      <w:r>
        <w:rPr>
          <w:rFonts w:eastAsiaTheme="minorHAnsi"/>
          <w:szCs w:val="26"/>
        </w:rPr>
        <w:t xml:space="preserve">: </w:t>
      </w:r>
    </w:p>
    <w:p w:rsidR="0017115B" w:rsidRPr="00EF20F3" w:rsidRDefault="0017115B" w:rsidP="003D0DE5">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FE4B6C">
        <w:rPr>
          <w:rFonts w:cs="Arial"/>
        </w:rPr>
        <w:t>Fase I (2010-2012)</w:t>
      </w:r>
      <w:r w:rsidRPr="00EF20F3">
        <w:rPr>
          <w:rFonts w:cs="Arial"/>
        </w:rPr>
        <w:t>. En esta primera fase, en ejecución del I Plan de Reo</w:t>
      </w:r>
      <w:r w:rsidRPr="00EF20F3">
        <w:rPr>
          <w:rFonts w:cs="Arial"/>
        </w:rPr>
        <w:t>r</w:t>
      </w:r>
      <w:r w:rsidRPr="00EF20F3">
        <w:rPr>
          <w:rFonts w:cs="Arial"/>
        </w:rPr>
        <w:t>denación, se distinguen dos tipos de medidas:</w:t>
      </w:r>
    </w:p>
    <w:p w:rsidR="0017115B" w:rsidRPr="00177E5A" w:rsidRDefault="00EF20F3" w:rsidP="003D0DE5">
      <w:pPr>
        <w:pStyle w:val="texto"/>
        <w:spacing w:after="180"/>
        <w:rPr>
          <w:rFonts w:eastAsiaTheme="minorHAnsi"/>
          <w:szCs w:val="26"/>
        </w:rPr>
      </w:pPr>
      <w:r>
        <w:rPr>
          <w:rFonts w:eastAsiaTheme="minorHAnsi"/>
          <w:szCs w:val="26"/>
        </w:rPr>
        <w:t xml:space="preserve">a) </w:t>
      </w:r>
      <w:r w:rsidR="0017115B" w:rsidRPr="00177E5A">
        <w:rPr>
          <w:rFonts w:eastAsiaTheme="minorHAnsi"/>
          <w:szCs w:val="26"/>
        </w:rPr>
        <w:t>Ahorro</w:t>
      </w:r>
      <w:r w:rsidR="000F6FB5">
        <w:rPr>
          <w:rFonts w:eastAsiaTheme="minorHAnsi"/>
          <w:szCs w:val="26"/>
        </w:rPr>
        <w:t>s en</w:t>
      </w:r>
      <w:r w:rsidR="0017115B" w:rsidRPr="00177E5A">
        <w:rPr>
          <w:rFonts w:eastAsiaTheme="minorHAnsi"/>
          <w:szCs w:val="26"/>
        </w:rPr>
        <w:t xml:space="preserve"> personal. </w:t>
      </w:r>
      <w:r w:rsidR="00697849" w:rsidRPr="00177E5A">
        <w:rPr>
          <w:rFonts w:eastAsiaTheme="minorHAnsi"/>
          <w:szCs w:val="26"/>
        </w:rPr>
        <w:t xml:space="preserve">El ahorro </w:t>
      </w:r>
      <w:r w:rsidR="00697849">
        <w:rPr>
          <w:rFonts w:eastAsiaTheme="minorHAnsi"/>
          <w:szCs w:val="26"/>
        </w:rPr>
        <w:t>derivado d</w:t>
      </w:r>
      <w:r w:rsidR="00697849" w:rsidRPr="00177E5A">
        <w:rPr>
          <w:rFonts w:eastAsiaTheme="minorHAnsi"/>
          <w:szCs w:val="26"/>
        </w:rPr>
        <w:t>e</w:t>
      </w:r>
      <w:r w:rsidR="00B36E55">
        <w:rPr>
          <w:rFonts w:eastAsiaTheme="minorHAnsi"/>
          <w:szCs w:val="26"/>
        </w:rPr>
        <w:t xml:space="preserve"> medidas de reducción de pe</w:t>
      </w:r>
      <w:r w:rsidR="00B36E55">
        <w:rPr>
          <w:rFonts w:eastAsiaTheme="minorHAnsi"/>
          <w:szCs w:val="26"/>
        </w:rPr>
        <w:t>r</w:t>
      </w:r>
      <w:r w:rsidR="00B36E55">
        <w:rPr>
          <w:rFonts w:eastAsiaTheme="minorHAnsi"/>
          <w:szCs w:val="26"/>
        </w:rPr>
        <w:t xml:space="preserve">sonal, </w:t>
      </w:r>
      <w:r w:rsidR="002C61E2">
        <w:rPr>
          <w:rFonts w:eastAsiaTheme="minorHAnsi"/>
          <w:szCs w:val="26"/>
        </w:rPr>
        <w:t xml:space="preserve">se ha calculado </w:t>
      </w:r>
      <w:r w:rsidR="00697849">
        <w:rPr>
          <w:rFonts w:eastAsiaTheme="minorHAnsi"/>
          <w:szCs w:val="26"/>
        </w:rPr>
        <w:t>aplica</w:t>
      </w:r>
      <w:r w:rsidR="002C61E2">
        <w:rPr>
          <w:rFonts w:eastAsiaTheme="minorHAnsi"/>
          <w:szCs w:val="26"/>
        </w:rPr>
        <w:t xml:space="preserve">ndo a </w:t>
      </w:r>
      <w:r w:rsidR="00697849">
        <w:rPr>
          <w:rFonts w:eastAsiaTheme="minorHAnsi"/>
          <w:szCs w:val="26"/>
        </w:rPr>
        <w:t xml:space="preserve">la variación de la plantilla </w:t>
      </w:r>
      <w:r w:rsidR="005C2BFF">
        <w:rPr>
          <w:rFonts w:eastAsiaTheme="minorHAnsi"/>
          <w:szCs w:val="26"/>
        </w:rPr>
        <w:t xml:space="preserve">entre ejercicios </w:t>
      </w:r>
      <w:r w:rsidR="00697849">
        <w:rPr>
          <w:rFonts w:eastAsiaTheme="minorHAnsi"/>
          <w:szCs w:val="26"/>
        </w:rPr>
        <w:t>su coste medio</w:t>
      </w:r>
      <w:r w:rsidR="00697849">
        <w:rPr>
          <w:rStyle w:val="Refdenotaalpie"/>
          <w:rFonts w:eastAsiaTheme="minorHAnsi"/>
          <w:szCs w:val="26"/>
        </w:rPr>
        <w:footnoteReference w:id="12"/>
      </w:r>
      <w:r w:rsidR="00697849">
        <w:rPr>
          <w:rFonts w:eastAsiaTheme="minorHAnsi"/>
          <w:szCs w:val="26"/>
        </w:rPr>
        <w:t>.</w:t>
      </w:r>
      <w:r w:rsidR="000F6FB5">
        <w:rPr>
          <w:rFonts w:eastAsiaTheme="minorHAnsi"/>
          <w:szCs w:val="26"/>
        </w:rPr>
        <w:t xml:space="preserve"> </w:t>
      </w:r>
    </w:p>
    <w:p w:rsidR="00DD21F4" w:rsidRPr="00565938" w:rsidRDefault="00EF20F3" w:rsidP="003D0DE5">
      <w:pPr>
        <w:pStyle w:val="texto"/>
        <w:spacing w:after="180"/>
        <w:rPr>
          <w:rFonts w:eastAsiaTheme="minorHAnsi"/>
          <w:szCs w:val="26"/>
        </w:rPr>
      </w:pPr>
      <w:r w:rsidRPr="00565938">
        <w:rPr>
          <w:rFonts w:eastAsiaTheme="minorHAnsi"/>
          <w:szCs w:val="26"/>
        </w:rPr>
        <w:t xml:space="preserve">b) </w:t>
      </w:r>
      <w:r w:rsidR="0017115B" w:rsidRPr="00565938">
        <w:rPr>
          <w:rFonts w:eastAsiaTheme="minorHAnsi"/>
          <w:szCs w:val="26"/>
        </w:rPr>
        <w:t>Ahorro en costes operativos. En g</w:t>
      </w:r>
      <w:r w:rsidR="00DD21F4" w:rsidRPr="00565938">
        <w:rPr>
          <w:rFonts w:eastAsiaTheme="minorHAnsi"/>
          <w:szCs w:val="26"/>
        </w:rPr>
        <w:t xml:space="preserve">eneral, se </w:t>
      </w:r>
      <w:r w:rsidR="002C61E2">
        <w:rPr>
          <w:rFonts w:eastAsiaTheme="minorHAnsi"/>
          <w:szCs w:val="26"/>
        </w:rPr>
        <w:t xml:space="preserve">obtuvo </w:t>
      </w:r>
      <w:r w:rsidR="00DD21F4" w:rsidRPr="00565938">
        <w:rPr>
          <w:rFonts w:eastAsiaTheme="minorHAnsi"/>
          <w:szCs w:val="26"/>
        </w:rPr>
        <w:t xml:space="preserve">por variaciones de </w:t>
      </w:r>
      <w:r w:rsidR="00FA0EF3">
        <w:rPr>
          <w:rFonts w:eastAsiaTheme="minorHAnsi"/>
          <w:szCs w:val="26"/>
        </w:rPr>
        <w:t xml:space="preserve">gasto en </w:t>
      </w:r>
      <w:r w:rsidR="00565938" w:rsidRPr="00565938">
        <w:rPr>
          <w:rFonts w:eastAsiaTheme="minorHAnsi"/>
          <w:szCs w:val="26"/>
        </w:rPr>
        <w:t>la</w:t>
      </w:r>
      <w:r w:rsidR="00FA0EF3">
        <w:rPr>
          <w:rFonts w:eastAsiaTheme="minorHAnsi"/>
          <w:szCs w:val="26"/>
        </w:rPr>
        <w:t xml:space="preserve"> cuenta contable de</w:t>
      </w:r>
      <w:r w:rsidR="00B36E55">
        <w:rPr>
          <w:rFonts w:eastAsiaTheme="minorHAnsi"/>
          <w:szCs w:val="26"/>
        </w:rPr>
        <w:t xml:space="preserve"> </w:t>
      </w:r>
      <w:r w:rsidR="00565938" w:rsidRPr="00565938">
        <w:rPr>
          <w:rFonts w:eastAsiaTheme="minorHAnsi"/>
          <w:szCs w:val="26"/>
        </w:rPr>
        <w:t xml:space="preserve">servicios exteriores, utilizando en </w:t>
      </w:r>
      <w:r w:rsidR="00565938">
        <w:rPr>
          <w:rFonts w:eastAsiaTheme="minorHAnsi"/>
          <w:szCs w:val="26"/>
        </w:rPr>
        <w:t>de</w:t>
      </w:r>
      <w:r w:rsidR="00B36E55">
        <w:rPr>
          <w:rFonts w:eastAsiaTheme="minorHAnsi"/>
          <w:szCs w:val="26"/>
        </w:rPr>
        <w:t>terminada</w:t>
      </w:r>
      <w:r w:rsidR="00565938">
        <w:rPr>
          <w:rFonts w:eastAsiaTheme="minorHAnsi"/>
          <w:szCs w:val="26"/>
        </w:rPr>
        <w:t xml:space="preserve">s </w:t>
      </w:r>
      <w:r w:rsidR="00565938" w:rsidRPr="00565938">
        <w:rPr>
          <w:rFonts w:eastAsiaTheme="minorHAnsi"/>
          <w:szCs w:val="26"/>
        </w:rPr>
        <w:t>s</w:t>
      </w:r>
      <w:r w:rsidR="00B36E55">
        <w:rPr>
          <w:rFonts w:eastAsiaTheme="minorHAnsi"/>
          <w:szCs w:val="26"/>
        </w:rPr>
        <w:t xml:space="preserve">ociedades </w:t>
      </w:r>
      <w:r w:rsidR="00DD21F4" w:rsidRPr="00565938">
        <w:rPr>
          <w:rFonts w:eastAsiaTheme="minorHAnsi"/>
          <w:szCs w:val="26"/>
        </w:rPr>
        <w:t xml:space="preserve">un </w:t>
      </w:r>
      <w:r w:rsidR="0017115B" w:rsidRPr="00565938">
        <w:rPr>
          <w:rFonts w:eastAsiaTheme="minorHAnsi"/>
          <w:szCs w:val="26"/>
        </w:rPr>
        <w:t xml:space="preserve">indicador </w:t>
      </w:r>
      <w:r w:rsidR="00DD21F4" w:rsidRPr="00565938">
        <w:rPr>
          <w:rFonts w:eastAsiaTheme="minorHAnsi"/>
          <w:szCs w:val="26"/>
        </w:rPr>
        <w:t xml:space="preserve">que relaciona </w:t>
      </w:r>
      <w:r w:rsidR="0017115B" w:rsidRPr="00565938">
        <w:rPr>
          <w:rFonts w:eastAsiaTheme="minorHAnsi"/>
          <w:szCs w:val="26"/>
        </w:rPr>
        <w:t>ingre</w:t>
      </w:r>
      <w:r w:rsidR="00DD21F4" w:rsidRPr="00565938">
        <w:rPr>
          <w:rFonts w:eastAsiaTheme="minorHAnsi"/>
          <w:szCs w:val="26"/>
        </w:rPr>
        <w:t xml:space="preserve">sos y </w:t>
      </w:r>
      <w:r w:rsidR="00FA0EF3">
        <w:rPr>
          <w:rFonts w:eastAsiaTheme="minorHAnsi"/>
          <w:szCs w:val="26"/>
        </w:rPr>
        <w:t xml:space="preserve">ciertos </w:t>
      </w:r>
      <w:r w:rsidR="0017115B" w:rsidRPr="00565938">
        <w:rPr>
          <w:rFonts w:eastAsiaTheme="minorHAnsi"/>
          <w:szCs w:val="26"/>
        </w:rPr>
        <w:t>gastos</w:t>
      </w:r>
      <w:r w:rsidR="00FA0EF3">
        <w:rPr>
          <w:rFonts w:eastAsiaTheme="minorHAnsi"/>
          <w:szCs w:val="26"/>
        </w:rPr>
        <w:t xml:space="preserve"> </w:t>
      </w:r>
      <w:r w:rsidR="00DD21F4" w:rsidRPr="00565938">
        <w:rPr>
          <w:rFonts w:eastAsiaTheme="minorHAnsi"/>
          <w:szCs w:val="26"/>
        </w:rPr>
        <w:t xml:space="preserve">teniendo en cuenta la variación de la actividad entre periodos. </w:t>
      </w:r>
    </w:p>
    <w:p w:rsidR="0017115B" w:rsidRPr="00EF20F3" w:rsidRDefault="0017115B" w:rsidP="003D0DE5">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FE4B6C">
        <w:rPr>
          <w:rFonts w:cs="Arial"/>
        </w:rPr>
        <w:t>Fase II (2013-2015)</w:t>
      </w:r>
      <w:r w:rsidRPr="00EF20F3">
        <w:rPr>
          <w:rFonts w:cs="Arial"/>
        </w:rPr>
        <w:t xml:space="preserve">. </w:t>
      </w:r>
      <w:r w:rsidR="00FA0EF3">
        <w:rPr>
          <w:rFonts w:cs="Arial"/>
        </w:rPr>
        <w:t>En e</w:t>
      </w:r>
      <w:r w:rsidRPr="00EF20F3">
        <w:rPr>
          <w:rFonts w:cs="Arial"/>
        </w:rPr>
        <w:t xml:space="preserve">sta segunda fase, </w:t>
      </w:r>
      <w:r w:rsidR="00FA0EF3">
        <w:rPr>
          <w:rFonts w:cs="Arial"/>
        </w:rPr>
        <w:t xml:space="preserve">en ejecución </w:t>
      </w:r>
      <w:r w:rsidRPr="00EF20F3">
        <w:rPr>
          <w:rFonts w:cs="Arial"/>
        </w:rPr>
        <w:t>del II Plan de O</w:t>
      </w:r>
      <w:r w:rsidRPr="00EF20F3">
        <w:rPr>
          <w:rFonts w:cs="Arial"/>
        </w:rPr>
        <w:t>r</w:t>
      </w:r>
      <w:r w:rsidRPr="00EF20F3">
        <w:rPr>
          <w:rFonts w:cs="Arial"/>
        </w:rPr>
        <w:t xml:space="preserve">denación, </w:t>
      </w:r>
      <w:r w:rsidR="00FA0EF3">
        <w:rPr>
          <w:rFonts w:cs="Arial"/>
        </w:rPr>
        <w:t>s</w:t>
      </w:r>
      <w:r w:rsidRPr="00EF20F3">
        <w:rPr>
          <w:rFonts w:cs="Arial"/>
        </w:rPr>
        <w:t>e distinguen tres tipos de medidas:</w:t>
      </w:r>
    </w:p>
    <w:p w:rsidR="004B58D4" w:rsidRDefault="00703C86" w:rsidP="003D0DE5">
      <w:pPr>
        <w:pStyle w:val="texto"/>
        <w:spacing w:after="180"/>
        <w:rPr>
          <w:rFonts w:eastAsiaTheme="minorHAnsi"/>
          <w:szCs w:val="26"/>
        </w:rPr>
      </w:pPr>
      <w:r>
        <w:rPr>
          <w:rFonts w:eastAsiaTheme="minorHAnsi"/>
          <w:szCs w:val="26"/>
        </w:rPr>
        <w:t xml:space="preserve">a) </w:t>
      </w:r>
      <w:r w:rsidR="0017115B" w:rsidRPr="00177E5A">
        <w:rPr>
          <w:rFonts w:eastAsiaTheme="minorHAnsi"/>
          <w:szCs w:val="26"/>
        </w:rPr>
        <w:t>Ahorro</w:t>
      </w:r>
      <w:r w:rsidR="000F6FB5">
        <w:rPr>
          <w:rFonts w:eastAsiaTheme="minorHAnsi"/>
          <w:szCs w:val="26"/>
        </w:rPr>
        <w:t>s</w:t>
      </w:r>
      <w:r w:rsidR="0017115B" w:rsidRPr="00177E5A">
        <w:rPr>
          <w:rFonts w:eastAsiaTheme="minorHAnsi"/>
          <w:szCs w:val="26"/>
        </w:rPr>
        <w:t xml:space="preserve"> </w:t>
      </w:r>
      <w:r w:rsidR="000F6FB5">
        <w:rPr>
          <w:rFonts w:eastAsiaTheme="minorHAnsi"/>
          <w:szCs w:val="26"/>
        </w:rPr>
        <w:t xml:space="preserve">en </w:t>
      </w:r>
      <w:r w:rsidR="0017115B" w:rsidRPr="00177E5A">
        <w:rPr>
          <w:rFonts w:eastAsiaTheme="minorHAnsi"/>
          <w:szCs w:val="26"/>
        </w:rPr>
        <w:t xml:space="preserve">personal. </w:t>
      </w:r>
      <w:r w:rsidR="004B58D4">
        <w:rPr>
          <w:rFonts w:eastAsiaTheme="minorHAnsi"/>
          <w:szCs w:val="26"/>
        </w:rPr>
        <w:t xml:space="preserve">A diferencia del cálculo en términos de coste medio por las variaciones de plantilla en la fase anterior, en esta fase, los ahorros se establecen por el coste concreto de cada una de las medidas de reducción de plantilla que se adoptaron. </w:t>
      </w:r>
    </w:p>
    <w:p w:rsidR="0017115B" w:rsidRPr="00DD21F4" w:rsidRDefault="00703C86" w:rsidP="003D0DE5">
      <w:pPr>
        <w:pStyle w:val="texto"/>
        <w:spacing w:after="180"/>
        <w:rPr>
          <w:rFonts w:eastAsiaTheme="minorHAnsi"/>
          <w:szCs w:val="26"/>
        </w:rPr>
      </w:pPr>
      <w:r w:rsidRPr="00DD21F4">
        <w:rPr>
          <w:rFonts w:eastAsiaTheme="minorHAnsi"/>
          <w:szCs w:val="26"/>
        </w:rPr>
        <w:t xml:space="preserve">b) </w:t>
      </w:r>
      <w:r w:rsidR="0017115B" w:rsidRPr="00DD21F4">
        <w:rPr>
          <w:rFonts w:eastAsiaTheme="minorHAnsi"/>
          <w:szCs w:val="26"/>
        </w:rPr>
        <w:t xml:space="preserve">Ahorro en costes operativos. Se matiza el indicador </w:t>
      </w:r>
      <w:r w:rsidR="002C61E2">
        <w:rPr>
          <w:rFonts w:eastAsiaTheme="minorHAnsi"/>
          <w:szCs w:val="26"/>
        </w:rPr>
        <w:t>que relaciona ingr</w:t>
      </w:r>
      <w:r w:rsidR="002C61E2">
        <w:rPr>
          <w:rFonts w:eastAsiaTheme="minorHAnsi"/>
          <w:szCs w:val="26"/>
        </w:rPr>
        <w:t>e</w:t>
      </w:r>
      <w:r w:rsidR="002C61E2">
        <w:rPr>
          <w:rFonts w:eastAsiaTheme="minorHAnsi"/>
          <w:szCs w:val="26"/>
        </w:rPr>
        <w:t xml:space="preserve">sos y gastos </w:t>
      </w:r>
      <w:r w:rsidR="0017115B" w:rsidRPr="00DD21F4">
        <w:rPr>
          <w:rFonts w:eastAsiaTheme="minorHAnsi"/>
          <w:szCs w:val="26"/>
        </w:rPr>
        <w:t xml:space="preserve">adecuándolo a la realidad de </w:t>
      </w:r>
      <w:r w:rsidR="004B58D4">
        <w:rPr>
          <w:rFonts w:eastAsiaTheme="minorHAnsi"/>
          <w:szCs w:val="26"/>
        </w:rPr>
        <w:t>algunas sociedades</w:t>
      </w:r>
      <w:r w:rsidR="0017115B" w:rsidRPr="00DD21F4">
        <w:rPr>
          <w:rFonts w:eastAsiaTheme="minorHAnsi"/>
          <w:szCs w:val="26"/>
        </w:rPr>
        <w:t xml:space="preserve">. </w:t>
      </w:r>
    </w:p>
    <w:p w:rsidR="00DF6A0F" w:rsidRDefault="00703C86" w:rsidP="003D0DE5">
      <w:pPr>
        <w:pStyle w:val="texto"/>
        <w:spacing w:after="180"/>
        <w:rPr>
          <w:rFonts w:eastAsiaTheme="minorHAnsi"/>
          <w:szCs w:val="26"/>
        </w:rPr>
      </w:pPr>
      <w:r w:rsidRPr="00DF6A0F">
        <w:rPr>
          <w:rFonts w:eastAsiaTheme="minorHAnsi"/>
          <w:szCs w:val="26"/>
        </w:rPr>
        <w:t xml:space="preserve">c) </w:t>
      </w:r>
      <w:r w:rsidR="00D854BA" w:rsidRPr="00DF6A0F">
        <w:rPr>
          <w:rFonts w:eastAsiaTheme="minorHAnsi"/>
          <w:szCs w:val="26"/>
        </w:rPr>
        <w:t>Otras medidas</w:t>
      </w:r>
      <w:r w:rsidR="002C61E2" w:rsidRPr="00DF6A0F">
        <w:rPr>
          <w:rFonts w:eastAsiaTheme="minorHAnsi"/>
          <w:szCs w:val="26"/>
        </w:rPr>
        <w:t xml:space="preserve"> tales como la r</w:t>
      </w:r>
      <w:r w:rsidR="0017115B" w:rsidRPr="00DF6A0F">
        <w:rPr>
          <w:rFonts w:eastAsiaTheme="minorHAnsi"/>
          <w:szCs w:val="26"/>
        </w:rPr>
        <w:t>efinanciación</w:t>
      </w:r>
      <w:r w:rsidR="000F6FB5" w:rsidRPr="00DF6A0F">
        <w:rPr>
          <w:rFonts w:eastAsiaTheme="minorHAnsi"/>
          <w:szCs w:val="26"/>
        </w:rPr>
        <w:t xml:space="preserve"> de la deuda</w:t>
      </w:r>
      <w:r w:rsidR="0017115B" w:rsidRPr="00DF6A0F">
        <w:rPr>
          <w:rFonts w:eastAsiaTheme="minorHAnsi"/>
          <w:szCs w:val="26"/>
        </w:rPr>
        <w:t xml:space="preserve">, externalización </w:t>
      </w:r>
      <w:r w:rsidR="000F6FB5" w:rsidRPr="00DF6A0F">
        <w:rPr>
          <w:rFonts w:eastAsiaTheme="minorHAnsi"/>
          <w:szCs w:val="26"/>
        </w:rPr>
        <w:t xml:space="preserve">de la gestión del Circuito de </w:t>
      </w:r>
      <w:r w:rsidR="00FA0EF3" w:rsidRPr="00DF6A0F">
        <w:rPr>
          <w:rFonts w:eastAsiaTheme="minorHAnsi"/>
          <w:szCs w:val="26"/>
        </w:rPr>
        <w:t xml:space="preserve">Los Arcos </w:t>
      </w:r>
      <w:r w:rsidR="0017115B" w:rsidRPr="00DF6A0F">
        <w:rPr>
          <w:rFonts w:eastAsiaTheme="minorHAnsi"/>
          <w:szCs w:val="26"/>
        </w:rPr>
        <w:t xml:space="preserve">y modificación </w:t>
      </w:r>
      <w:r w:rsidR="000F6FB5" w:rsidRPr="00DF6A0F">
        <w:rPr>
          <w:rFonts w:eastAsiaTheme="minorHAnsi"/>
          <w:szCs w:val="26"/>
        </w:rPr>
        <w:t xml:space="preserve">en la </w:t>
      </w:r>
      <w:r w:rsidR="0017115B" w:rsidRPr="00DF6A0F">
        <w:rPr>
          <w:rFonts w:eastAsiaTheme="minorHAnsi"/>
          <w:szCs w:val="26"/>
        </w:rPr>
        <w:t xml:space="preserve">retribución </w:t>
      </w:r>
      <w:r w:rsidR="000F6FB5" w:rsidRPr="00DF6A0F">
        <w:rPr>
          <w:rFonts w:eastAsiaTheme="minorHAnsi"/>
          <w:szCs w:val="26"/>
        </w:rPr>
        <w:t xml:space="preserve">de </w:t>
      </w:r>
      <w:r w:rsidR="0017115B" w:rsidRPr="00DF6A0F">
        <w:rPr>
          <w:rFonts w:eastAsiaTheme="minorHAnsi"/>
          <w:szCs w:val="26"/>
        </w:rPr>
        <w:t>d</w:t>
      </w:r>
      <w:r w:rsidR="0017115B" w:rsidRPr="00DF6A0F">
        <w:rPr>
          <w:rFonts w:eastAsiaTheme="minorHAnsi"/>
          <w:szCs w:val="26"/>
        </w:rPr>
        <w:t>i</w:t>
      </w:r>
      <w:r w:rsidR="0017115B" w:rsidRPr="00DF6A0F">
        <w:rPr>
          <w:rFonts w:eastAsiaTheme="minorHAnsi"/>
          <w:szCs w:val="26"/>
        </w:rPr>
        <w:t>rectivos.</w:t>
      </w:r>
    </w:p>
    <w:p w:rsidR="008243E9" w:rsidRDefault="008243E9" w:rsidP="00A41D6D">
      <w:pPr>
        <w:pStyle w:val="texto"/>
        <w:spacing w:after="180"/>
        <w:rPr>
          <w:rFonts w:eastAsiaTheme="minorHAnsi"/>
          <w:szCs w:val="26"/>
        </w:rPr>
      </w:pPr>
    </w:p>
    <w:p w:rsidR="005D0D45" w:rsidRDefault="005D0D45" w:rsidP="00A41D6D">
      <w:pPr>
        <w:pStyle w:val="texto"/>
        <w:spacing w:after="180"/>
        <w:rPr>
          <w:rFonts w:eastAsiaTheme="minorHAnsi"/>
          <w:szCs w:val="26"/>
        </w:rPr>
      </w:pPr>
    </w:p>
    <w:p w:rsidR="008243E9" w:rsidRDefault="0017115B" w:rsidP="00B360BE">
      <w:pPr>
        <w:pStyle w:val="texto"/>
        <w:spacing w:after="120"/>
        <w:rPr>
          <w:rFonts w:eastAsiaTheme="minorHAnsi"/>
          <w:spacing w:val="4"/>
          <w:szCs w:val="26"/>
        </w:rPr>
      </w:pPr>
      <w:r w:rsidRPr="00277FAA">
        <w:rPr>
          <w:rFonts w:eastAsiaTheme="minorHAnsi"/>
          <w:spacing w:val="4"/>
          <w:szCs w:val="26"/>
        </w:rPr>
        <w:lastRenderedPageBreak/>
        <w:t xml:space="preserve">En el siguiente cuadro se detalla un resumen de </w:t>
      </w:r>
      <w:r w:rsidR="007A08D1" w:rsidRPr="00277FAA">
        <w:rPr>
          <w:rFonts w:eastAsiaTheme="minorHAnsi"/>
          <w:spacing w:val="4"/>
          <w:szCs w:val="26"/>
        </w:rPr>
        <w:t>l</w:t>
      </w:r>
      <w:r w:rsidR="00FA0EF3" w:rsidRPr="00277FAA">
        <w:rPr>
          <w:rFonts w:eastAsiaTheme="minorHAnsi"/>
          <w:spacing w:val="4"/>
          <w:szCs w:val="26"/>
        </w:rPr>
        <w:t xml:space="preserve">a estimación de </w:t>
      </w:r>
      <w:r w:rsidR="002C61E2">
        <w:rPr>
          <w:rFonts w:eastAsiaTheme="minorHAnsi"/>
          <w:spacing w:val="4"/>
          <w:szCs w:val="26"/>
        </w:rPr>
        <w:t>33,</w:t>
      </w:r>
      <w:r w:rsidR="007A08D1" w:rsidRPr="00277FAA">
        <w:rPr>
          <w:rFonts w:eastAsiaTheme="minorHAnsi"/>
          <w:spacing w:val="4"/>
          <w:szCs w:val="26"/>
        </w:rPr>
        <w:t>45</w:t>
      </w:r>
      <w:r w:rsidR="002C61E2">
        <w:rPr>
          <w:rFonts w:eastAsiaTheme="minorHAnsi"/>
          <w:spacing w:val="4"/>
          <w:szCs w:val="26"/>
        </w:rPr>
        <w:t xml:space="preserve"> mill</w:t>
      </w:r>
      <w:r w:rsidR="002C61E2">
        <w:rPr>
          <w:rFonts w:eastAsiaTheme="minorHAnsi"/>
          <w:spacing w:val="4"/>
          <w:szCs w:val="26"/>
        </w:rPr>
        <w:t>o</w:t>
      </w:r>
      <w:r w:rsidR="002C61E2">
        <w:rPr>
          <w:rFonts w:eastAsiaTheme="minorHAnsi"/>
          <w:spacing w:val="4"/>
          <w:szCs w:val="26"/>
        </w:rPr>
        <w:t xml:space="preserve">nes </w:t>
      </w:r>
      <w:r w:rsidR="00FA0EF3" w:rsidRPr="00277FAA">
        <w:rPr>
          <w:rFonts w:eastAsiaTheme="minorHAnsi"/>
          <w:spacing w:val="4"/>
          <w:szCs w:val="26"/>
        </w:rPr>
        <w:t>de euros y</w:t>
      </w:r>
      <w:r w:rsidR="0067466E">
        <w:rPr>
          <w:rFonts w:eastAsiaTheme="minorHAnsi"/>
          <w:spacing w:val="4"/>
          <w:szCs w:val="26"/>
        </w:rPr>
        <w:t xml:space="preserve"> agrupada</w:t>
      </w:r>
      <w:r w:rsidR="005D0D45">
        <w:rPr>
          <w:rFonts w:eastAsiaTheme="minorHAnsi"/>
          <w:spacing w:val="4"/>
          <w:szCs w:val="26"/>
        </w:rPr>
        <w:t xml:space="preserve"> por tipo de medidas:</w:t>
      </w:r>
    </w:p>
    <w:p w:rsidR="009E41BD" w:rsidRPr="002E30FE" w:rsidRDefault="00B360BE" w:rsidP="00B360BE">
      <w:pPr>
        <w:pStyle w:val="texto"/>
        <w:spacing w:after="100"/>
        <w:ind w:left="3164"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3F32F3">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71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99"/>
        <w:gridCol w:w="3119"/>
        <w:gridCol w:w="2192"/>
      </w:tblGrid>
      <w:tr w:rsidR="0017115B" w:rsidRPr="008243E9" w:rsidTr="00561278">
        <w:trPr>
          <w:trHeight w:val="300"/>
          <w:jc w:val="center"/>
        </w:trPr>
        <w:tc>
          <w:tcPr>
            <w:tcW w:w="3399" w:type="dxa"/>
            <w:tcBorders>
              <w:top w:val="nil"/>
            </w:tcBorders>
            <w:shd w:val="clear" w:color="auto" w:fill="auto"/>
            <w:noWrap/>
            <w:vAlign w:val="bottom"/>
            <w:hideMark/>
          </w:tcPr>
          <w:p w:rsidR="0017115B" w:rsidRPr="008437A2" w:rsidRDefault="0017115B" w:rsidP="00FA1C94">
            <w:pPr>
              <w:spacing w:after="0"/>
              <w:ind w:firstLine="0"/>
              <w:jc w:val="left"/>
              <w:rPr>
                <w:rFonts w:ascii="Arial" w:hAnsi="Arial" w:cs="Arial"/>
                <w:color w:val="000000"/>
                <w:sz w:val="16"/>
                <w:szCs w:val="16"/>
                <w:lang w:val="es-ES" w:eastAsia="es-ES"/>
              </w:rPr>
            </w:pPr>
          </w:p>
        </w:tc>
        <w:tc>
          <w:tcPr>
            <w:tcW w:w="3119" w:type="dxa"/>
            <w:tcBorders>
              <w:top w:val="nil"/>
            </w:tcBorders>
            <w:shd w:val="clear" w:color="auto" w:fill="auto"/>
            <w:noWrap/>
            <w:vAlign w:val="bottom"/>
            <w:hideMark/>
          </w:tcPr>
          <w:p w:rsidR="0017115B" w:rsidRPr="008437A2" w:rsidRDefault="0017115B" w:rsidP="00FA1C94">
            <w:pPr>
              <w:spacing w:after="0"/>
              <w:ind w:firstLine="0"/>
              <w:jc w:val="left"/>
              <w:rPr>
                <w:rFonts w:ascii="Arial" w:hAnsi="Arial" w:cs="Arial"/>
                <w:color w:val="000000"/>
                <w:sz w:val="16"/>
                <w:szCs w:val="16"/>
                <w:lang w:val="es-ES" w:eastAsia="es-ES"/>
              </w:rPr>
            </w:pPr>
          </w:p>
        </w:tc>
        <w:tc>
          <w:tcPr>
            <w:tcW w:w="2192" w:type="dxa"/>
            <w:tcBorders>
              <w:top w:val="single" w:sz="4" w:space="0" w:color="auto"/>
            </w:tcBorders>
            <w:shd w:val="clear" w:color="auto" w:fill="8DB3E2" w:themeFill="text2" w:themeFillTint="66"/>
            <w:noWrap/>
            <w:vAlign w:val="center"/>
            <w:hideMark/>
          </w:tcPr>
          <w:p w:rsidR="0017115B" w:rsidRPr="008437A2" w:rsidRDefault="001A0244" w:rsidP="009E41BD">
            <w:pPr>
              <w:spacing w:after="0"/>
              <w:ind w:firstLine="0"/>
              <w:jc w:val="right"/>
              <w:rPr>
                <w:rFonts w:ascii="Arial" w:hAnsi="Arial" w:cs="Arial"/>
                <w:b/>
                <w:bCs/>
                <w:color w:val="000000"/>
                <w:sz w:val="16"/>
                <w:szCs w:val="16"/>
                <w:lang w:val="es-ES" w:eastAsia="es-ES"/>
              </w:rPr>
            </w:pPr>
            <w:r w:rsidRPr="008437A2">
              <w:rPr>
                <w:rFonts w:ascii="Arial" w:hAnsi="Arial" w:cs="Arial"/>
                <w:b/>
                <w:bCs/>
                <w:color w:val="000000"/>
                <w:sz w:val="16"/>
                <w:szCs w:val="16"/>
                <w:lang w:val="es-ES" w:eastAsia="es-ES"/>
              </w:rPr>
              <w:t>Tota</w:t>
            </w:r>
            <w:r w:rsidR="008243E9">
              <w:rPr>
                <w:rFonts w:ascii="Arial" w:hAnsi="Arial" w:cs="Arial"/>
                <w:b/>
                <w:bCs/>
                <w:color w:val="000000"/>
                <w:sz w:val="16"/>
                <w:szCs w:val="16"/>
                <w:lang w:val="es-ES" w:eastAsia="es-ES"/>
              </w:rPr>
              <w:t xml:space="preserve">l </w:t>
            </w:r>
          </w:p>
        </w:tc>
      </w:tr>
      <w:tr w:rsidR="0017115B" w:rsidRPr="008437A2" w:rsidTr="008243E9">
        <w:trPr>
          <w:trHeight w:val="300"/>
          <w:jc w:val="center"/>
        </w:trPr>
        <w:tc>
          <w:tcPr>
            <w:tcW w:w="6518" w:type="dxa"/>
            <w:gridSpan w:val="2"/>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xml:space="preserve">1. </w:t>
            </w:r>
            <w:r w:rsidR="00C32493">
              <w:rPr>
                <w:rFonts w:ascii="Arial" w:hAnsi="Arial" w:cs="Arial"/>
                <w:color w:val="000000"/>
                <w:sz w:val="16"/>
                <w:szCs w:val="16"/>
                <w:lang w:val="es-ES" w:eastAsia="es-ES"/>
              </w:rPr>
              <w:t>Ahorros en</w:t>
            </w:r>
            <w:r w:rsidR="002940A8" w:rsidRPr="008437A2">
              <w:rPr>
                <w:rFonts w:ascii="Arial" w:hAnsi="Arial" w:cs="Arial"/>
                <w:color w:val="000000"/>
                <w:sz w:val="16"/>
                <w:szCs w:val="16"/>
                <w:lang w:val="es-ES" w:eastAsia="es-ES"/>
              </w:rPr>
              <w:t xml:space="preserve"> personal</w:t>
            </w:r>
          </w:p>
        </w:tc>
        <w:tc>
          <w:tcPr>
            <w:tcW w:w="2192" w:type="dxa"/>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9.045</w:t>
            </w:r>
          </w:p>
        </w:tc>
      </w:tr>
      <w:tr w:rsidR="0017115B" w:rsidRPr="008437A2" w:rsidTr="008243E9">
        <w:trPr>
          <w:trHeight w:val="300"/>
          <w:jc w:val="center"/>
        </w:trPr>
        <w:tc>
          <w:tcPr>
            <w:tcW w:w="6518" w:type="dxa"/>
            <w:gridSpan w:val="2"/>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xml:space="preserve">2. </w:t>
            </w:r>
            <w:r w:rsidR="002940A8" w:rsidRPr="008437A2">
              <w:rPr>
                <w:rFonts w:ascii="Arial" w:hAnsi="Arial" w:cs="Arial"/>
                <w:color w:val="000000"/>
                <w:sz w:val="16"/>
                <w:szCs w:val="16"/>
                <w:lang w:val="es-ES" w:eastAsia="es-ES"/>
              </w:rPr>
              <w:t>Ahorros en costes operativos</w:t>
            </w:r>
          </w:p>
        </w:tc>
        <w:tc>
          <w:tcPr>
            <w:tcW w:w="2192" w:type="dxa"/>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20.402</w:t>
            </w:r>
          </w:p>
        </w:tc>
      </w:tr>
      <w:tr w:rsidR="0017115B" w:rsidRPr="008437A2" w:rsidTr="00561278">
        <w:trPr>
          <w:trHeight w:val="300"/>
          <w:jc w:val="center"/>
        </w:trPr>
        <w:tc>
          <w:tcPr>
            <w:tcW w:w="3399" w:type="dxa"/>
            <w:tcBorders>
              <w:bottom w:val="single" w:sz="4" w:space="0" w:color="auto"/>
            </w:tcBorders>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xml:space="preserve">3. </w:t>
            </w:r>
            <w:r w:rsidR="002940A8" w:rsidRPr="008437A2">
              <w:rPr>
                <w:rFonts w:ascii="Arial" w:hAnsi="Arial" w:cs="Arial"/>
                <w:color w:val="000000"/>
                <w:sz w:val="16"/>
                <w:szCs w:val="16"/>
                <w:lang w:val="es-ES" w:eastAsia="es-ES"/>
              </w:rPr>
              <w:t>Otras medidas concretas de ahorros</w:t>
            </w:r>
          </w:p>
        </w:tc>
        <w:tc>
          <w:tcPr>
            <w:tcW w:w="3119" w:type="dxa"/>
            <w:tcBorders>
              <w:bottom w:val="single" w:sz="4" w:space="0" w:color="auto"/>
            </w:tcBorders>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w:t>
            </w:r>
          </w:p>
        </w:tc>
        <w:tc>
          <w:tcPr>
            <w:tcW w:w="2192" w:type="dxa"/>
            <w:tcBorders>
              <w:bottom w:val="single" w:sz="4" w:space="0" w:color="auto"/>
            </w:tcBorders>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5.218</w:t>
            </w:r>
          </w:p>
        </w:tc>
      </w:tr>
      <w:tr w:rsidR="0017115B" w:rsidRPr="008437A2" w:rsidTr="00561278">
        <w:trPr>
          <w:trHeight w:val="255"/>
          <w:jc w:val="center"/>
        </w:trPr>
        <w:tc>
          <w:tcPr>
            <w:tcW w:w="3399" w:type="dxa"/>
            <w:tcBorders>
              <w:top w:val="single" w:sz="2" w:space="0" w:color="auto"/>
              <w:bottom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p>
        </w:tc>
        <w:tc>
          <w:tcPr>
            <w:tcW w:w="3119" w:type="dxa"/>
            <w:tcBorders>
              <w:top w:val="single" w:sz="2" w:space="0" w:color="auto"/>
              <w:bottom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SODENA- Refinanciación deuda</w:t>
            </w:r>
          </w:p>
        </w:tc>
        <w:tc>
          <w:tcPr>
            <w:tcW w:w="2192" w:type="dxa"/>
            <w:tcBorders>
              <w:top w:val="single" w:sz="2" w:space="0" w:color="auto"/>
              <w:bottom w:val="single" w:sz="2" w:space="0" w:color="auto"/>
            </w:tcBorders>
            <w:shd w:val="clear" w:color="auto" w:fill="auto"/>
            <w:noWrap/>
            <w:vAlign w:val="center"/>
            <w:hideMark/>
          </w:tcPr>
          <w:p w:rsidR="0017115B" w:rsidRPr="008437A2" w:rsidRDefault="0017115B" w:rsidP="008437A2">
            <w:pPr>
              <w:spacing w:after="0"/>
              <w:ind w:firstLine="0"/>
              <w:jc w:val="righ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3.039</w:t>
            </w:r>
          </w:p>
        </w:tc>
      </w:tr>
      <w:tr w:rsidR="0017115B" w:rsidRPr="008437A2" w:rsidTr="00561278">
        <w:trPr>
          <w:trHeight w:val="255"/>
          <w:jc w:val="center"/>
        </w:trPr>
        <w:tc>
          <w:tcPr>
            <w:tcW w:w="3399" w:type="dxa"/>
            <w:tcBorders>
              <w:top w:val="single" w:sz="2" w:space="0" w:color="auto"/>
              <w:bottom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p>
        </w:tc>
        <w:tc>
          <w:tcPr>
            <w:tcW w:w="3119" w:type="dxa"/>
            <w:tcBorders>
              <w:top w:val="single" w:sz="2" w:space="0" w:color="auto"/>
              <w:bottom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CAT- Refinanciación deuda</w:t>
            </w:r>
          </w:p>
        </w:tc>
        <w:tc>
          <w:tcPr>
            <w:tcW w:w="2192" w:type="dxa"/>
            <w:tcBorders>
              <w:top w:val="single" w:sz="2" w:space="0" w:color="auto"/>
              <w:bottom w:val="single" w:sz="2" w:space="0" w:color="auto"/>
            </w:tcBorders>
            <w:shd w:val="clear" w:color="auto" w:fill="auto"/>
            <w:noWrap/>
            <w:vAlign w:val="center"/>
            <w:hideMark/>
          </w:tcPr>
          <w:p w:rsidR="0017115B" w:rsidRPr="008437A2" w:rsidRDefault="0017115B" w:rsidP="008437A2">
            <w:pPr>
              <w:spacing w:after="0"/>
              <w:ind w:firstLine="0"/>
              <w:jc w:val="righ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642</w:t>
            </w:r>
          </w:p>
        </w:tc>
      </w:tr>
      <w:tr w:rsidR="00673EB0" w:rsidRPr="008437A2" w:rsidTr="00561278">
        <w:trPr>
          <w:trHeight w:val="255"/>
          <w:jc w:val="center"/>
        </w:trPr>
        <w:tc>
          <w:tcPr>
            <w:tcW w:w="3399" w:type="dxa"/>
            <w:tcBorders>
              <w:top w:val="single" w:sz="2" w:space="0" w:color="auto"/>
              <w:bottom w:val="single" w:sz="2" w:space="0" w:color="auto"/>
            </w:tcBorders>
            <w:shd w:val="clear" w:color="auto" w:fill="auto"/>
            <w:noWrap/>
            <w:vAlign w:val="center"/>
          </w:tcPr>
          <w:p w:rsidR="00673EB0" w:rsidRPr="008437A2" w:rsidRDefault="00673EB0" w:rsidP="00FA1C94">
            <w:pPr>
              <w:spacing w:after="0"/>
              <w:ind w:firstLine="0"/>
              <w:jc w:val="left"/>
              <w:rPr>
                <w:rFonts w:ascii="Arial Narrow" w:hAnsi="Arial Narrow"/>
                <w:color w:val="000000"/>
                <w:sz w:val="17"/>
                <w:szCs w:val="17"/>
                <w:lang w:val="es-ES" w:eastAsia="es-ES"/>
              </w:rPr>
            </w:pPr>
          </w:p>
        </w:tc>
        <w:tc>
          <w:tcPr>
            <w:tcW w:w="3119" w:type="dxa"/>
            <w:tcBorders>
              <w:top w:val="single" w:sz="2" w:space="0" w:color="auto"/>
              <w:bottom w:val="single" w:sz="2" w:space="0" w:color="auto"/>
            </w:tcBorders>
            <w:shd w:val="clear" w:color="auto" w:fill="auto"/>
            <w:noWrap/>
            <w:vAlign w:val="center"/>
          </w:tcPr>
          <w:p w:rsidR="00673EB0" w:rsidRPr="008437A2" w:rsidRDefault="00673EB0" w:rsidP="00FA1C94">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NDO- Externalización Circuito Los Arcos</w:t>
            </w:r>
          </w:p>
        </w:tc>
        <w:tc>
          <w:tcPr>
            <w:tcW w:w="2192" w:type="dxa"/>
            <w:tcBorders>
              <w:top w:val="single" w:sz="2" w:space="0" w:color="auto"/>
              <w:bottom w:val="single" w:sz="2" w:space="0" w:color="auto"/>
            </w:tcBorders>
            <w:shd w:val="clear" w:color="auto" w:fill="auto"/>
            <w:noWrap/>
            <w:vAlign w:val="center"/>
          </w:tcPr>
          <w:p w:rsidR="00673EB0" w:rsidRPr="008437A2" w:rsidRDefault="00673EB0" w:rsidP="008437A2">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1.200</w:t>
            </w:r>
          </w:p>
        </w:tc>
      </w:tr>
      <w:tr w:rsidR="0017115B" w:rsidRPr="008437A2" w:rsidTr="00561278">
        <w:trPr>
          <w:trHeight w:val="255"/>
          <w:jc w:val="center"/>
        </w:trPr>
        <w:tc>
          <w:tcPr>
            <w:tcW w:w="3399" w:type="dxa"/>
            <w:tcBorders>
              <w:top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p>
        </w:tc>
        <w:tc>
          <w:tcPr>
            <w:tcW w:w="3119" w:type="dxa"/>
            <w:tcBorders>
              <w:top w:val="single" w:sz="2" w:space="0" w:color="auto"/>
            </w:tcBorders>
            <w:shd w:val="clear" w:color="auto" w:fill="auto"/>
            <w:noWrap/>
            <w:vAlign w:val="center"/>
            <w:hideMark/>
          </w:tcPr>
          <w:p w:rsidR="0017115B" w:rsidRPr="008437A2" w:rsidRDefault="0017115B" w:rsidP="00FA1C94">
            <w:pPr>
              <w:spacing w:after="0"/>
              <w:ind w:firstLine="0"/>
              <w:jc w:val="lef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Modificación retribución consejeros</w:t>
            </w:r>
          </w:p>
        </w:tc>
        <w:tc>
          <w:tcPr>
            <w:tcW w:w="2192" w:type="dxa"/>
            <w:tcBorders>
              <w:top w:val="single" w:sz="2" w:space="0" w:color="auto"/>
            </w:tcBorders>
            <w:shd w:val="clear" w:color="auto" w:fill="auto"/>
            <w:noWrap/>
            <w:vAlign w:val="center"/>
            <w:hideMark/>
          </w:tcPr>
          <w:p w:rsidR="0017115B" w:rsidRPr="008437A2" w:rsidRDefault="0017115B" w:rsidP="008437A2">
            <w:pPr>
              <w:spacing w:after="0"/>
              <w:ind w:firstLine="0"/>
              <w:jc w:val="right"/>
              <w:rPr>
                <w:rFonts w:ascii="Arial Narrow" w:hAnsi="Arial Narrow"/>
                <w:color w:val="000000"/>
                <w:sz w:val="17"/>
                <w:szCs w:val="17"/>
                <w:lang w:val="es-ES" w:eastAsia="es-ES"/>
              </w:rPr>
            </w:pPr>
            <w:r w:rsidRPr="008437A2">
              <w:rPr>
                <w:rFonts w:ascii="Arial Narrow" w:hAnsi="Arial Narrow"/>
                <w:color w:val="000000"/>
                <w:sz w:val="17"/>
                <w:szCs w:val="17"/>
                <w:lang w:val="es-ES" w:eastAsia="es-ES"/>
              </w:rPr>
              <w:t>337</w:t>
            </w:r>
          </w:p>
        </w:tc>
      </w:tr>
      <w:tr w:rsidR="0017115B" w:rsidRPr="008437A2" w:rsidTr="00561278">
        <w:trPr>
          <w:trHeight w:val="300"/>
          <w:jc w:val="center"/>
        </w:trPr>
        <w:tc>
          <w:tcPr>
            <w:tcW w:w="3399" w:type="dxa"/>
            <w:shd w:val="clear" w:color="000000" w:fill="8DB4E2"/>
            <w:noWrap/>
            <w:vAlign w:val="center"/>
            <w:hideMark/>
          </w:tcPr>
          <w:p w:rsidR="0017115B" w:rsidRPr="008437A2" w:rsidRDefault="002940A8" w:rsidP="00A639C4">
            <w:pPr>
              <w:pStyle w:val="Prrafodelista"/>
              <w:numPr>
                <w:ilvl w:val="0"/>
                <w:numId w:val="3"/>
              </w:numPr>
              <w:spacing w:after="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Total Ahorros</w:t>
            </w:r>
          </w:p>
        </w:tc>
        <w:tc>
          <w:tcPr>
            <w:tcW w:w="3119" w:type="dxa"/>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w:t>
            </w:r>
          </w:p>
        </w:tc>
        <w:tc>
          <w:tcPr>
            <w:tcW w:w="2192" w:type="dxa"/>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34.665</w:t>
            </w:r>
          </w:p>
        </w:tc>
      </w:tr>
      <w:tr w:rsidR="0017115B" w:rsidRPr="008437A2" w:rsidTr="00561278">
        <w:trPr>
          <w:trHeight w:val="255"/>
          <w:jc w:val="center"/>
        </w:trPr>
        <w:tc>
          <w:tcPr>
            <w:tcW w:w="3399" w:type="dxa"/>
            <w:shd w:val="clear" w:color="auto" w:fill="auto"/>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p>
        </w:tc>
        <w:tc>
          <w:tcPr>
            <w:tcW w:w="3119" w:type="dxa"/>
            <w:shd w:val="clear" w:color="auto" w:fill="auto"/>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p>
        </w:tc>
        <w:tc>
          <w:tcPr>
            <w:tcW w:w="2192" w:type="dxa"/>
            <w:shd w:val="clear" w:color="auto" w:fill="auto"/>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p>
        </w:tc>
      </w:tr>
      <w:tr w:rsidR="0017115B" w:rsidRPr="008437A2" w:rsidTr="00561278">
        <w:trPr>
          <w:trHeight w:val="300"/>
          <w:jc w:val="center"/>
        </w:trPr>
        <w:tc>
          <w:tcPr>
            <w:tcW w:w="3399" w:type="dxa"/>
            <w:shd w:val="clear" w:color="000000" w:fill="8DB4E2"/>
            <w:noWrap/>
            <w:vAlign w:val="center"/>
            <w:hideMark/>
          </w:tcPr>
          <w:p w:rsidR="0017115B" w:rsidRPr="008437A2" w:rsidRDefault="002940A8" w:rsidP="00A639C4">
            <w:pPr>
              <w:pStyle w:val="Prrafodelista"/>
              <w:numPr>
                <w:ilvl w:val="0"/>
                <w:numId w:val="3"/>
              </w:numPr>
              <w:spacing w:after="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Total Desahorros</w:t>
            </w:r>
          </w:p>
        </w:tc>
        <w:tc>
          <w:tcPr>
            <w:tcW w:w="3119" w:type="dxa"/>
            <w:shd w:val="clear" w:color="000000" w:fill="8DB4E2"/>
            <w:noWrap/>
            <w:vAlign w:val="bottom"/>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w:t>
            </w:r>
          </w:p>
        </w:tc>
        <w:tc>
          <w:tcPr>
            <w:tcW w:w="2192" w:type="dxa"/>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-1.215</w:t>
            </w:r>
          </w:p>
        </w:tc>
      </w:tr>
      <w:tr w:rsidR="0017115B" w:rsidRPr="008437A2" w:rsidTr="00561278">
        <w:trPr>
          <w:trHeight w:val="255"/>
          <w:jc w:val="center"/>
        </w:trPr>
        <w:tc>
          <w:tcPr>
            <w:tcW w:w="3399" w:type="dxa"/>
            <w:shd w:val="clear" w:color="auto" w:fill="auto"/>
            <w:noWrap/>
            <w:vAlign w:val="bottom"/>
            <w:hideMark/>
          </w:tcPr>
          <w:p w:rsidR="0017115B" w:rsidRPr="008437A2" w:rsidRDefault="0017115B" w:rsidP="00FA1C94">
            <w:pPr>
              <w:spacing w:after="0"/>
              <w:ind w:firstLine="0"/>
              <w:jc w:val="left"/>
              <w:rPr>
                <w:rFonts w:ascii="Arial Narrow" w:hAnsi="Arial Narrow" w:cs="Arial"/>
                <w:color w:val="000000"/>
                <w:sz w:val="17"/>
                <w:szCs w:val="17"/>
                <w:lang w:val="es-ES" w:eastAsia="es-ES"/>
              </w:rPr>
            </w:pPr>
          </w:p>
        </w:tc>
        <w:tc>
          <w:tcPr>
            <w:tcW w:w="3119" w:type="dxa"/>
            <w:shd w:val="clear" w:color="auto" w:fill="auto"/>
            <w:noWrap/>
            <w:vAlign w:val="center"/>
            <w:hideMark/>
          </w:tcPr>
          <w:p w:rsidR="0017115B" w:rsidRPr="008437A2" w:rsidRDefault="0017115B" w:rsidP="00FA1C94">
            <w:pPr>
              <w:spacing w:after="0"/>
              <w:ind w:firstLine="0"/>
              <w:jc w:val="left"/>
              <w:rPr>
                <w:rFonts w:ascii="Arial Narrow" w:hAnsi="Arial Narrow" w:cs="Arial"/>
                <w:color w:val="000000"/>
                <w:sz w:val="17"/>
                <w:szCs w:val="17"/>
                <w:lang w:val="es-ES" w:eastAsia="es-ES"/>
              </w:rPr>
            </w:pPr>
            <w:r w:rsidRPr="008437A2">
              <w:rPr>
                <w:rFonts w:ascii="Arial Narrow" w:hAnsi="Arial Narrow" w:cs="Arial"/>
                <w:color w:val="000000"/>
                <w:sz w:val="17"/>
                <w:szCs w:val="17"/>
                <w:lang w:val="es-ES" w:eastAsia="es-ES"/>
              </w:rPr>
              <w:t>Desahorro paga extra (51%)</w:t>
            </w:r>
          </w:p>
        </w:tc>
        <w:tc>
          <w:tcPr>
            <w:tcW w:w="2192" w:type="dxa"/>
            <w:shd w:val="clear" w:color="auto" w:fill="auto"/>
            <w:noWrap/>
            <w:vAlign w:val="center"/>
            <w:hideMark/>
          </w:tcPr>
          <w:p w:rsidR="0017115B" w:rsidRPr="008437A2" w:rsidRDefault="0017115B" w:rsidP="008437A2">
            <w:pPr>
              <w:spacing w:after="0"/>
              <w:ind w:firstLine="0"/>
              <w:jc w:val="right"/>
              <w:rPr>
                <w:rFonts w:ascii="Arial Narrow" w:hAnsi="Arial Narrow" w:cs="Arial"/>
                <w:color w:val="000000"/>
                <w:sz w:val="17"/>
                <w:szCs w:val="17"/>
                <w:lang w:val="es-ES" w:eastAsia="es-ES"/>
              </w:rPr>
            </w:pPr>
            <w:r w:rsidRPr="008437A2">
              <w:rPr>
                <w:rFonts w:ascii="Arial Narrow" w:hAnsi="Arial Narrow" w:cs="Arial"/>
                <w:color w:val="000000"/>
                <w:sz w:val="17"/>
                <w:szCs w:val="17"/>
                <w:lang w:val="es-ES" w:eastAsia="es-ES"/>
              </w:rPr>
              <w:t>-1.215</w:t>
            </w:r>
          </w:p>
        </w:tc>
      </w:tr>
      <w:tr w:rsidR="0017115B" w:rsidRPr="008437A2" w:rsidTr="00561278">
        <w:trPr>
          <w:trHeight w:val="300"/>
          <w:jc w:val="center"/>
        </w:trPr>
        <w:tc>
          <w:tcPr>
            <w:tcW w:w="3399" w:type="dxa"/>
            <w:shd w:val="clear" w:color="000000" w:fill="8DB4E2"/>
            <w:noWrap/>
            <w:vAlign w:val="center"/>
            <w:hideMark/>
          </w:tcPr>
          <w:p w:rsidR="0017115B" w:rsidRPr="008437A2" w:rsidRDefault="002940A8" w:rsidP="00A639C4">
            <w:pPr>
              <w:pStyle w:val="Prrafodelista"/>
              <w:numPr>
                <w:ilvl w:val="0"/>
                <w:numId w:val="3"/>
              </w:numPr>
              <w:spacing w:after="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xml:space="preserve">Total Ahorros </w:t>
            </w:r>
            <w:r w:rsidR="008243E9">
              <w:rPr>
                <w:rFonts w:ascii="Arial" w:hAnsi="Arial" w:cs="Arial"/>
                <w:color w:val="000000"/>
                <w:sz w:val="16"/>
                <w:szCs w:val="16"/>
                <w:lang w:val="es-ES" w:eastAsia="es-ES"/>
              </w:rPr>
              <w:t xml:space="preserve">(A+ </w:t>
            </w:r>
            <w:r w:rsidR="0017115B" w:rsidRPr="008437A2">
              <w:rPr>
                <w:rFonts w:ascii="Arial" w:hAnsi="Arial" w:cs="Arial"/>
                <w:color w:val="000000"/>
                <w:sz w:val="16"/>
                <w:szCs w:val="16"/>
                <w:lang w:val="es-ES" w:eastAsia="es-ES"/>
              </w:rPr>
              <w:t>B)</w:t>
            </w:r>
          </w:p>
        </w:tc>
        <w:tc>
          <w:tcPr>
            <w:tcW w:w="3119" w:type="dxa"/>
            <w:shd w:val="clear" w:color="000000" w:fill="8DB4E2"/>
            <w:noWrap/>
            <w:vAlign w:val="center"/>
            <w:hideMark/>
          </w:tcPr>
          <w:p w:rsidR="0017115B" w:rsidRPr="008437A2" w:rsidRDefault="0017115B" w:rsidP="00FA1C94">
            <w:pPr>
              <w:spacing w:after="0"/>
              <w:ind w:firstLine="0"/>
              <w:jc w:val="left"/>
              <w:rPr>
                <w:rFonts w:ascii="Arial" w:hAnsi="Arial" w:cs="Arial"/>
                <w:color w:val="000000"/>
                <w:sz w:val="16"/>
                <w:szCs w:val="16"/>
                <w:lang w:val="es-ES" w:eastAsia="es-ES"/>
              </w:rPr>
            </w:pPr>
            <w:r w:rsidRPr="008437A2">
              <w:rPr>
                <w:rFonts w:ascii="Arial" w:hAnsi="Arial" w:cs="Arial"/>
                <w:color w:val="000000"/>
                <w:sz w:val="16"/>
                <w:szCs w:val="16"/>
                <w:lang w:val="es-ES" w:eastAsia="es-ES"/>
              </w:rPr>
              <w:t> </w:t>
            </w:r>
          </w:p>
        </w:tc>
        <w:tc>
          <w:tcPr>
            <w:tcW w:w="2192" w:type="dxa"/>
            <w:shd w:val="clear" w:color="000000" w:fill="8DB4E2"/>
            <w:noWrap/>
            <w:vAlign w:val="center"/>
            <w:hideMark/>
          </w:tcPr>
          <w:p w:rsidR="0017115B" w:rsidRPr="008437A2" w:rsidRDefault="0017115B" w:rsidP="008437A2">
            <w:pPr>
              <w:spacing w:after="0"/>
              <w:ind w:firstLine="0"/>
              <w:jc w:val="right"/>
              <w:rPr>
                <w:rFonts w:ascii="Arial" w:hAnsi="Arial" w:cs="Arial"/>
                <w:color w:val="000000"/>
                <w:sz w:val="16"/>
                <w:szCs w:val="16"/>
                <w:lang w:val="es-ES" w:eastAsia="es-ES"/>
              </w:rPr>
            </w:pPr>
            <w:r w:rsidRPr="008437A2">
              <w:rPr>
                <w:rFonts w:ascii="Arial" w:hAnsi="Arial" w:cs="Arial"/>
                <w:color w:val="000000"/>
                <w:sz w:val="16"/>
                <w:szCs w:val="16"/>
                <w:lang w:val="es-ES" w:eastAsia="es-ES"/>
              </w:rPr>
              <w:t>33.450</w:t>
            </w:r>
          </w:p>
        </w:tc>
      </w:tr>
    </w:tbl>
    <w:p w:rsidR="0017115B" w:rsidRPr="00AD7F66" w:rsidRDefault="00980F55" w:rsidP="004B7E4C">
      <w:pPr>
        <w:pStyle w:val="atitulo3"/>
        <w:spacing w:before="440"/>
        <w:rPr>
          <w:rFonts w:cs="Arial"/>
        </w:rPr>
      </w:pPr>
      <w:bookmarkStart w:id="40" w:name="_Toc521909266"/>
      <w:r>
        <w:rPr>
          <w:rFonts w:cs="Arial"/>
        </w:rPr>
        <w:t>V.2</w:t>
      </w:r>
      <w:r w:rsidR="0017115B" w:rsidRPr="00AD7F66">
        <w:rPr>
          <w:rFonts w:cs="Arial"/>
        </w:rPr>
        <w:t>.2</w:t>
      </w:r>
      <w:r w:rsidR="007F34E2">
        <w:rPr>
          <w:rFonts w:cs="Arial"/>
        </w:rPr>
        <w:t>.2</w:t>
      </w:r>
      <w:r>
        <w:rPr>
          <w:rFonts w:cs="Arial"/>
        </w:rPr>
        <w:t>.</w:t>
      </w:r>
      <w:r w:rsidR="0017115B" w:rsidRPr="00AD7F66">
        <w:rPr>
          <w:rFonts w:cs="Arial"/>
        </w:rPr>
        <w:t xml:space="preserve"> Ahorros en personal</w:t>
      </w:r>
      <w:bookmarkEnd w:id="40"/>
      <w:r w:rsidR="0017115B" w:rsidRPr="00AD7F66">
        <w:rPr>
          <w:rFonts w:cs="Arial"/>
        </w:rPr>
        <w:t xml:space="preserve"> </w:t>
      </w:r>
    </w:p>
    <w:p w:rsidR="00002542" w:rsidRDefault="00BD6756" w:rsidP="00D114D7">
      <w:pPr>
        <w:pStyle w:val="texto"/>
        <w:rPr>
          <w:rFonts w:eastAsiaTheme="minorHAnsi"/>
          <w:szCs w:val="26"/>
        </w:rPr>
      </w:pPr>
      <w:r>
        <w:rPr>
          <w:rFonts w:eastAsiaTheme="minorHAnsi"/>
          <w:szCs w:val="26"/>
        </w:rPr>
        <w:t>L</w:t>
      </w:r>
      <w:r w:rsidR="00FA0EF3">
        <w:rPr>
          <w:rFonts w:eastAsiaTheme="minorHAnsi"/>
          <w:szCs w:val="26"/>
        </w:rPr>
        <w:t xml:space="preserve">a </w:t>
      </w:r>
      <w:r w:rsidR="00002542">
        <w:rPr>
          <w:rFonts w:eastAsiaTheme="minorHAnsi"/>
          <w:szCs w:val="26"/>
        </w:rPr>
        <w:t>información es la siguiente:</w:t>
      </w:r>
    </w:p>
    <w:p w:rsidR="00B36E55" w:rsidRPr="00002542" w:rsidRDefault="00002542" w:rsidP="00D114D7">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before="240" w:after="240"/>
        <w:ind w:left="0" w:firstLine="289"/>
        <w:rPr>
          <w:rFonts w:cs="Arial"/>
        </w:rPr>
      </w:pPr>
      <w:r>
        <w:rPr>
          <w:rFonts w:cs="Arial"/>
        </w:rPr>
        <w:t>E</w:t>
      </w:r>
      <w:r w:rsidR="00FA0EF3" w:rsidRPr="00002542">
        <w:rPr>
          <w:rFonts w:cs="Arial"/>
        </w:rPr>
        <w:t>volución d</w:t>
      </w:r>
      <w:r w:rsidR="008243E9">
        <w:rPr>
          <w:rFonts w:cs="Arial"/>
        </w:rPr>
        <w:t>el personal</w:t>
      </w:r>
      <w:r w:rsidR="008243E9">
        <w:rPr>
          <w:rStyle w:val="Refdenotaalpie"/>
          <w:rFonts w:cs="Arial"/>
        </w:rPr>
        <w:footnoteReference w:id="13"/>
      </w:r>
      <w:r w:rsidR="008243E9">
        <w:rPr>
          <w:rFonts w:cs="Arial"/>
        </w:rPr>
        <w:t xml:space="preserve"> </w:t>
      </w:r>
    </w:p>
    <w:tbl>
      <w:tblPr>
        <w:tblW w:w="8740" w:type="dxa"/>
        <w:jc w:val="center"/>
        <w:tblCellMar>
          <w:left w:w="70" w:type="dxa"/>
          <w:right w:w="70" w:type="dxa"/>
        </w:tblCellMar>
        <w:tblLook w:val="04A0" w:firstRow="1" w:lastRow="0" w:firstColumn="1" w:lastColumn="0" w:noHBand="0" w:noVBand="1"/>
      </w:tblPr>
      <w:tblGrid>
        <w:gridCol w:w="2000"/>
        <w:gridCol w:w="624"/>
        <w:gridCol w:w="624"/>
        <w:gridCol w:w="624"/>
        <w:gridCol w:w="624"/>
        <w:gridCol w:w="624"/>
        <w:gridCol w:w="624"/>
        <w:gridCol w:w="624"/>
        <w:gridCol w:w="1196"/>
        <w:gridCol w:w="1176"/>
      </w:tblGrid>
      <w:tr w:rsidR="00B36E55" w:rsidRPr="00502796" w:rsidTr="00B36E55">
        <w:trPr>
          <w:trHeight w:val="312"/>
          <w:jc w:val="center"/>
        </w:trPr>
        <w:tc>
          <w:tcPr>
            <w:tcW w:w="2000"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FA0EF3">
            <w:pPr>
              <w:spacing w:after="0"/>
              <w:ind w:firstLine="0"/>
              <w:jc w:val="left"/>
              <w:rPr>
                <w:rFonts w:ascii="Arial" w:hAnsi="Arial" w:cs="Arial"/>
                <w:sz w:val="16"/>
                <w:szCs w:val="16"/>
                <w:lang w:val="es-ES" w:eastAsia="es-ES"/>
              </w:rPr>
            </w:pP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2010</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2011</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2012</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2013</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2014</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2015</w:t>
            </w:r>
          </w:p>
        </w:tc>
        <w:tc>
          <w:tcPr>
            <w:tcW w:w="624"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2016</w:t>
            </w:r>
          </w:p>
        </w:tc>
        <w:tc>
          <w:tcPr>
            <w:tcW w:w="1196"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Variación 2016/10</w:t>
            </w:r>
          </w:p>
        </w:tc>
        <w:tc>
          <w:tcPr>
            <w:tcW w:w="1176" w:type="dxa"/>
            <w:tcBorders>
              <w:top w:val="single" w:sz="4" w:space="0" w:color="auto"/>
              <w:bottom w:val="single" w:sz="4" w:space="0" w:color="auto"/>
            </w:tcBorders>
            <w:shd w:val="clear" w:color="auto" w:fill="8DB3E2" w:themeFill="text2" w:themeFillTint="66"/>
            <w:noWrap/>
            <w:vAlign w:val="center"/>
            <w:hideMark/>
          </w:tcPr>
          <w:p w:rsidR="00B36E55" w:rsidRPr="00502796" w:rsidRDefault="00B36E55" w:rsidP="00B36E55">
            <w:pPr>
              <w:spacing w:after="0"/>
              <w:ind w:firstLine="0"/>
              <w:jc w:val="right"/>
              <w:rPr>
                <w:rFonts w:ascii="Arial" w:hAnsi="Arial" w:cs="Arial"/>
                <w:sz w:val="16"/>
                <w:szCs w:val="16"/>
                <w:lang w:val="es-ES" w:eastAsia="es-ES"/>
              </w:rPr>
            </w:pPr>
            <w:r w:rsidRPr="00502796">
              <w:rPr>
                <w:rFonts w:ascii="Arial" w:hAnsi="Arial" w:cs="Arial"/>
                <w:sz w:val="16"/>
                <w:szCs w:val="16"/>
                <w:lang w:val="es-ES" w:eastAsia="es-ES"/>
              </w:rPr>
              <w:t>% Variación</w:t>
            </w:r>
          </w:p>
        </w:tc>
      </w:tr>
      <w:tr w:rsidR="00B36E55" w:rsidRPr="00502796" w:rsidTr="00B36E55">
        <w:trPr>
          <w:trHeight w:val="284"/>
          <w:jc w:val="center"/>
        </w:trPr>
        <w:tc>
          <w:tcPr>
            <w:tcW w:w="2000" w:type="dxa"/>
            <w:tcBorders>
              <w:top w:val="single" w:sz="4" w:space="0" w:color="auto"/>
              <w:bottom w:val="single" w:sz="4" w:space="0" w:color="auto"/>
            </w:tcBorders>
            <w:shd w:val="clear" w:color="auto" w:fill="auto"/>
            <w:noWrap/>
            <w:vAlign w:val="center"/>
            <w:hideMark/>
          </w:tcPr>
          <w:p w:rsidR="00B36E55" w:rsidRPr="00443457" w:rsidRDefault="00B36E55" w:rsidP="00B36E55">
            <w:pPr>
              <w:spacing w:after="0"/>
              <w:ind w:firstLine="0"/>
              <w:jc w:val="left"/>
              <w:rPr>
                <w:rFonts w:ascii="Arial Narrow" w:hAnsi="Arial Narrow" w:cs="Arial"/>
                <w:sz w:val="17"/>
                <w:szCs w:val="17"/>
                <w:lang w:val="es-ES" w:eastAsia="es-ES"/>
              </w:rPr>
            </w:pPr>
            <w:r w:rsidRPr="00443457">
              <w:rPr>
                <w:rFonts w:ascii="Arial Narrow" w:hAnsi="Arial Narrow" w:cs="Arial"/>
                <w:sz w:val="17"/>
                <w:szCs w:val="17"/>
                <w:lang w:val="es-ES" w:eastAsia="es-ES"/>
              </w:rPr>
              <w:t>Número medio trabajadores</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1.283</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1.208</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1.140</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1.046</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1.018</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1.054</w:t>
            </w:r>
          </w:p>
        </w:tc>
        <w:tc>
          <w:tcPr>
            <w:tcW w:w="624"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color w:val="000000"/>
                <w:sz w:val="17"/>
                <w:szCs w:val="17"/>
                <w:lang w:val="es-ES" w:eastAsia="es-ES"/>
              </w:rPr>
            </w:pPr>
            <w:r w:rsidRPr="00502796">
              <w:rPr>
                <w:rFonts w:ascii="Arial Narrow" w:hAnsi="Arial Narrow" w:cs="Arial"/>
                <w:color w:val="000000"/>
                <w:sz w:val="17"/>
                <w:szCs w:val="17"/>
                <w:lang w:val="es-ES" w:eastAsia="es-ES"/>
              </w:rPr>
              <w:t>1.059</w:t>
            </w:r>
          </w:p>
        </w:tc>
        <w:tc>
          <w:tcPr>
            <w:tcW w:w="1196"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sz w:val="17"/>
                <w:szCs w:val="17"/>
                <w:lang w:val="es-ES" w:eastAsia="es-ES"/>
              </w:rPr>
            </w:pPr>
            <w:r w:rsidRPr="00502796">
              <w:rPr>
                <w:rFonts w:ascii="Arial Narrow" w:hAnsi="Arial Narrow" w:cs="Arial"/>
                <w:sz w:val="17"/>
                <w:szCs w:val="17"/>
                <w:lang w:val="es-ES" w:eastAsia="es-ES"/>
              </w:rPr>
              <w:t>-224</w:t>
            </w:r>
          </w:p>
        </w:tc>
        <w:tc>
          <w:tcPr>
            <w:tcW w:w="1176" w:type="dxa"/>
            <w:tcBorders>
              <w:top w:val="single" w:sz="4" w:space="0" w:color="auto"/>
              <w:bottom w:val="single" w:sz="4" w:space="0" w:color="auto"/>
            </w:tcBorders>
            <w:shd w:val="clear" w:color="auto" w:fill="auto"/>
            <w:noWrap/>
            <w:vAlign w:val="center"/>
            <w:hideMark/>
          </w:tcPr>
          <w:p w:rsidR="00B36E55" w:rsidRPr="00502796" w:rsidRDefault="00B36E55" w:rsidP="00B36E55">
            <w:pPr>
              <w:spacing w:after="0"/>
              <w:ind w:firstLine="0"/>
              <w:jc w:val="right"/>
              <w:rPr>
                <w:rFonts w:ascii="Arial Narrow" w:hAnsi="Arial Narrow" w:cs="Arial"/>
                <w:sz w:val="17"/>
                <w:szCs w:val="17"/>
                <w:lang w:val="es-ES" w:eastAsia="es-ES"/>
              </w:rPr>
            </w:pPr>
            <w:r w:rsidRPr="00502796">
              <w:rPr>
                <w:rFonts w:ascii="Arial Narrow" w:hAnsi="Arial Narrow" w:cs="Arial"/>
                <w:sz w:val="17"/>
                <w:szCs w:val="17"/>
                <w:lang w:val="es-ES" w:eastAsia="es-ES"/>
              </w:rPr>
              <w:t>-17%</w:t>
            </w:r>
          </w:p>
        </w:tc>
      </w:tr>
    </w:tbl>
    <w:p w:rsidR="00002542" w:rsidRDefault="00002542" w:rsidP="00A478E9">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before="300" w:after="120"/>
        <w:ind w:left="0" w:firstLine="289"/>
        <w:rPr>
          <w:rFonts w:cs="Arial"/>
        </w:rPr>
      </w:pPr>
      <w:r>
        <w:rPr>
          <w:rFonts w:cs="Arial"/>
        </w:rPr>
        <w:t>Ahorros por ejercicios</w:t>
      </w:r>
    </w:p>
    <w:p w:rsidR="008243E9" w:rsidRDefault="00567C9C" w:rsidP="00567C9C">
      <w:pPr>
        <w:pStyle w:val="texto"/>
        <w:tabs>
          <w:tab w:val="clear" w:pos="2835"/>
          <w:tab w:val="clear" w:pos="3969"/>
          <w:tab w:val="clear" w:pos="5103"/>
          <w:tab w:val="clear" w:pos="6237"/>
          <w:tab w:val="clear" w:pos="7371"/>
          <w:tab w:val="left" w:pos="480"/>
          <w:tab w:val="num" w:pos="1948"/>
        </w:tabs>
        <w:spacing w:after="100"/>
        <w:ind w:left="289" w:firstLine="0"/>
        <w:jc w:val="right"/>
        <w:rPr>
          <w:rFonts w:cs="Arial"/>
        </w:rPr>
      </w:pPr>
      <w:r w:rsidRPr="00862DAE">
        <w:rPr>
          <w:rFonts w:ascii="Arial Narrow" w:hAnsi="Arial Narrow"/>
          <w:sz w:val="16"/>
          <w:szCs w:val="16"/>
        </w:rPr>
        <w:t>(en miles de euros)</w:t>
      </w:r>
    </w:p>
    <w:tbl>
      <w:tblPr>
        <w:tblW w:w="8739"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640"/>
        <w:gridCol w:w="3372"/>
        <w:gridCol w:w="611"/>
        <w:gridCol w:w="586"/>
        <w:gridCol w:w="563"/>
        <w:gridCol w:w="561"/>
        <w:gridCol w:w="563"/>
        <w:gridCol w:w="843"/>
      </w:tblGrid>
      <w:tr w:rsidR="00BD6756" w:rsidRPr="002C61E2" w:rsidTr="001C5D1C">
        <w:trPr>
          <w:trHeight w:val="269"/>
          <w:jc w:val="center"/>
        </w:trPr>
        <w:tc>
          <w:tcPr>
            <w:tcW w:w="1640" w:type="dxa"/>
            <w:shd w:val="clear" w:color="000000" w:fill="8DB3E2"/>
            <w:noWrap/>
            <w:vAlign w:val="center"/>
            <w:hideMark/>
          </w:tcPr>
          <w:p w:rsidR="00BD6756" w:rsidRPr="002C61E2" w:rsidRDefault="00BD6756" w:rsidP="00BD6756">
            <w:pPr>
              <w:spacing w:after="0"/>
              <w:ind w:firstLine="0"/>
              <w:jc w:val="left"/>
              <w:rPr>
                <w:rFonts w:ascii="Arial" w:hAnsi="Arial" w:cs="Arial"/>
                <w:color w:val="000000"/>
                <w:sz w:val="16"/>
                <w:szCs w:val="16"/>
                <w:lang w:val="es-ES" w:eastAsia="es-ES"/>
              </w:rPr>
            </w:pPr>
            <w:r w:rsidRPr="002C61E2">
              <w:rPr>
                <w:rFonts w:ascii="Arial" w:hAnsi="Arial" w:cs="Arial"/>
                <w:color w:val="000000"/>
                <w:sz w:val="16"/>
                <w:szCs w:val="16"/>
                <w:lang w:val="es-ES" w:eastAsia="es-ES"/>
              </w:rPr>
              <w:t> </w:t>
            </w:r>
          </w:p>
        </w:tc>
        <w:tc>
          <w:tcPr>
            <w:tcW w:w="3372"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2011</w:t>
            </w:r>
          </w:p>
        </w:tc>
        <w:tc>
          <w:tcPr>
            <w:tcW w:w="611"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2012</w:t>
            </w:r>
          </w:p>
        </w:tc>
        <w:tc>
          <w:tcPr>
            <w:tcW w:w="586"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2013</w:t>
            </w:r>
          </w:p>
        </w:tc>
        <w:tc>
          <w:tcPr>
            <w:tcW w:w="563"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2014</w:t>
            </w:r>
          </w:p>
        </w:tc>
        <w:tc>
          <w:tcPr>
            <w:tcW w:w="561"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2015</w:t>
            </w:r>
          </w:p>
        </w:tc>
        <w:tc>
          <w:tcPr>
            <w:tcW w:w="563" w:type="dxa"/>
            <w:shd w:val="clear" w:color="000000" w:fill="8DB3E2"/>
            <w:noWrap/>
            <w:vAlign w:val="center"/>
            <w:hideMark/>
          </w:tcPr>
          <w:p w:rsidR="00BD6756" w:rsidRPr="002C61E2" w:rsidRDefault="00BD6756"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2016</w:t>
            </w:r>
          </w:p>
        </w:tc>
        <w:tc>
          <w:tcPr>
            <w:tcW w:w="843" w:type="dxa"/>
            <w:shd w:val="clear" w:color="000000" w:fill="8DB3E2"/>
            <w:noWrap/>
            <w:vAlign w:val="center"/>
            <w:hideMark/>
          </w:tcPr>
          <w:p w:rsidR="00BD6756" w:rsidRPr="002C61E2" w:rsidRDefault="00102DA7" w:rsidP="00BD6756">
            <w:pPr>
              <w:spacing w:after="0"/>
              <w:ind w:firstLine="0"/>
              <w:jc w:val="right"/>
              <w:rPr>
                <w:rFonts w:ascii="Arial" w:hAnsi="Arial" w:cs="Arial"/>
                <w:color w:val="000000"/>
                <w:sz w:val="16"/>
                <w:szCs w:val="16"/>
                <w:lang w:val="es-ES" w:eastAsia="es-ES"/>
              </w:rPr>
            </w:pPr>
            <w:r w:rsidRPr="002C61E2">
              <w:rPr>
                <w:rFonts w:ascii="Arial" w:hAnsi="Arial" w:cs="Arial"/>
                <w:color w:val="000000"/>
                <w:sz w:val="16"/>
                <w:szCs w:val="16"/>
                <w:lang w:val="es-ES" w:eastAsia="es-ES"/>
              </w:rPr>
              <w:t>Total</w:t>
            </w:r>
          </w:p>
        </w:tc>
      </w:tr>
      <w:tr w:rsidR="00BD6756" w:rsidRPr="002C61E2" w:rsidTr="001C5D1C">
        <w:trPr>
          <w:trHeight w:val="315"/>
          <w:jc w:val="center"/>
        </w:trPr>
        <w:tc>
          <w:tcPr>
            <w:tcW w:w="1640" w:type="dxa"/>
            <w:shd w:val="clear" w:color="auto" w:fill="auto"/>
            <w:noWrap/>
            <w:vAlign w:val="center"/>
            <w:hideMark/>
          </w:tcPr>
          <w:p w:rsidR="00BD6756" w:rsidRPr="002C61E2" w:rsidRDefault="00BD6756" w:rsidP="00BD6756">
            <w:pPr>
              <w:spacing w:after="0"/>
              <w:ind w:firstLine="0"/>
              <w:jc w:val="lef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Ahorros personal</w:t>
            </w:r>
          </w:p>
        </w:tc>
        <w:tc>
          <w:tcPr>
            <w:tcW w:w="3372"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1.704</w:t>
            </w:r>
          </w:p>
        </w:tc>
        <w:tc>
          <w:tcPr>
            <w:tcW w:w="611"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3.980</w:t>
            </w:r>
          </w:p>
        </w:tc>
        <w:tc>
          <w:tcPr>
            <w:tcW w:w="586"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1.343</w:t>
            </w:r>
          </w:p>
        </w:tc>
        <w:tc>
          <w:tcPr>
            <w:tcW w:w="563"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1.096</w:t>
            </w:r>
          </w:p>
        </w:tc>
        <w:tc>
          <w:tcPr>
            <w:tcW w:w="561"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922</w:t>
            </w:r>
          </w:p>
        </w:tc>
        <w:tc>
          <w:tcPr>
            <w:tcW w:w="563"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0</w:t>
            </w:r>
          </w:p>
        </w:tc>
        <w:tc>
          <w:tcPr>
            <w:tcW w:w="843" w:type="dxa"/>
            <w:shd w:val="clear" w:color="auto" w:fill="auto"/>
            <w:noWrap/>
            <w:vAlign w:val="center"/>
            <w:hideMark/>
          </w:tcPr>
          <w:p w:rsidR="00BD6756" w:rsidRPr="002C61E2" w:rsidRDefault="00BD6756" w:rsidP="00BD6756">
            <w:pPr>
              <w:spacing w:after="0"/>
              <w:ind w:firstLine="0"/>
              <w:jc w:val="right"/>
              <w:rPr>
                <w:rFonts w:ascii="Arial Narrow" w:hAnsi="Arial Narrow"/>
                <w:color w:val="000000"/>
                <w:sz w:val="17"/>
                <w:szCs w:val="17"/>
                <w:lang w:val="es-ES" w:eastAsia="es-ES"/>
              </w:rPr>
            </w:pPr>
            <w:r w:rsidRPr="002C61E2">
              <w:rPr>
                <w:rFonts w:ascii="Arial Narrow" w:hAnsi="Arial Narrow"/>
                <w:color w:val="000000"/>
                <w:sz w:val="17"/>
                <w:szCs w:val="17"/>
                <w:lang w:val="es-ES" w:eastAsia="es-ES"/>
              </w:rPr>
              <w:t>9.045</w:t>
            </w:r>
          </w:p>
        </w:tc>
      </w:tr>
    </w:tbl>
    <w:p w:rsidR="007C2D33" w:rsidRDefault="00002542" w:rsidP="00A478E9">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spacing w:before="300" w:after="120"/>
        <w:ind w:left="289" w:firstLine="0"/>
        <w:jc w:val="left"/>
        <w:rPr>
          <w:rFonts w:cs="Arial"/>
        </w:rPr>
      </w:pPr>
      <w:r w:rsidRPr="00561278">
        <w:rPr>
          <w:rFonts w:cs="Arial"/>
        </w:rPr>
        <w:t>Ahorros agrupados en fases</w:t>
      </w:r>
    </w:p>
    <w:p w:rsidR="009E41BD" w:rsidRPr="002E30FE" w:rsidRDefault="00567C9C" w:rsidP="00567C9C">
      <w:pPr>
        <w:pStyle w:val="texto"/>
        <w:spacing w:after="120"/>
        <w:ind w:left="1588"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8221DA">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687"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92"/>
        <w:gridCol w:w="1888"/>
        <w:gridCol w:w="1885"/>
        <w:gridCol w:w="1022"/>
      </w:tblGrid>
      <w:tr w:rsidR="00CE355B" w:rsidRPr="00CE355B" w:rsidTr="001C5D1C">
        <w:trPr>
          <w:trHeight w:val="315"/>
          <w:jc w:val="center"/>
        </w:trPr>
        <w:tc>
          <w:tcPr>
            <w:tcW w:w="3892" w:type="dxa"/>
            <w:shd w:val="clear" w:color="000000" w:fill="8DB3E2"/>
            <w:noWrap/>
            <w:vAlign w:val="center"/>
            <w:hideMark/>
          </w:tcPr>
          <w:p w:rsidR="00CE355B" w:rsidRPr="00CE355B" w:rsidRDefault="00CE355B" w:rsidP="00CE355B">
            <w:pPr>
              <w:spacing w:after="0"/>
              <w:ind w:firstLine="0"/>
              <w:jc w:val="left"/>
              <w:rPr>
                <w:rFonts w:ascii="Arial" w:hAnsi="Arial" w:cs="Arial"/>
                <w:color w:val="000000"/>
                <w:sz w:val="16"/>
                <w:szCs w:val="16"/>
                <w:lang w:val="es-ES" w:eastAsia="es-ES"/>
              </w:rPr>
            </w:pPr>
          </w:p>
        </w:tc>
        <w:tc>
          <w:tcPr>
            <w:tcW w:w="1888" w:type="dxa"/>
            <w:shd w:val="clear" w:color="000000" w:fill="8DB3E2"/>
            <w:noWrap/>
            <w:vAlign w:val="center"/>
            <w:hideMark/>
          </w:tcPr>
          <w:p w:rsidR="00CE355B" w:rsidRPr="00CE355B" w:rsidRDefault="00CE355B" w:rsidP="00A20E14">
            <w:pPr>
              <w:spacing w:after="0"/>
              <w:ind w:firstLine="0"/>
              <w:jc w:val="right"/>
              <w:rPr>
                <w:rFonts w:ascii="Arial" w:hAnsi="Arial" w:cs="Arial"/>
                <w:color w:val="000000"/>
                <w:sz w:val="16"/>
                <w:szCs w:val="16"/>
                <w:lang w:val="es-ES" w:eastAsia="es-ES"/>
              </w:rPr>
            </w:pPr>
            <w:r w:rsidRPr="00CE355B">
              <w:rPr>
                <w:rFonts w:ascii="Arial" w:hAnsi="Arial" w:cs="Arial"/>
                <w:color w:val="000000"/>
                <w:sz w:val="16"/>
                <w:szCs w:val="16"/>
                <w:lang w:val="es-ES" w:eastAsia="es-ES"/>
              </w:rPr>
              <w:t>Fase I (2010-2012)</w:t>
            </w:r>
          </w:p>
        </w:tc>
        <w:tc>
          <w:tcPr>
            <w:tcW w:w="1885" w:type="dxa"/>
            <w:shd w:val="clear" w:color="000000" w:fill="8DB3E2"/>
            <w:noWrap/>
            <w:vAlign w:val="center"/>
            <w:hideMark/>
          </w:tcPr>
          <w:p w:rsidR="00CE355B" w:rsidRPr="00CE355B" w:rsidRDefault="00CE355B" w:rsidP="00A20E14">
            <w:pPr>
              <w:spacing w:after="0"/>
              <w:ind w:firstLine="0"/>
              <w:jc w:val="right"/>
              <w:rPr>
                <w:rFonts w:ascii="Arial" w:hAnsi="Arial" w:cs="Arial"/>
                <w:color w:val="000000"/>
                <w:sz w:val="16"/>
                <w:szCs w:val="16"/>
                <w:lang w:val="es-ES" w:eastAsia="es-ES"/>
              </w:rPr>
            </w:pPr>
            <w:r w:rsidRPr="00CE355B">
              <w:rPr>
                <w:rFonts w:ascii="Arial" w:hAnsi="Arial" w:cs="Arial"/>
                <w:color w:val="000000"/>
                <w:sz w:val="16"/>
                <w:szCs w:val="16"/>
                <w:lang w:val="es-ES" w:eastAsia="es-ES"/>
              </w:rPr>
              <w:t>Fase II (2013-2015)</w:t>
            </w:r>
          </w:p>
        </w:tc>
        <w:tc>
          <w:tcPr>
            <w:tcW w:w="1022" w:type="dxa"/>
            <w:shd w:val="clear" w:color="000000" w:fill="8DB3E2"/>
            <w:noWrap/>
            <w:vAlign w:val="center"/>
            <w:hideMark/>
          </w:tcPr>
          <w:p w:rsidR="00CE355B" w:rsidRPr="00CE355B" w:rsidRDefault="00CE355B" w:rsidP="00A20E14">
            <w:pPr>
              <w:spacing w:after="0"/>
              <w:ind w:firstLine="0"/>
              <w:jc w:val="right"/>
              <w:rPr>
                <w:rFonts w:ascii="Arial" w:hAnsi="Arial" w:cs="Arial"/>
                <w:color w:val="000000"/>
                <w:sz w:val="16"/>
                <w:szCs w:val="16"/>
                <w:lang w:val="es-ES" w:eastAsia="es-ES"/>
              </w:rPr>
            </w:pPr>
            <w:r w:rsidRPr="00CE355B">
              <w:rPr>
                <w:rFonts w:ascii="Arial" w:hAnsi="Arial" w:cs="Arial"/>
                <w:color w:val="000000"/>
                <w:sz w:val="16"/>
                <w:szCs w:val="16"/>
                <w:lang w:val="es-ES" w:eastAsia="es-ES"/>
              </w:rPr>
              <w:t>Total</w:t>
            </w:r>
          </w:p>
        </w:tc>
      </w:tr>
      <w:tr w:rsidR="00CE355B" w:rsidRPr="00CE355B" w:rsidTr="001C5D1C">
        <w:trPr>
          <w:trHeight w:val="315"/>
          <w:jc w:val="center"/>
        </w:trPr>
        <w:tc>
          <w:tcPr>
            <w:tcW w:w="3892" w:type="dxa"/>
            <w:shd w:val="clear" w:color="auto" w:fill="auto"/>
            <w:noWrap/>
            <w:vAlign w:val="center"/>
            <w:hideMark/>
          </w:tcPr>
          <w:p w:rsidR="00CE355B" w:rsidRPr="00CE355B" w:rsidRDefault="00881B3A" w:rsidP="009E41BD">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Ahorros</w:t>
            </w:r>
            <w:r w:rsidR="00F46DE6">
              <w:rPr>
                <w:rFonts w:ascii="Arial Narrow" w:hAnsi="Arial Narrow"/>
                <w:color w:val="000000"/>
                <w:sz w:val="17"/>
                <w:szCs w:val="17"/>
                <w:lang w:val="es-ES" w:eastAsia="es-ES"/>
              </w:rPr>
              <w:t xml:space="preserve"> personal</w:t>
            </w:r>
          </w:p>
        </w:tc>
        <w:tc>
          <w:tcPr>
            <w:tcW w:w="1888" w:type="dxa"/>
            <w:shd w:val="clear" w:color="auto" w:fill="auto"/>
            <w:noWrap/>
            <w:vAlign w:val="center"/>
            <w:hideMark/>
          </w:tcPr>
          <w:p w:rsidR="00CE355B" w:rsidRPr="00CE355B" w:rsidRDefault="00CE355B" w:rsidP="00A20E14">
            <w:pPr>
              <w:spacing w:after="0"/>
              <w:ind w:firstLine="0"/>
              <w:jc w:val="right"/>
              <w:rPr>
                <w:rFonts w:ascii="Arial Narrow" w:hAnsi="Arial Narrow"/>
                <w:color w:val="000000"/>
                <w:sz w:val="17"/>
                <w:szCs w:val="17"/>
                <w:lang w:val="es-ES" w:eastAsia="es-ES"/>
              </w:rPr>
            </w:pPr>
            <w:r w:rsidRPr="00CE355B">
              <w:rPr>
                <w:rFonts w:ascii="Arial Narrow" w:hAnsi="Arial Narrow"/>
                <w:color w:val="000000"/>
                <w:sz w:val="17"/>
                <w:szCs w:val="17"/>
                <w:lang w:val="es-ES" w:eastAsia="es-ES"/>
              </w:rPr>
              <w:t>5.684</w:t>
            </w:r>
          </w:p>
        </w:tc>
        <w:tc>
          <w:tcPr>
            <w:tcW w:w="1885" w:type="dxa"/>
            <w:shd w:val="clear" w:color="auto" w:fill="auto"/>
            <w:noWrap/>
            <w:vAlign w:val="center"/>
            <w:hideMark/>
          </w:tcPr>
          <w:p w:rsidR="00CE355B" w:rsidRPr="00CE355B" w:rsidRDefault="00CE355B" w:rsidP="00A20E14">
            <w:pPr>
              <w:spacing w:after="0"/>
              <w:ind w:firstLine="0"/>
              <w:jc w:val="right"/>
              <w:rPr>
                <w:rFonts w:ascii="Arial Narrow" w:hAnsi="Arial Narrow"/>
                <w:color w:val="000000"/>
                <w:sz w:val="17"/>
                <w:szCs w:val="17"/>
                <w:lang w:val="es-ES" w:eastAsia="es-ES"/>
              </w:rPr>
            </w:pPr>
            <w:r w:rsidRPr="00CE355B">
              <w:rPr>
                <w:rFonts w:ascii="Arial Narrow" w:hAnsi="Arial Narrow"/>
                <w:color w:val="000000"/>
                <w:sz w:val="17"/>
                <w:szCs w:val="17"/>
                <w:lang w:val="es-ES" w:eastAsia="es-ES"/>
              </w:rPr>
              <w:t>3.361</w:t>
            </w:r>
          </w:p>
        </w:tc>
        <w:tc>
          <w:tcPr>
            <w:tcW w:w="1022" w:type="dxa"/>
            <w:shd w:val="clear" w:color="auto" w:fill="auto"/>
            <w:noWrap/>
            <w:vAlign w:val="center"/>
            <w:hideMark/>
          </w:tcPr>
          <w:p w:rsidR="00CE355B" w:rsidRPr="00CE355B" w:rsidRDefault="00CE355B" w:rsidP="00A20E14">
            <w:pPr>
              <w:spacing w:after="0"/>
              <w:ind w:firstLine="0"/>
              <w:jc w:val="right"/>
              <w:rPr>
                <w:rFonts w:ascii="Arial Narrow" w:hAnsi="Arial Narrow"/>
                <w:color w:val="000000"/>
                <w:sz w:val="17"/>
                <w:szCs w:val="17"/>
                <w:lang w:val="es-ES" w:eastAsia="es-ES"/>
              </w:rPr>
            </w:pPr>
            <w:r w:rsidRPr="00CE355B">
              <w:rPr>
                <w:rFonts w:ascii="Arial Narrow" w:hAnsi="Arial Narrow"/>
                <w:color w:val="000000"/>
                <w:sz w:val="17"/>
                <w:szCs w:val="17"/>
                <w:lang w:val="es-ES" w:eastAsia="es-ES"/>
              </w:rPr>
              <w:t>9.045</w:t>
            </w:r>
          </w:p>
        </w:tc>
      </w:tr>
    </w:tbl>
    <w:p w:rsidR="0017115B" w:rsidRDefault="00FA0EF3" w:rsidP="005C39F9">
      <w:pPr>
        <w:pStyle w:val="texto"/>
        <w:spacing w:before="260"/>
        <w:rPr>
          <w:rFonts w:eastAsiaTheme="minorHAnsi"/>
          <w:szCs w:val="26"/>
        </w:rPr>
      </w:pPr>
      <w:r>
        <w:rPr>
          <w:rFonts w:eastAsiaTheme="minorHAnsi"/>
          <w:szCs w:val="26"/>
        </w:rPr>
        <w:t>La CPEN ha considerado que l</w:t>
      </w:r>
      <w:r w:rsidR="006B0335">
        <w:rPr>
          <w:rFonts w:eastAsiaTheme="minorHAnsi"/>
          <w:szCs w:val="26"/>
        </w:rPr>
        <w:t>os ahorros de personal deben</w:t>
      </w:r>
      <w:r w:rsidR="0017115B" w:rsidRPr="00177E5A">
        <w:rPr>
          <w:rFonts w:eastAsiaTheme="minorHAnsi"/>
          <w:szCs w:val="26"/>
        </w:rPr>
        <w:t xml:space="preserve"> entenderse c</w:t>
      </w:r>
      <w:r w:rsidR="001D585C">
        <w:rPr>
          <w:rFonts w:eastAsiaTheme="minorHAnsi"/>
          <w:szCs w:val="26"/>
        </w:rPr>
        <w:t>o</w:t>
      </w:r>
      <w:r w:rsidR="0017115B" w:rsidRPr="00177E5A">
        <w:rPr>
          <w:rFonts w:eastAsiaTheme="minorHAnsi"/>
          <w:szCs w:val="26"/>
        </w:rPr>
        <w:t>mo un redimensionamiento de las plantillas. Hasta el ejercicio 2010 el porce</w:t>
      </w:r>
      <w:r w:rsidR="0017115B" w:rsidRPr="00177E5A">
        <w:rPr>
          <w:rFonts w:eastAsiaTheme="minorHAnsi"/>
          <w:szCs w:val="26"/>
        </w:rPr>
        <w:t>n</w:t>
      </w:r>
      <w:r w:rsidR="0017115B" w:rsidRPr="00177E5A">
        <w:rPr>
          <w:rFonts w:eastAsiaTheme="minorHAnsi"/>
          <w:szCs w:val="26"/>
        </w:rPr>
        <w:t xml:space="preserve">taje de personal </w:t>
      </w:r>
      <w:r w:rsidR="00BD6756">
        <w:rPr>
          <w:rFonts w:eastAsiaTheme="minorHAnsi"/>
          <w:szCs w:val="26"/>
        </w:rPr>
        <w:t xml:space="preserve">contratado temporal </w:t>
      </w:r>
      <w:r w:rsidR="0017115B" w:rsidRPr="00177E5A">
        <w:rPr>
          <w:rFonts w:eastAsiaTheme="minorHAnsi"/>
          <w:szCs w:val="26"/>
        </w:rPr>
        <w:t xml:space="preserve">en las sociedades públicas era mínimo por lo que no era posible adaptarse a las importantes disminuciones de facturación </w:t>
      </w:r>
      <w:r w:rsidR="0017115B" w:rsidRPr="00177E5A">
        <w:rPr>
          <w:rFonts w:eastAsiaTheme="minorHAnsi"/>
          <w:szCs w:val="26"/>
        </w:rPr>
        <w:lastRenderedPageBreak/>
        <w:t>que estaban previstas. Una vez realizado el redimensionamiento</w:t>
      </w:r>
      <w:r w:rsidR="00A81D07">
        <w:rPr>
          <w:rFonts w:eastAsiaTheme="minorHAnsi"/>
          <w:szCs w:val="26"/>
        </w:rPr>
        <w:t>,</w:t>
      </w:r>
      <w:r w:rsidR="0017115B" w:rsidRPr="00177E5A">
        <w:rPr>
          <w:rFonts w:eastAsiaTheme="minorHAnsi"/>
          <w:szCs w:val="26"/>
        </w:rPr>
        <w:t xml:space="preserve"> cualquier contratación de personal es analizada por Recursos Humanos </w:t>
      </w:r>
      <w:r w:rsidR="00A81D07">
        <w:rPr>
          <w:rFonts w:eastAsiaTheme="minorHAnsi"/>
          <w:szCs w:val="26"/>
        </w:rPr>
        <w:t>de CPEN</w:t>
      </w:r>
      <w:r w:rsidR="0017115B">
        <w:rPr>
          <w:rFonts w:eastAsiaTheme="minorHAnsi"/>
          <w:szCs w:val="26"/>
        </w:rPr>
        <w:t xml:space="preserve"> y se </w:t>
      </w:r>
      <w:r w:rsidR="0017115B" w:rsidRPr="00177E5A">
        <w:rPr>
          <w:rFonts w:eastAsiaTheme="minorHAnsi"/>
          <w:szCs w:val="26"/>
        </w:rPr>
        <w:t>justifica</w:t>
      </w:r>
      <w:r w:rsidR="0017115B">
        <w:rPr>
          <w:rFonts w:eastAsiaTheme="minorHAnsi"/>
          <w:szCs w:val="26"/>
        </w:rPr>
        <w:t xml:space="preserve"> </w:t>
      </w:r>
      <w:r w:rsidR="0017115B" w:rsidRPr="00177E5A">
        <w:rPr>
          <w:rFonts w:eastAsiaTheme="minorHAnsi"/>
          <w:szCs w:val="26"/>
        </w:rPr>
        <w:t xml:space="preserve">por nuevos encargos </w:t>
      </w:r>
      <w:r w:rsidR="0017115B">
        <w:rPr>
          <w:rFonts w:eastAsiaTheme="minorHAnsi"/>
          <w:szCs w:val="26"/>
        </w:rPr>
        <w:t xml:space="preserve">desde </w:t>
      </w:r>
      <w:r w:rsidR="0017115B" w:rsidRPr="00177E5A">
        <w:rPr>
          <w:rFonts w:eastAsiaTheme="minorHAnsi"/>
          <w:szCs w:val="26"/>
        </w:rPr>
        <w:t>los distintos departamentos de</w:t>
      </w:r>
      <w:r w:rsidR="006E26D6">
        <w:rPr>
          <w:rFonts w:eastAsiaTheme="minorHAnsi"/>
          <w:szCs w:val="26"/>
        </w:rPr>
        <w:t xml:space="preserve"> </w:t>
      </w:r>
      <w:r w:rsidR="0017115B" w:rsidRPr="00177E5A">
        <w:rPr>
          <w:rFonts w:eastAsiaTheme="minorHAnsi"/>
          <w:szCs w:val="26"/>
        </w:rPr>
        <w:t>l</w:t>
      </w:r>
      <w:r w:rsidR="006E26D6">
        <w:rPr>
          <w:rFonts w:eastAsiaTheme="minorHAnsi"/>
          <w:szCs w:val="26"/>
        </w:rPr>
        <w:t>a Admini</w:t>
      </w:r>
      <w:r w:rsidR="006E26D6">
        <w:rPr>
          <w:rFonts w:eastAsiaTheme="minorHAnsi"/>
          <w:szCs w:val="26"/>
        </w:rPr>
        <w:t>s</w:t>
      </w:r>
      <w:r w:rsidR="006E26D6">
        <w:rPr>
          <w:rFonts w:eastAsiaTheme="minorHAnsi"/>
          <w:szCs w:val="26"/>
        </w:rPr>
        <w:t>tración de la Comunidad Foral de Navarra</w:t>
      </w:r>
      <w:r w:rsidR="00D854BA">
        <w:rPr>
          <w:rFonts w:eastAsiaTheme="minorHAnsi"/>
          <w:szCs w:val="26"/>
        </w:rPr>
        <w:t xml:space="preserve"> o </w:t>
      </w:r>
      <w:r w:rsidR="006E26D6">
        <w:rPr>
          <w:rFonts w:eastAsiaTheme="minorHAnsi"/>
          <w:szCs w:val="26"/>
        </w:rPr>
        <w:t>nuevos</w:t>
      </w:r>
      <w:r w:rsidR="0017115B" w:rsidRPr="00177E5A">
        <w:rPr>
          <w:rFonts w:eastAsiaTheme="minorHAnsi"/>
          <w:szCs w:val="26"/>
        </w:rPr>
        <w:t xml:space="preserve"> proyectos </w:t>
      </w:r>
      <w:r w:rsidR="008243E9">
        <w:rPr>
          <w:rFonts w:eastAsiaTheme="minorHAnsi"/>
          <w:szCs w:val="26"/>
        </w:rPr>
        <w:t>financiados por otras</w:t>
      </w:r>
      <w:r w:rsidR="00BD6756">
        <w:rPr>
          <w:rFonts w:eastAsiaTheme="minorHAnsi"/>
          <w:szCs w:val="26"/>
        </w:rPr>
        <w:t xml:space="preserve"> ent</w:t>
      </w:r>
      <w:r w:rsidR="008243E9">
        <w:rPr>
          <w:rFonts w:eastAsiaTheme="minorHAnsi"/>
          <w:szCs w:val="26"/>
        </w:rPr>
        <w:t>idades</w:t>
      </w:r>
      <w:r w:rsidR="0017115B" w:rsidRPr="00177E5A">
        <w:rPr>
          <w:rFonts w:eastAsiaTheme="minorHAnsi"/>
          <w:szCs w:val="26"/>
        </w:rPr>
        <w:t>, por lo que estos incrementos de plantilla no se han tratado c</w:t>
      </w:r>
      <w:r w:rsidR="0017115B" w:rsidRPr="00177E5A">
        <w:rPr>
          <w:rFonts w:eastAsiaTheme="minorHAnsi"/>
          <w:szCs w:val="26"/>
        </w:rPr>
        <w:t>o</w:t>
      </w:r>
      <w:r w:rsidR="0017115B" w:rsidRPr="00177E5A">
        <w:rPr>
          <w:rFonts w:eastAsiaTheme="minorHAnsi"/>
          <w:szCs w:val="26"/>
        </w:rPr>
        <w:t>mo desahorros.</w:t>
      </w:r>
    </w:p>
    <w:p w:rsidR="00CE355B" w:rsidRPr="005411CA" w:rsidRDefault="00CE355B" w:rsidP="00852478">
      <w:pPr>
        <w:pStyle w:val="texto"/>
        <w:spacing w:after="180"/>
        <w:rPr>
          <w:rFonts w:eastAsiaTheme="minorHAnsi"/>
          <w:spacing w:val="4"/>
          <w:szCs w:val="26"/>
        </w:rPr>
      </w:pPr>
      <w:r w:rsidRPr="005411CA">
        <w:rPr>
          <w:rFonts w:eastAsiaTheme="minorHAnsi"/>
          <w:spacing w:val="4"/>
          <w:szCs w:val="26"/>
        </w:rPr>
        <w:t xml:space="preserve">Sobre las muestras realizadas en distintas sociedades y que han supuesto una comprobación del 81 por ciento </w:t>
      </w:r>
      <w:r w:rsidR="00EB6705" w:rsidRPr="005411CA">
        <w:rPr>
          <w:rFonts w:eastAsiaTheme="minorHAnsi"/>
          <w:spacing w:val="4"/>
          <w:szCs w:val="26"/>
        </w:rPr>
        <w:t xml:space="preserve">de los ahorros </w:t>
      </w:r>
      <w:r w:rsidR="001D585C" w:rsidRPr="005411CA">
        <w:rPr>
          <w:rFonts w:eastAsiaTheme="minorHAnsi"/>
          <w:spacing w:val="4"/>
          <w:szCs w:val="26"/>
        </w:rPr>
        <w:t xml:space="preserve">estimados </w:t>
      </w:r>
      <w:r w:rsidRPr="005411CA">
        <w:rPr>
          <w:rFonts w:eastAsiaTheme="minorHAnsi"/>
          <w:spacing w:val="4"/>
          <w:szCs w:val="26"/>
        </w:rPr>
        <w:t xml:space="preserve">en la fase I y del 78 por ciento en la fase II, los resultados de las verificaciones son </w:t>
      </w:r>
      <w:r w:rsidR="008243E9" w:rsidRPr="005411CA">
        <w:rPr>
          <w:rFonts w:eastAsiaTheme="minorHAnsi"/>
          <w:spacing w:val="4"/>
          <w:szCs w:val="26"/>
        </w:rPr>
        <w:t>razonables</w:t>
      </w:r>
      <w:r w:rsidRPr="005411CA">
        <w:rPr>
          <w:rFonts w:eastAsiaTheme="minorHAnsi"/>
          <w:spacing w:val="4"/>
          <w:szCs w:val="26"/>
        </w:rPr>
        <w:t>, no encontrándose diferencias significativas, a excep</w:t>
      </w:r>
      <w:r w:rsidR="00DF6A0F" w:rsidRPr="005411CA">
        <w:rPr>
          <w:rFonts w:eastAsiaTheme="minorHAnsi"/>
          <w:spacing w:val="4"/>
          <w:szCs w:val="26"/>
        </w:rPr>
        <w:t>ción de los siguientes ajustes:</w:t>
      </w:r>
    </w:p>
    <w:p w:rsidR="003B26B9" w:rsidRPr="005411CA" w:rsidRDefault="00EB6705" w:rsidP="00EB6705">
      <w:pPr>
        <w:pStyle w:val="texto"/>
        <w:spacing w:after="120"/>
        <w:rPr>
          <w:rFonts w:eastAsiaTheme="minorHAnsi"/>
          <w:spacing w:val="2"/>
          <w:szCs w:val="26"/>
        </w:rPr>
      </w:pPr>
      <w:r w:rsidRPr="005411CA">
        <w:rPr>
          <w:rFonts w:eastAsiaTheme="minorHAnsi"/>
          <w:spacing w:val="2"/>
          <w:szCs w:val="26"/>
        </w:rPr>
        <w:t xml:space="preserve">a) </w:t>
      </w:r>
      <w:r w:rsidR="00CE355B" w:rsidRPr="005411CA">
        <w:rPr>
          <w:rFonts w:eastAsiaTheme="minorHAnsi"/>
          <w:spacing w:val="2"/>
          <w:szCs w:val="26"/>
        </w:rPr>
        <w:t>El personal funcionario de la Administración de la Comunidad Foral que formaba parte de los trabajadores de las sociedades públicas</w:t>
      </w:r>
      <w:r w:rsidRPr="005411CA">
        <w:rPr>
          <w:rStyle w:val="Refdenotaalpie"/>
          <w:rFonts w:eastAsiaTheme="minorHAnsi"/>
          <w:spacing w:val="2"/>
          <w:szCs w:val="26"/>
        </w:rPr>
        <w:footnoteReference w:id="14"/>
      </w:r>
      <w:r w:rsidR="00CE355B" w:rsidRPr="005411CA">
        <w:rPr>
          <w:rFonts w:eastAsiaTheme="minorHAnsi"/>
          <w:spacing w:val="2"/>
          <w:szCs w:val="26"/>
        </w:rPr>
        <w:t xml:space="preserve"> y que en el proceso de ordenación han vuelto a sus puestos de origen, si bien </w:t>
      </w:r>
      <w:r w:rsidR="00002542" w:rsidRPr="005411CA">
        <w:rPr>
          <w:rFonts w:eastAsiaTheme="minorHAnsi"/>
          <w:spacing w:val="2"/>
          <w:szCs w:val="26"/>
        </w:rPr>
        <w:t xml:space="preserve">ha supuesto </w:t>
      </w:r>
      <w:r w:rsidR="00CE355B" w:rsidRPr="005411CA">
        <w:rPr>
          <w:rFonts w:eastAsiaTheme="minorHAnsi"/>
          <w:spacing w:val="2"/>
          <w:szCs w:val="26"/>
        </w:rPr>
        <w:t xml:space="preserve">ahorro para el sector público empresarial, entendemos que </w:t>
      </w:r>
      <w:r w:rsidR="00CC23BC">
        <w:rPr>
          <w:rFonts w:eastAsiaTheme="minorHAnsi"/>
          <w:spacing w:val="2"/>
          <w:szCs w:val="26"/>
        </w:rPr>
        <w:t>en el conjunto del sector público foral únicamente constituye ahorro en el gasto del personal sustituido en la A</w:t>
      </w:r>
      <w:r w:rsidR="00CC23BC">
        <w:rPr>
          <w:rFonts w:eastAsiaTheme="minorHAnsi"/>
          <w:spacing w:val="2"/>
          <w:szCs w:val="26"/>
        </w:rPr>
        <w:t>d</w:t>
      </w:r>
      <w:r w:rsidR="00CC23BC">
        <w:rPr>
          <w:rFonts w:eastAsiaTheme="minorHAnsi"/>
          <w:spacing w:val="2"/>
          <w:szCs w:val="26"/>
        </w:rPr>
        <w:t xml:space="preserve">ministración de la Comunidad Foral, </w:t>
      </w:r>
      <w:r w:rsidR="004943F8" w:rsidRPr="005411CA">
        <w:rPr>
          <w:rFonts w:eastAsiaTheme="minorHAnsi"/>
          <w:spacing w:val="2"/>
          <w:szCs w:val="26"/>
        </w:rPr>
        <w:t>por lo que hacemos un ajuste negativo en un importe estimado de 0,59 millones de euros</w:t>
      </w:r>
      <w:r w:rsidR="003B26B9" w:rsidRPr="005411CA">
        <w:rPr>
          <w:rFonts w:eastAsiaTheme="minorHAnsi"/>
          <w:spacing w:val="2"/>
          <w:szCs w:val="26"/>
        </w:rPr>
        <w:t>.</w:t>
      </w:r>
    </w:p>
    <w:p w:rsidR="006B0335" w:rsidRPr="005411CA" w:rsidRDefault="007719A0" w:rsidP="007C3887">
      <w:pPr>
        <w:pStyle w:val="texto"/>
        <w:spacing w:after="120"/>
        <w:rPr>
          <w:rFonts w:eastAsiaTheme="minorHAnsi"/>
          <w:spacing w:val="2"/>
          <w:szCs w:val="26"/>
        </w:rPr>
      </w:pPr>
      <w:r w:rsidRPr="005411CA">
        <w:rPr>
          <w:rFonts w:eastAsiaTheme="minorHAnsi"/>
          <w:spacing w:val="2"/>
          <w:szCs w:val="26"/>
        </w:rPr>
        <w:t xml:space="preserve">b) </w:t>
      </w:r>
      <w:r w:rsidR="006B0335" w:rsidRPr="005411CA">
        <w:rPr>
          <w:rFonts w:eastAsiaTheme="minorHAnsi"/>
          <w:spacing w:val="2"/>
          <w:szCs w:val="26"/>
        </w:rPr>
        <w:t>El despido de un colectivo de 17 trabajadores</w:t>
      </w:r>
      <w:r w:rsidR="00EB6705" w:rsidRPr="005411CA">
        <w:rPr>
          <w:rFonts w:eastAsiaTheme="minorHAnsi"/>
          <w:spacing w:val="2"/>
          <w:szCs w:val="26"/>
        </w:rPr>
        <w:t xml:space="preserve"> en </w:t>
      </w:r>
      <w:r w:rsidR="00AE115C" w:rsidRPr="005411CA">
        <w:rPr>
          <w:rFonts w:eastAsiaTheme="minorHAnsi"/>
          <w:spacing w:val="2"/>
          <w:szCs w:val="26"/>
        </w:rPr>
        <w:t>GAN</w:t>
      </w:r>
      <w:r w:rsidR="006B0335" w:rsidRPr="005411CA">
        <w:rPr>
          <w:rFonts w:eastAsiaTheme="minorHAnsi"/>
          <w:spacing w:val="2"/>
          <w:szCs w:val="26"/>
        </w:rPr>
        <w:t>, supone un total de</w:t>
      </w:r>
      <w:r w:rsidR="006E3B05" w:rsidRPr="005411CA">
        <w:rPr>
          <w:rFonts w:eastAsiaTheme="minorHAnsi"/>
          <w:spacing w:val="2"/>
          <w:szCs w:val="26"/>
        </w:rPr>
        <w:t xml:space="preserve"> </w:t>
      </w:r>
      <w:r w:rsidR="00FE4A8D" w:rsidRPr="005411CA">
        <w:rPr>
          <w:rFonts w:eastAsiaTheme="minorHAnsi"/>
          <w:spacing w:val="2"/>
          <w:szCs w:val="26"/>
        </w:rPr>
        <w:t>0,</w:t>
      </w:r>
      <w:r w:rsidR="006E3B05" w:rsidRPr="005411CA">
        <w:rPr>
          <w:rFonts w:eastAsiaTheme="minorHAnsi"/>
          <w:spacing w:val="2"/>
          <w:szCs w:val="26"/>
        </w:rPr>
        <w:t>60</w:t>
      </w:r>
      <w:r w:rsidR="00FE4A8D" w:rsidRPr="005411CA">
        <w:rPr>
          <w:rFonts w:eastAsiaTheme="minorHAnsi"/>
          <w:spacing w:val="2"/>
          <w:szCs w:val="26"/>
        </w:rPr>
        <w:t xml:space="preserve"> millones de </w:t>
      </w:r>
      <w:r w:rsidR="006B0335" w:rsidRPr="005411CA">
        <w:rPr>
          <w:rFonts w:eastAsiaTheme="minorHAnsi"/>
          <w:spacing w:val="2"/>
          <w:szCs w:val="26"/>
        </w:rPr>
        <w:t xml:space="preserve">euros. CPEN ha considerado como ahorro </w:t>
      </w:r>
      <w:r w:rsidR="0024131B" w:rsidRPr="005411CA">
        <w:rPr>
          <w:rFonts w:eastAsiaTheme="minorHAnsi"/>
          <w:spacing w:val="2"/>
          <w:szCs w:val="26"/>
        </w:rPr>
        <w:t xml:space="preserve">únicamente </w:t>
      </w:r>
      <w:r w:rsidR="006E3B05" w:rsidRPr="005411CA">
        <w:rPr>
          <w:rFonts w:eastAsiaTheme="minorHAnsi"/>
          <w:spacing w:val="2"/>
          <w:szCs w:val="26"/>
        </w:rPr>
        <w:t xml:space="preserve">la cuantía de </w:t>
      </w:r>
      <w:r w:rsidR="00223E86" w:rsidRPr="005411CA">
        <w:rPr>
          <w:rFonts w:eastAsiaTheme="minorHAnsi"/>
          <w:spacing w:val="2"/>
          <w:szCs w:val="26"/>
        </w:rPr>
        <w:t xml:space="preserve">0,31 millones </w:t>
      </w:r>
      <w:r w:rsidR="006E3B05" w:rsidRPr="005411CA">
        <w:rPr>
          <w:rFonts w:eastAsiaTheme="minorHAnsi"/>
          <w:spacing w:val="2"/>
          <w:szCs w:val="26"/>
        </w:rPr>
        <w:t>de</w:t>
      </w:r>
      <w:r w:rsidR="006B0335" w:rsidRPr="005411CA">
        <w:rPr>
          <w:rFonts w:eastAsiaTheme="minorHAnsi"/>
          <w:spacing w:val="2"/>
          <w:szCs w:val="26"/>
        </w:rPr>
        <w:t xml:space="preserve"> euros correspondientes al ejercicio 2015. Debe incrementarse el ahorro por</w:t>
      </w:r>
      <w:r w:rsidR="00AE115C" w:rsidRPr="005411CA">
        <w:rPr>
          <w:rFonts w:eastAsiaTheme="minorHAnsi"/>
          <w:spacing w:val="2"/>
          <w:szCs w:val="26"/>
        </w:rPr>
        <w:t xml:space="preserve"> la diferencia, por lo que realizamos un ajuste positivo de 0,29 m</w:t>
      </w:r>
      <w:r w:rsidR="00AE115C" w:rsidRPr="005411CA">
        <w:rPr>
          <w:rFonts w:eastAsiaTheme="minorHAnsi"/>
          <w:spacing w:val="2"/>
          <w:szCs w:val="26"/>
        </w:rPr>
        <w:t>i</w:t>
      </w:r>
      <w:r w:rsidR="00AE115C" w:rsidRPr="005411CA">
        <w:rPr>
          <w:rFonts w:eastAsiaTheme="minorHAnsi"/>
          <w:spacing w:val="2"/>
          <w:szCs w:val="26"/>
        </w:rPr>
        <w:t>llones de euros</w:t>
      </w:r>
      <w:r w:rsidR="008370FD" w:rsidRPr="005411CA">
        <w:rPr>
          <w:rFonts w:eastAsiaTheme="minorHAnsi"/>
          <w:spacing w:val="2"/>
          <w:szCs w:val="26"/>
        </w:rPr>
        <w:t>.</w:t>
      </w:r>
    </w:p>
    <w:p w:rsidR="0017115B" w:rsidRPr="00AD7F66" w:rsidRDefault="00980F55" w:rsidP="007719A0">
      <w:pPr>
        <w:pStyle w:val="atitulo3"/>
        <w:spacing w:before="300"/>
        <w:rPr>
          <w:rFonts w:cs="Arial"/>
        </w:rPr>
      </w:pPr>
      <w:bookmarkStart w:id="41" w:name="_Toc521909267"/>
      <w:r>
        <w:rPr>
          <w:rFonts w:cs="Arial"/>
        </w:rPr>
        <w:t>V.2</w:t>
      </w:r>
      <w:r w:rsidR="0017115B" w:rsidRPr="00AD7F66">
        <w:rPr>
          <w:rFonts w:cs="Arial"/>
        </w:rPr>
        <w:t>.</w:t>
      </w:r>
      <w:r w:rsidR="007F34E2">
        <w:rPr>
          <w:rFonts w:cs="Arial"/>
        </w:rPr>
        <w:t>2.</w:t>
      </w:r>
      <w:r w:rsidR="0017115B" w:rsidRPr="00AD7F66">
        <w:rPr>
          <w:rFonts w:cs="Arial"/>
        </w:rPr>
        <w:t>3</w:t>
      </w:r>
      <w:r>
        <w:rPr>
          <w:rFonts w:cs="Arial"/>
        </w:rPr>
        <w:t>.</w:t>
      </w:r>
      <w:r w:rsidR="0017115B" w:rsidRPr="00AD7F66">
        <w:rPr>
          <w:rFonts w:cs="Arial"/>
        </w:rPr>
        <w:t xml:space="preserve"> Ahorros en costes operativos</w:t>
      </w:r>
      <w:bookmarkEnd w:id="41"/>
    </w:p>
    <w:p w:rsidR="0017115B" w:rsidRDefault="0017115B" w:rsidP="007C3887">
      <w:pPr>
        <w:pStyle w:val="texto"/>
        <w:spacing w:after="120"/>
        <w:rPr>
          <w:rFonts w:eastAsiaTheme="minorHAnsi"/>
          <w:szCs w:val="26"/>
        </w:rPr>
      </w:pPr>
      <w:r>
        <w:rPr>
          <w:rFonts w:eastAsiaTheme="minorHAnsi"/>
          <w:szCs w:val="26"/>
        </w:rPr>
        <w:t>Las medidas adoptadas en este apartado según consta en la información r</w:t>
      </w:r>
      <w:r>
        <w:rPr>
          <w:rFonts w:eastAsiaTheme="minorHAnsi"/>
          <w:szCs w:val="26"/>
        </w:rPr>
        <w:t>e</w:t>
      </w:r>
      <w:r>
        <w:rPr>
          <w:rFonts w:eastAsiaTheme="minorHAnsi"/>
          <w:szCs w:val="26"/>
        </w:rPr>
        <w:t xml:space="preserve">mitida al MINHAFP </w:t>
      </w:r>
      <w:r w:rsidR="00EB6705">
        <w:rPr>
          <w:rFonts w:eastAsiaTheme="minorHAnsi"/>
          <w:szCs w:val="26"/>
        </w:rPr>
        <w:t>han supuesto un ahorro por importe de 20,4 millones de euros. S</w:t>
      </w:r>
      <w:r>
        <w:rPr>
          <w:rFonts w:eastAsiaTheme="minorHAnsi"/>
          <w:szCs w:val="26"/>
        </w:rPr>
        <w:t xml:space="preserve">e basan en </w:t>
      </w:r>
      <w:r w:rsidR="00EB6705">
        <w:rPr>
          <w:rFonts w:eastAsiaTheme="minorHAnsi"/>
          <w:szCs w:val="26"/>
        </w:rPr>
        <w:t xml:space="preserve">la </w:t>
      </w:r>
      <w:r>
        <w:rPr>
          <w:rFonts w:eastAsiaTheme="minorHAnsi"/>
          <w:szCs w:val="26"/>
        </w:rPr>
        <w:t>r</w:t>
      </w:r>
      <w:r w:rsidRPr="00F12CF3">
        <w:rPr>
          <w:rFonts w:eastAsiaTheme="minorHAnsi"/>
          <w:szCs w:val="26"/>
        </w:rPr>
        <w:t xml:space="preserve">eorganización </w:t>
      </w:r>
      <w:r w:rsidR="00A73BF1">
        <w:rPr>
          <w:rFonts w:eastAsiaTheme="minorHAnsi"/>
          <w:szCs w:val="26"/>
        </w:rPr>
        <w:t>de costes derivadas de l</w:t>
      </w:r>
      <w:r w:rsidR="00EB6705">
        <w:rPr>
          <w:rFonts w:eastAsiaTheme="minorHAnsi"/>
          <w:szCs w:val="26"/>
        </w:rPr>
        <w:t xml:space="preserve">os procesos de </w:t>
      </w:r>
      <w:r w:rsidR="00A73BF1">
        <w:rPr>
          <w:rFonts w:eastAsiaTheme="minorHAnsi"/>
          <w:szCs w:val="26"/>
        </w:rPr>
        <w:t>f</w:t>
      </w:r>
      <w:r w:rsidR="00A73BF1">
        <w:rPr>
          <w:rFonts w:eastAsiaTheme="minorHAnsi"/>
          <w:szCs w:val="26"/>
        </w:rPr>
        <w:t>u</w:t>
      </w:r>
      <w:r w:rsidR="008243E9">
        <w:rPr>
          <w:rFonts w:eastAsiaTheme="minorHAnsi"/>
          <w:szCs w:val="26"/>
        </w:rPr>
        <w:t xml:space="preserve">sión, </w:t>
      </w:r>
      <w:r w:rsidR="00A73BF1">
        <w:rPr>
          <w:rFonts w:eastAsiaTheme="minorHAnsi"/>
          <w:szCs w:val="26"/>
        </w:rPr>
        <w:t>así como</w:t>
      </w:r>
      <w:r w:rsidR="009D4EB8">
        <w:rPr>
          <w:rFonts w:eastAsiaTheme="minorHAnsi"/>
          <w:szCs w:val="26"/>
        </w:rPr>
        <w:t xml:space="preserve"> en la</w:t>
      </w:r>
      <w:r w:rsidR="00A73BF1">
        <w:rPr>
          <w:rFonts w:eastAsiaTheme="minorHAnsi"/>
          <w:szCs w:val="26"/>
        </w:rPr>
        <w:t xml:space="preserve"> </w:t>
      </w:r>
      <w:r w:rsidRPr="00F12CF3">
        <w:rPr>
          <w:rFonts w:eastAsiaTheme="minorHAnsi"/>
          <w:szCs w:val="26"/>
        </w:rPr>
        <w:t xml:space="preserve">implantación </w:t>
      </w:r>
      <w:r w:rsidR="00CD437C">
        <w:rPr>
          <w:rFonts w:eastAsiaTheme="minorHAnsi"/>
          <w:szCs w:val="26"/>
        </w:rPr>
        <w:t xml:space="preserve">de </w:t>
      </w:r>
      <w:r w:rsidRPr="00F12CF3">
        <w:rPr>
          <w:rFonts w:eastAsiaTheme="minorHAnsi"/>
          <w:szCs w:val="26"/>
        </w:rPr>
        <w:t>procedimientos de compras</w:t>
      </w:r>
      <w:r w:rsidR="00C64C02">
        <w:rPr>
          <w:rFonts w:eastAsiaTheme="minorHAnsi"/>
          <w:szCs w:val="26"/>
        </w:rPr>
        <w:t xml:space="preserve">, </w:t>
      </w:r>
      <w:r w:rsidR="007F6BDC">
        <w:rPr>
          <w:rFonts w:eastAsiaTheme="minorHAnsi"/>
          <w:szCs w:val="26"/>
        </w:rPr>
        <w:t>principa</w:t>
      </w:r>
      <w:r w:rsidR="007F6BDC">
        <w:rPr>
          <w:rFonts w:eastAsiaTheme="minorHAnsi"/>
          <w:szCs w:val="26"/>
        </w:rPr>
        <w:t>l</w:t>
      </w:r>
      <w:r w:rsidR="007F6BDC">
        <w:rPr>
          <w:rFonts w:eastAsiaTheme="minorHAnsi"/>
          <w:szCs w:val="26"/>
        </w:rPr>
        <w:t xml:space="preserve">mente </w:t>
      </w:r>
      <w:r w:rsidR="00C64C02">
        <w:rPr>
          <w:rFonts w:eastAsiaTheme="minorHAnsi"/>
          <w:szCs w:val="26"/>
        </w:rPr>
        <w:t xml:space="preserve">mediante </w:t>
      </w:r>
      <w:r w:rsidR="007F6BDC">
        <w:rPr>
          <w:rFonts w:eastAsiaTheme="minorHAnsi"/>
          <w:szCs w:val="26"/>
        </w:rPr>
        <w:t>Acuerdos Marco de suminis</w:t>
      </w:r>
      <w:r w:rsidR="00C64C02">
        <w:rPr>
          <w:rFonts w:eastAsiaTheme="minorHAnsi"/>
          <w:szCs w:val="26"/>
        </w:rPr>
        <w:t xml:space="preserve">tros, </w:t>
      </w:r>
      <w:r w:rsidR="008243E9">
        <w:rPr>
          <w:rFonts w:eastAsiaTheme="minorHAnsi"/>
          <w:szCs w:val="26"/>
        </w:rPr>
        <w:t xml:space="preserve">y </w:t>
      </w:r>
      <w:r w:rsidR="007F6BDC">
        <w:rPr>
          <w:rFonts w:eastAsiaTheme="minorHAnsi"/>
          <w:szCs w:val="26"/>
        </w:rPr>
        <w:t>proce</w:t>
      </w:r>
      <w:r w:rsidR="00EB6705">
        <w:rPr>
          <w:rFonts w:eastAsiaTheme="minorHAnsi"/>
          <w:szCs w:val="26"/>
        </w:rPr>
        <w:t xml:space="preserve">sos </w:t>
      </w:r>
      <w:r w:rsidR="007F6BDC">
        <w:rPr>
          <w:rFonts w:eastAsiaTheme="minorHAnsi"/>
          <w:szCs w:val="26"/>
        </w:rPr>
        <w:t>de autorizaciones, supervisión y control de compras</w:t>
      </w:r>
      <w:r w:rsidR="00C64C02">
        <w:rPr>
          <w:rFonts w:eastAsiaTheme="minorHAnsi"/>
          <w:szCs w:val="26"/>
        </w:rPr>
        <w:t>. Estas</w:t>
      </w:r>
      <w:r w:rsidR="006E26D6">
        <w:rPr>
          <w:rFonts w:eastAsiaTheme="minorHAnsi"/>
          <w:szCs w:val="26"/>
        </w:rPr>
        <w:t xml:space="preserve"> </w:t>
      </w:r>
      <w:r>
        <w:rPr>
          <w:rFonts w:eastAsiaTheme="minorHAnsi"/>
          <w:szCs w:val="26"/>
        </w:rPr>
        <w:t xml:space="preserve">medidas </w:t>
      </w:r>
      <w:r w:rsidR="00C64C02">
        <w:rPr>
          <w:rFonts w:eastAsiaTheme="minorHAnsi"/>
          <w:szCs w:val="26"/>
        </w:rPr>
        <w:t xml:space="preserve">son </w:t>
      </w:r>
      <w:r>
        <w:rPr>
          <w:rFonts w:eastAsiaTheme="minorHAnsi"/>
          <w:szCs w:val="26"/>
        </w:rPr>
        <w:t>consistentes con los obj</w:t>
      </w:r>
      <w:r>
        <w:rPr>
          <w:rFonts w:eastAsiaTheme="minorHAnsi"/>
          <w:szCs w:val="26"/>
        </w:rPr>
        <w:t>e</w:t>
      </w:r>
      <w:r>
        <w:rPr>
          <w:rFonts w:eastAsiaTheme="minorHAnsi"/>
          <w:szCs w:val="26"/>
        </w:rPr>
        <w:t>tivos de reducción de costes previstos en los dos planes de reordenación apr</w:t>
      </w:r>
      <w:r>
        <w:rPr>
          <w:rFonts w:eastAsiaTheme="minorHAnsi"/>
          <w:szCs w:val="26"/>
        </w:rPr>
        <w:t>o</w:t>
      </w:r>
      <w:r>
        <w:rPr>
          <w:rFonts w:eastAsiaTheme="minorHAnsi"/>
          <w:szCs w:val="26"/>
        </w:rPr>
        <w:t>bados por CPEN.</w:t>
      </w:r>
    </w:p>
    <w:p w:rsidR="007F34E2" w:rsidRDefault="0017115B" w:rsidP="007C3887">
      <w:pPr>
        <w:pStyle w:val="texto"/>
        <w:spacing w:after="120"/>
        <w:rPr>
          <w:rFonts w:eastAsiaTheme="minorHAnsi"/>
          <w:szCs w:val="26"/>
        </w:rPr>
      </w:pPr>
      <w:r w:rsidRPr="000D6CAF">
        <w:rPr>
          <w:rFonts w:eastAsiaTheme="minorHAnsi"/>
          <w:szCs w:val="26"/>
        </w:rPr>
        <w:t>S</w:t>
      </w:r>
      <w:r w:rsidR="00CD437C">
        <w:rPr>
          <w:rFonts w:eastAsiaTheme="minorHAnsi"/>
          <w:szCs w:val="26"/>
        </w:rPr>
        <w:t xml:space="preserve">obre </w:t>
      </w:r>
      <w:r w:rsidRPr="000D6CAF">
        <w:rPr>
          <w:rFonts w:eastAsiaTheme="minorHAnsi"/>
          <w:szCs w:val="26"/>
        </w:rPr>
        <w:t xml:space="preserve">una muestra </w:t>
      </w:r>
      <w:r w:rsidR="00CD437C">
        <w:rPr>
          <w:rFonts w:eastAsiaTheme="minorHAnsi"/>
          <w:szCs w:val="26"/>
        </w:rPr>
        <w:t>realizada por importe de 17 millones de euros y que s</w:t>
      </w:r>
      <w:r w:rsidR="00CD437C">
        <w:rPr>
          <w:rFonts w:eastAsiaTheme="minorHAnsi"/>
          <w:szCs w:val="26"/>
        </w:rPr>
        <w:t>u</w:t>
      </w:r>
      <w:r w:rsidR="00CD437C">
        <w:rPr>
          <w:rFonts w:eastAsiaTheme="minorHAnsi"/>
          <w:szCs w:val="26"/>
        </w:rPr>
        <w:t xml:space="preserve">pone </w:t>
      </w:r>
      <w:r w:rsidRPr="000D6CAF">
        <w:rPr>
          <w:rFonts w:eastAsiaTheme="minorHAnsi"/>
          <w:szCs w:val="26"/>
        </w:rPr>
        <w:t xml:space="preserve">un porcentaje del 84 por ciento sobre el ahorro </w:t>
      </w:r>
      <w:r w:rsidR="00AE115C">
        <w:rPr>
          <w:rFonts w:eastAsiaTheme="minorHAnsi"/>
          <w:szCs w:val="26"/>
        </w:rPr>
        <w:t>estimado</w:t>
      </w:r>
      <w:r w:rsidRPr="000D6CAF">
        <w:rPr>
          <w:rFonts w:eastAsiaTheme="minorHAnsi"/>
          <w:szCs w:val="26"/>
        </w:rPr>
        <w:t xml:space="preserve">, </w:t>
      </w:r>
      <w:r w:rsidR="008243E9">
        <w:rPr>
          <w:rFonts w:eastAsiaTheme="minorHAnsi"/>
          <w:szCs w:val="26"/>
        </w:rPr>
        <w:t xml:space="preserve">el resultado de las verificaciones realizadas es razonable, </w:t>
      </w:r>
      <w:r w:rsidR="00DD21F4">
        <w:rPr>
          <w:rFonts w:eastAsiaTheme="minorHAnsi"/>
          <w:szCs w:val="26"/>
        </w:rPr>
        <w:t xml:space="preserve">no </w:t>
      </w:r>
      <w:r w:rsidR="008243E9">
        <w:rPr>
          <w:rFonts w:eastAsiaTheme="minorHAnsi"/>
          <w:szCs w:val="26"/>
        </w:rPr>
        <w:t xml:space="preserve">habiéndose </w:t>
      </w:r>
      <w:r w:rsidRPr="000D6CAF">
        <w:rPr>
          <w:rFonts w:eastAsiaTheme="minorHAnsi"/>
          <w:szCs w:val="26"/>
        </w:rPr>
        <w:t>encon</w:t>
      </w:r>
      <w:r w:rsidR="00CD437C">
        <w:rPr>
          <w:rFonts w:eastAsiaTheme="minorHAnsi"/>
          <w:szCs w:val="26"/>
        </w:rPr>
        <w:t>tr</w:t>
      </w:r>
      <w:r w:rsidR="008243E9">
        <w:rPr>
          <w:rFonts w:eastAsiaTheme="minorHAnsi"/>
          <w:szCs w:val="26"/>
        </w:rPr>
        <w:t xml:space="preserve">ado </w:t>
      </w:r>
      <w:r w:rsidRPr="000D6CAF">
        <w:rPr>
          <w:rFonts w:eastAsiaTheme="minorHAnsi"/>
          <w:szCs w:val="26"/>
        </w:rPr>
        <w:t>difere</w:t>
      </w:r>
      <w:r w:rsidRPr="000D6CAF">
        <w:rPr>
          <w:rFonts w:eastAsiaTheme="minorHAnsi"/>
          <w:szCs w:val="26"/>
        </w:rPr>
        <w:t>n</w:t>
      </w:r>
      <w:r w:rsidRPr="000D6CAF">
        <w:rPr>
          <w:rFonts w:eastAsiaTheme="minorHAnsi"/>
          <w:szCs w:val="26"/>
        </w:rPr>
        <w:t>cias signi</w:t>
      </w:r>
      <w:r w:rsidR="007F34E2">
        <w:rPr>
          <w:rFonts w:eastAsiaTheme="minorHAnsi"/>
          <w:szCs w:val="26"/>
        </w:rPr>
        <w:t>ficativas.</w:t>
      </w:r>
    </w:p>
    <w:p w:rsidR="0017115B" w:rsidRPr="00AD7F66" w:rsidRDefault="00980F55" w:rsidP="00565F40">
      <w:pPr>
        <w:pStyle w:val="atitulo3"/>
        <w:spacing w:before="240" w:after="200"/>
        <w:rPr>
          <w:rFonts w:cs="Arial"/>
        </w:rPr>
      </w:pPr>
      <w:bookmarkStart w:id="42" w:name="_Toc521909268"/>
      <w:r>
        <w:rPr>
          <w:rFonts w:cs="Arial"/>
        </w:rPr>
        <w:lastRenderedPageBreak/>
        <w:t>V.2</w:t>
      </w:r>
      <w:r w:rsidR="0017115B" w:rsidRPr="00AD7F66">
        <w:rPr>
          <w:rFonts w:cs="Arial"/>
        </w:rPr>
        <w:t>.</w:t>
      </w:r>
      <w:r w:rsidR="007F34E2">
        <w:rPr>
          <w:rFonts w:cs="Arial"/>
        </w:rPr>
        <w:t>2.4</w:t>
      </w:r>
      <w:r>
        <w:rPr>
          <w:rFonts w:cs="Arial"/>
        </w:rPr>
        <w:t>.</w:t>
      </w:r>
      <w:r w:rsidR="0017115B" w:rsidRPr="00AD7F66">
        <w:rPr>
          <w:rFonts w:cs="Arial"/>
        </w:rPr>
        <w:t xml:space="preserve"> </w:t>
      </w:r>
      <w:r w:rsidR="006E26D6">
        <w:rPr>
          <w:rFonts w:cs="Arial"/>
        </w:rPr>
        <w:t>Otras m</w:t>
      </w:r>
      <w:r w:rsidR="0017115B" w:rsidRPr="00AD7F66">
        <w:rPr>
          <w:rFonts w:cs="Arial"/>
        </w:rPr>
        <w:t>edida</w:t>
      </w:r>
      <w:bookmarkEnd w:id="42"/>
      <w:r w:rsidR="006E26D6">
        <w:rPr>
          <w:rFonts w:cs="Arial"/>
        </w:rPr>
        <w:t>s</w:t>
      </w:r>
    </w:p>
    <w:p w:rsidR="0017115B" w:rsidRDefault="0017115B" w:rsidP="00612D36">
      <w:pPr>
        <w:pStyle w:val="texto"/>
        <w:spacing w:after="120"/>
        <w:rPr>
          <w:rFonts w:eastAsiaTheme="minorHAnsi"/>
          <w:szCs w:val="26"/>
        </w:rPr>
      </w:pPr>
      <w:r w:rsidRPr="00177E5A">
        <w:rPr>
          <w:rFonts w:eastAsiaTheme="minorHAnsi"/>
          <w:szCs w:val="26"/>
        </w:rPr>
        <w:t>El detalle es el si</w:t>
      </w:r>
      <w:r w:rsidR="007C2D33">
        <w:rPr>
          <w:rFonts w:eastAsiaTheme="minorHAnsi"/>
          <w:szCs w:val="26"/>
        </w:rPr>
        <w:t>guiente</w:t>
      </w:r>
      <w:r w:rsidR="006E3B05">
        <w:rPr>
          <w:rFonts w:eastAsiaTheme="minorHAnsi"/>
          <w:szCs w:val="26"/>
        </w:rPr>
        <w:t>:</w:t>
      </w:r>
    </w:p>
    <w:p w:rsidR="009558BF" w:rsidRDefault="00612D36" w:rsidP="00612D36">
      <w:pPr>
        <w:pStyle w:val="texto"/>
        <w:tabs>
          <w:tab w:val="clear" w:pos="2835"/>
          <w:tab w:val="clear" w:pos="3969"/>
          <w:tab w:val="clear" w:pos="5103"/>
          <w:tab w:val="clear" w:pos="6237"/>
          <w:tab w:val="clear" w:pos="7371"/>
          <w:tab w:val="left" w:pos="480"/>
          <w:tab w:val="num" w:pos="1948"/>
        </w:tabs>
        <w:spacing w:after="100"/>
        <w:ind w:left="289" w:firstLine="0"/>
        <w:jc w:val="right"/>
        <w:rPr>
          <w:rFonts w:cs="Arial"/>
        </w:rPr>
      </w:pPr>
      <w:r w:rsidRPr="00862DAE">
        <w:rPr>
          <w:rFonts w:ascii="Arial Narrow" w:hAnsi="Arial Narrow"/>
          <w:sz w:val="16"/>
          <w:szCs w:val="16"/>
        </w:rPr>
        <w:t>(en miles de euros)</w:t>
      </w:r>
    </w:p>
    <w:tbl>
      <w:tblPr>
        <w:tblW w:w="870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15"/>
        <w:gridCol w:w="2189"/>
      </w:tblGrid>
      <w:tr w:rsidR="0017115B" w:rsidRPr="00661202" w:rsidTr="007C2D33">
        <w:trPr>
          <w:trHeight w:val="340"/>
          <w:jc w:val="center"/>
        </w:trPr>
        <w:tc>
          <w:tcPr>
            <w:tcW w:w="6515" w:type="dxa"/>
            <w:tcBorders>
              <w:bottom w:val="single" w:sz="4" w:space="0" w:color="auto"/>
            </w:tcBorders>
            <w:shd w:val="clear" w:color="000000" w:fill="8DB4E2"/>
            <w:noWrap/>
            <w:vAlign w:val="center"/>
            <w:hideMark/>
          </w:tcPr>
          <w:p w:rsidR="0017115B" w:rsidRPr="00661202" w:rsidRDefault="00661202" w:rsidP="00661202">
            <w:pPr>
              <w:spacing w:after="0"/>
              <w:ind w:firstLine="0"/>
              <w:jc w:val="left"/>
              <w:rPr>
                <w:rFonts w:ascii="Arial" w:hAnsi="Arial" w:cs="Arial"/>
                <w:color w:val="000000"/>
                <w:sz w:val="18"/>
                <w:szCs w:val="18"/>
                <w:lang w:val="es-ES" w:eastAsia="es-ES"/>
              </w:rPr>
            </w:pPr>
            <w:r w:rsidRPr="00661202">
              <w:rPr>
                <w:rFonts w:ascii="Arial" w:hAnsi="Arial" w:cs="Arial"/>
                <w:color w:val="000000"/>
                <w:sz w:val="18"/>
                <w:szCs w:val="18"/>
                <w:lang w:val="es-ES" w:eastAsia="es-ES"/>
              </w:rPr>
              <w:t>Medidas</w:t>
            </w:r>
          </w:p>
        </w:tc>
        <w:tc>
          <w:tcPr>
            <w:tcW w:w="2189" w:type="dxa"/>
            <w:tcBorders>
              <w:bottom w:val="single" w:sz="4" w:space="0" w:color="auto"/>
            </w:tcBorders>
            <w:shd w:val="clear" w:color="000000" w:fill="8DB4E2"/>
            <w:noWrap/>
            <w:vAlign w:val="center"/>
            <w:hideMark/>
          </w:tcPr>
          <w:p w:rsidR="0017115B" w:rsidRPr="00661202" w:rsidRDefault="00EA58D6" w:rsidP="009558BF">
            <w:pPr>
              <w:spacing w:after="0"/>
              <w:ind w:firstLine="0"/>
              <w:jc w:val="right"/>
              <w:rPr>
                <w:rFonts w:ascii="Arial" w:hAnsi="Arial" w:cs="Arial"/>
                <w:color w:val="000000"/>
                <w:sz w:val="18"/>
                <w:szCs w:val="18"/>
                <w:lang w:val="es-ES" w:eastAsia="es-ES"/>
              </w:rPr>
            </w:pPr>
            <w:r w:rsidRPr="00661202">
              <w:rPr>
                <w:rFonts w:ascii="Arial" w:hAnsi="Arial" w:cs="Arial"/>
                <w:color w:val="000000"/>
                <w:sz w:val="18"/>
                <w:szCs w:val="18"/>
                <w:lang w:val="es-ES" w:eastAsia="es-ES"/>
              </w:rPr>
              <w:t>Total</w:t>
            </w:r>
            <w:r w:rsidR="007C2D33">
              <w:rPr>
                <w:rFonts w:ascii="Arial" w:hAnsi="Arial" w:cs="Arial"/>
                <w:color w:val="000000"/>
                <w:sz w:val="18"/>
                <w:szCs w:val="18"/>
                <w:lang w:val="es-ES" w:eastAsia="es-ES"/>
              </w:rPr>
              <w:t xml:space="preserve"> </w:t>
            </w:r>
          </w:p>
        </w:tc>
      </w:tr>
      <w:tr w:rsidR="0017115B" w:rsidRPr="00661202" w:rsidTr="007C2D33">
        <w:trPr>
          <w:trHeight w:val="255"/>
          <w:jc w:val="center"/>
        </w:trPr>
        <w:tc>
          <w:tcPr>
            <w:tcW w:w="6515" w:type="dxa"/>
            <w:tcBorders>
              <w:bottom w:val="single" w:sz="2" w:space="0" w:color="auto"/>
            </w:tcBorders>
            <w:shd w:val="clear" w:color="auto" w:fill="auto"/>
            <w:noWrap/>
            <w:vAlign w:val="center"/>
            <w:hideMark/>
          </w:tcPr>
          <w:p w:rsidR="0017115B" w:rsidRPr="00661202" w:rsidRDefault="0017115B" w:rsidP="00661202">
            <w:pPr>
              <w:spacing w:after="0"/>
              <w:ind w:firstLine="0"/>
              <w:jc w:val="left"/>
              <w:rPr>
                <w:rFonts w:ascii="Arial Narrow" w:hAnsi="Arial Narrow"/>
                <w:color w:val="000000"/>
                <w:lang w:val="es-ES" w:eastAsia="es-ES"/>
              </w:rPr>
            </w:pPr>
            <w:r w:rsidRPr="00661202">
              <w:rPr>
                <w:rFonts w:ascii="Arial Narrow" w:hAnsi="Arial Narrow"/>
                <w:color w:val="000000"/>
                <w:lang w:val="es-ES" w:eastAsia="es-ES"/>
              </w:rPr>
              <w:t>SODENA- Refinanciación deuda</w:t>
            </w:r>
          </w:p>
        </w:tc>
        <w:tc>
          <w:tcPr>
            <w:tcW w:w="2189" w:type="dxa"/>
            <w:tcBorders>
              <w:bottom w:val="single" w:sz="2" w:space="0" w:color="auto"/>
            </w:tcBorders>
            <w:shd w:val="clear" w:color="auto" w:fill="auto"/>
            <w:noWrap/>
            <w:vAlign w:val="center"/>
          </w:tcPr>
          <w:p w:rsidR="0017115B" w:rsidRPr="00661202" w:rsidRDefault="002C58A0" w:rsidP="00661202">
            <w:pPr>
              <w:spacing w:after="0"/>
              <w:ind w:firstLine="0"/>
              <w:jc w:val="right"/>
              <w:rPr>
                <w:rFonts w:ascii="Arial Narrow" w:hAnsi="Arial Narrow"/>
                <w:color w:val="000000"/>
                <w:lang w:val="es-ES" w:eastAsia="es-ES"/>
              </w:rPr>
            </w:pPr>
            <w:r>
              <w:rPr>
                <w:rFonts w:ascii="Arial Narrow" w:hAnsi="Arial Narrow"/>
                <w:color w:val="000000"/>
                <w:lang w:val="es-ES" w:eastAsia="es-ES"/>
              </w:rPr>
              <w:t>3.039</w:t>
            </w:r>
          </w:p>
        </w:tc>
      </w:tr>
      <w:tr w:rsidR="0017115B" w:rsidRPr="00661202" w:rsidTr="007C2D33">
        <w:trPr>
          <w:trHeight w:val="255"/>
          <w:jc w:val="center"/>
        </w:trPr>
        <w:tc>
          <w:tcPr>
            <w:tcW w:w="6515" w:type="dxa"/>
            <w:tcBorders>
              <w:top w:val="single" w:sz="2" w:space="0" w:color="auto"/>
              <w:bottom w:val="single" w:sz="2" w:space="0" w:color="auto"/>
            </w:tcBorders>
            <w:shd w:val="clear" w:color="auto" w:fill="auto"/>
            <w:noWrap/>
            <w:vAlign w:val="center"/>
            <w:hideMark/>
          </w:tcPr>
          <w:p w:rsidR="0017115B" w:rsidRPr="00661202" w:rsidRDefault="0017115B" w:rsidP="00661202">
            <w:pPr>
              <w:spacing w:after="0"/>
              <w:ind w:firstLine="0"/>
              <w:jc w:val="left"/>
              <w:rPr>
                <w:rFonts w:ascii="Arial Narrow" w:hAnsi="Arial Narrow"/>
                <w:color w:val="000000"/>
                <w:lang w:val="es-ES" w:eastAsia="es-ES"/>
              </w:rPr>
            </w:pPr>
            <w:r w:rsidRPr="00661202">
              <w:rPr>
                <w:rFonts w:ascii="Arial Narrow" w:hAnsi="Arial Narrow"/>
                <w:color w:val="000000"/>
                <w:lang w:val="es-ES" w:eastAsia="es-ES"/>
              </w:rPr>
              <w:t>CAT- Refinanciación deuda</w:t>
            </w:r>
          </w:p>
        </w:tc>
        <w:tc>
          <w:tcPr>
            <w:tcW w:w="2189" w:type="dxa"/>
            <w:tcBorders>
              <w:top w:val="single" w:sz="2" w:space="0" w:color="auto"/>
              <w:bottom w:val="single" w:sz="2" w:space="0" w:color="auto"/>
            </w:tcBorders>
            <w:shd w:val="clear" w:color="auto" w:fill="auto"/>
            <w:noWrap/>
            <w:vAlign w:val="center"/>
          </w:tcPr>
          <w:p w:rsidR="0017115B" w:rsidRPr="00661202" w:rsidRDefault="002C58A0" w:rsidP="00661202">
            <w:pPr>
              <w:spacing w:after="0"/>
              <w:ind w:firstLine="0"/>
              <w:jc w:val="right"/>
              <w:rPr>
                <w:rFonts w:ascii="Arial Narrow" w:hAnsi="Arial Narrow"/>
                <w:color w:val="000000"/>
                <w:lang w:val="es-ES" w:eastAsia="es-ES"/>
              </w:rPr>
            </w:pPr>
            <w:r>
              <w:rPr>
                <w:rFonts w:ascii="Arial Narrow" w:hAnsi="Arial Narrow"/>
                <w:color w:val="000000"/>
                <w:lang w:val="es-ES" w:eastAsia="es-ES"/>
              </w:rPr>
              <w:t>642</w:t>
            </w:r>
          </w:p>
        </w:tc>
      </w:tr>
      <w:tr w:rsidR="0017115B" w:rsidRPr="00661202" w:rsidTr="007C2D33">
        <w:trPr>
          <w:trHeight w:val="255"/>
          <w:jc w:val="center"/>
        </w:trPr>
        <w:tc>
          <w:tcPr>
            <w:tcW w:w="6515" w:type="dxa"/>
            <w:tcBorders>
              <w:top w:val="single" w:sz="2" w:space="0" w:color="auto"/>
              <w:bottom w:val="single" w:sz="2" w:space="0" w:color="auto"/>
            </w:tcBorders>
            <w:shd w:val="clear" w:color="auto" w:fill="auto"/>
            <w:noWrap/>
            <w:vAlign w:val="center"/>
            <w:hideMark/>
          </w:tcPr>
          <w:p w:rsidR="0017115B" w:rsidRPr="00661202" w:rsidRDefault="0017115B" w:rsidP="00661202">
            <w:pPr>
              <w:spacing w:after="0"/>
              <w:ind w:firstLine="0"/>
              <w:jc w:val="left"/>
              <w:rPr>
                <w:rFonts w:ascii="Arial Narrow" w:hAnsi="Arial Narrow"/>
                <w:color w:val="000000"/>
                <w:lang w:val="es-ES" w:eastAsia="es-ES"/>
              </w:rPr>
            </w:pPr>
            <w:r w:rsidRPr="00661202">
              <w:rPr>
                <w:rFonts w:ascii="Arial Narrow" w:hAnsi="Arial Narrow"/>
                <w:color w:val="000000"/>
                <w:lang w:val="es-ES" w:eastAsia="es-ES"/>
              </w:rPr>
              <w:t>NDO- Externalización Circuito Los Arcos</w:t>
            </w:r>
          </w:p>
        </w:tc>
        <w:tc>
          <w:tcPr>
            <w:tcW w:w="2189" w:type="dxa"/>
            <w:tcBorders>
              <w:top w:val="single" w:sz="2" w:space="0" w:color="auto"/>
              <w:bottom w:val="single" w:sz="2" w:space="0" w:color="auto"/>
            </w:tcBorders>
            <w:shd w:val="clear" w:color="auto" w:fill="auto"/>
            <w:noWrap/>
            <w:vAlign w:val="center"/>
            <w:hideMark/>
          </w:tcPr>
          <w:p w:rsidR="0017115B" w:rsidRPr="00661202" w:rsidRDefault="0017115B" w:rsidP="00661202">
            <w:pPr>
              <w:spacing w:after="0"/>
              <w:ind w:firstLine="0"/>
              <w:jc w:val="right"/>
              <w:rPr>
                <w:rFonts w:ascii="Arial Narrow" w:hAnsi="Arial Narrow"/>
                <w:color w:val="000000"/>
                <w:lang w:val="es-ES" w:eastAsia="es-ES"/>
              </w:rPr>
            </w:pPr>
            <w:r w:rsidRPr="00661202">
              <w:rPr>
                <w:rFonts w:ascii="Arial Narrow" w:hAnsi="Arial Narrow"/>
                <w:color w:val="000000"/>
                <w:lang w:val="es-ES" w:eastAsia="es-ES"/>
              </w:rPr>
              <w:t>1.200</w:t>
            </w:r>
          </w:p>
        </w:tc>
      </w:tr>
      <w:tr w:rsidR="0017115B" w:rsidRPr="00661202" w:rsidTr="007C2D33">
        <w:trPr>
          <w:trHeight w:val="255"/>
          <w:jc w:val="center"/>
        </w:trPr>
        <w:tc>
          <w:tcPr>
            <w:tcW w:w="6515" w:type="dxa"/>
            <w:tcBorders>
              <w:top w:val="single" w:sz="2" w:space="0" w:color="auto"/>
              <w:bottom w:val="single" w:sz="2" w:space="0" w:color="auto"/>
            </w:tcBorders>
            <w:shd w:val="clear" w:color="auto" w:fill="auto"/>
            <w:noWrap/>
            <w:vAlign w:val="center"/>
            <w:hideMark/>
          </w:tcPr>
          <w:p w:rsidR="0017115B" w:rsidRPr="00661202" w:rsidRDefault="0017115B" w:rsidP="00661202">
            <w:pPr>
              <w:spacing w:after="0"/>
              <w:ind w:firstLine="0"/>
              <w:jc w:val="left"/>
              <w:rPr>
                <w:rFonts w:ascii="Arial Narrow" w:hAnsi="Arial Narrow"/>
                <w:color w:val="000000"/>
                <w:lang w:val="es-ES" w:eastAsia="es-ES"/>
              </w:rPr>
            </w:pPr>
            <w:r w:rsidRPr="00661202">
              <w:rPr>
                <w:rFonts w:ascii="Arial Narrow" w:hAnsi="Arial Narrow"/>
                <w:color w:val="000000"/>
                <w:lang w:val="es-ES" w:eastAsia="es-ES"/>
              </w:rPr>
              <w:t>Modificación retribución consejeros</w:t>
            </w:r>
          </w:p>
        </w:tc>
        <w:tc>
          <w:tcPr>
            <w:tcW w:w="2189" w:type="dxa"/>
            <w:tcBorders>
              <w:top w:val="single" w:sz="2" w:space="0" w:color="auto"/>
              <w:bottom w:val="single" w:sz="2" w:space="0" w:color="auto"/>
            </w:tcBorders>
            <w:shd w:val="clear" w:color="auto" w:fill="auto"/>
            <w:noWrap/>
            <w:vAlign w:val="center"/>
            <w:hideMark/>
          </w:tcPr>
          <w:p w:rsidR="0017115B" w:rsidRPr="00661202" w:rsidRDefault="0017115B" w:rsidP="00661202">
            <w:pPr>
              <w:spacing w:after="0"/>
              <w:ind w:firstLine="0"/>
              <w:jc w:val="right"/>
              <w:rPr>
                <w:rFonts w:ascii="Arial Narrow" w:hAnsi="Arial Narrow"/>
                <w:color w:val="000000"/>
                <w:lang w:val="es-ES" w:eastAsia="es-ES"/>
              </w:rPr>
            </w:pPr>
            <w:r w:rsidRPr="00661202">
              <w:rPr>
                <w:rFonts w:ascii="Arial Narrow" w:hAnsi="Arial Narrow"/>
                <w:color w:val="000000"/>
                <w:lang w:val="es-ES" w:eastAsia="es-ES"/>
              </w:rPr>
              <w:t>337</w:t>
            </w:r>
          </w:p>
        </w:tc>
      </w:tr>
      <w:tr w:rsidR="0017115B" w:rsidRPr="00DD21F4" w:rsidTr="007C2D33">
        <w:trPr>
          <w:trHeight w:val="255"/>
          <w:jc w:val="center"/>
        </w:trPr>
        <w:tc>
          <w:tcPr>
            <w:tcW w:w="6515" w:type="dxa"/>
            <w:tcBorders>
              <w:top w:val="single" w:sz="2" w:space="0" w:color="auto"/>
            </w:tcBorders>
            <w:shd w:val="clear" w:color="auto" w:fill="auto"/>
            <w:noWrap/>
            <w:vAlign w:val="center"/>
            <w:hideMark/>
          </w:tcPr>
          <w:p w:rsidR="0017115B" w:rsidRPr="00DD21F4" w:rsidRDefault="0017115B" w:rsidP="00661202">
            <w:pPr>
              <w:spacing w:after="0"/>
              <w:ind w:firstLine="0"/>
              <w:jc w:val="left"/>
              <w:rPr>
                <w:rFonts w:ascii="Arial Narrow" w:hAnsi="Arial Narrow"/>
                <w:lang w:val="es-ES" w:eastAsia="es-ES"/>
              </w:rPr>
            </w:pPr>
            <w:r w:rsidRPr="00DD21F4">
              <w:rPr>
                <w:rFonts w:ascii="Arial Narrow" w:hAnsi="Arial Narrow"/>
                <w:lang w:val="es-ES" w:eastAsia="es-ES"/>
              </w:rPr>
              <w:t>Desahorro de la paga extra (51%)</w:t>
            </w:r>
          </w:p>
        </w:tc>
        <w:tc>
          <w:tcPr>
            <w:tcW w:w="2189" w:type="dxa"/>
            <w:tcBorders>
              <w:top w:val="single" w:sz="2" w:space="0" w:color="auto"/>
            </w:tcBorders>
            <w:shd w:val="clear" w:color="auto" w:fill="auto"/>
            <w:noWrap/>
            <w:vAlign w:val="center"/>
            <w:hideMark/>
          </w:tcPr>
          <w:p w:rsidR="0017115B" w:rsidRPr="00DD21F4" w:rsidRDefault="0017115B" w:rsidP="00661202">
            <w:pPr>
              <w:spacing w:after="0"/>
              <w:ind w:firstLine="0"/>
              <w:jc w:val="right"/>
              <w:rPr>
                <w:rFonts w:ascii="Arial Narrow" w:hAnsi="Arial Narrow"/>
                <w:lang w:val="es-ES" w:eastAsia="es-ES"/>
              </w:rPr>
            </w:pPr>
            <w:r w:rsidRPr="00DD21F4">
              <w:rPr>
                <w:rFonts w:ascii="Arial Narrow" w:hAnsi="Arial Narrow"/>
                <w:lang w:val="es-ES" w:eastAsia="es-ES"/>
              </w:rPr>
              <w:t>-1.215</w:t>
            </w:r>
          </w:p>
        </w:tc>
      </w:tr>
      <w:tr w:rsidR="0017115B" w:rsidRPr="00661202" w:rsidTr="007C2D33">
        <w:trPr>
          <w:trHeight w:val="300"/>
          <w:jc w:val="center"/>
        </w:trPr>
        <w:tc>
          <w:tcPr>
            <w:tcW w:w="6515" w:type="dxa"/>
            <w:shd w:val="clear" w:color="000000" w:fill="8DB4E2"/>
            <w:noWrap/>
            <w:vAlign w:val="center"/>
            <w:hideMark/>
          </w:tcPr>
          <w:p w:rsidR="0017115B" w:rsidRPr="00661202" w:rsidRDefault="00661202" w:rsidP="00661202">
            <w:pPr>
              <w:spacing w:after="0"/>
              <w:ind w:firstLine="0"/>
              <w:jc w:val="left"/>
              <w:rPr>
                <w:rFonts w:ascii="Arial" w:hAnsi="Arial" w:cs="Arial"/>
                <w:color w:val="000000"/>
                <w:sz w:val="18"/>
                <w:szCs w:val="18"/>
                <w:lang w:val="es-ES" w:eastAsia="es-ES"/>
              </w:rPr>
            </w:pPr>
            <w:r w:rsidRPr="00661202">
              <w:rPr>
                <w:rFonts w:ascii="Arial" w:hAnsi="Arial" w:cs="Arial"/>
                <w:color w:val="000000"/>
                <w:sz w:val="18"/>
                <w:szCs w:val="18"/>
                <w:lang w:val="es-ES" w:eastAsia="es-ES"/>
              </w:rPr>
              <w:t>Total</w:t>
            </w:r>
          </w:p>
        </w:tc>
        <w:tc>
          <w:tcPr>
            <w:tcW w:w="2189" w:type="dxa"/>
            <w:shd w:val="clear" w:color="000000" w:fill="8DB4E2"/>
            <w:noWrap/>
            <w:vAlign w:val="center"/>
            <w:hideMark/>
          </w:tcPr>
          <w:p w:rsidR="0017115B" w:rsidRPr="00661202" w:rsidRDefault="002C58A0" w:rsidP="0066120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4.003</w:t>
            </w:r>
          </w:p>
        </w:tc>
      </w:tr>
    </w:tbl>
    <w:p w:rsidR="007F34E2" w:rsidRPr="004E4F0E" w:rsidRDefault="00EB6705" w:rsidP="007C3887">
      <w:pPr>
        <w:pStyle w:val="texto"/>
        <w:spacing w:before="180" w:after="120"/>
        <w:rPr>
          <w:rFonts w:eastAsiaTheme="minorHAnsi"/>
          <w:szCs w:val="26"/>
        </w:rPr>
      </w:pPr>
      <w:r>
        <w:rPr>
          <w:rFonts w:eastAsiaTheme="minorHAnsi"/>
          <w:szCs w:val="26"/>
        </w:rPr>
        <w:t xml:space="preserve">Hemos revisado la totalidad de las medidas y </w:t>
      </w:r>
      <w:r w:rsidR="007F34E2" w:rsidRPr="004E4F0E">
        <w:rPr>
          <w:rFonts w:eastAsiaTheme="minorHAnsi"/>
          <w:szCs w:val="26"/>
        </w:rPr>
        <w:t xml:space="preserve">consideramos </w:t>
      </w:r>
      <w:r w:rsidR="00B419F0">
        <w:rPr>
          <w:rFonts w:eastAsiaTheme="minorHAnsi"/>
          <w:szCs w:val="26"/>
        </w:rPr>
        <w:t>que l</w:t>
      </w:r>
      <w:r>
        <w:rPr>
          <w:rFonts w:eastAsiaTheme="minorHAnsi"/>
          <w:szCs w:val="26"/>
        </w:rPr>
        <w:t>as estim</w:t>
      </w:r>
      <w:r>
        <w:rPr>
          <w:rFonts w:eastAsiaTheme="minorHAnsi"/>
          <w:szCs w:val="26"/>
        </w:rPr>
        <w:t>a</w:t>
      </w:r>
      <w:r>
        <w:rPr>
          <w:rFonts w:eastAsiaTheme="minorHAnsi"/>
          <w:szCs w:val="26"/>
        </w:rPr>
        <w:t>ciones son razonables</w:t>
      </w:r>
      <w:r w:rsidR="007F34E2" w:rsidRPr="004E4F0E">
        <w:rPr>
          <w:rFonts w:eastAsiaTheme="minorHAnsi"/>
          <w:szCs w:val="26"/>
        </w:rPr>
        <w:t>, a ex</w:t>
      </w:r>
      <w:r w:rsidR="00673EB0">
        <w:rPr>
          <w:rFonts w:eastAsiaTheme="minorHAnsi"/>
          <w:szCs w:val="26"/>
        </w:rPr>
        <w:t>cepción de lo siguiente</w:t>
      </w:r>
      <w:r w:rsidR="007F34E2" w:rsidRPr="004E4F0E">
        <w:rPr>
          <w:rFonts w:eastAsiaTheme="minorHAnsi"/>
          <w:szCs w:val="26"/>
        </w:rPr>
        <w:t xml:space="preserve">: </w:t>
      </w:r>
    </w:p>
    <w:p w:rsidR="0017115B" w:rsidRPr="002675C9" w:rsidRDefault="0017115B" w:rsidP="007C3887">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2675C9">
        <w:rPr>
          <w:rFonts w:cs="Arial"/>
        </w:rPr>
        <w:t xml:space="preserve">Refinanciación de la deuda en </w:t>
      </w:r>
      <w:r w:rsidR="004529AE" w:rsidRPr="002675C9">
        <w:rPr>
          <w:rFonts w:cs="Arial"/>
        </w:rPr>
        <w:t>SODENA</w:t>
      </w:r>
      <w:r w:rsidR="00136E0E" w:rsidRPr="002675C9">
        <w:rPr>
          <w:rFonts w:cs="Arial"/>
        </w:rPr>
        <w:t xml:space="preserve"> </w:t>
      </w:r>
      <w:r w:rsidRPr="002675C9">
        <w:rPr>
          <w:rFonts w:cs="Arial"/>
        </w:rPr>
        <w:t>y CAT</w:t>
      </w:r>
      <w:r w:rsidR="00561278">
        <w:rPr>
          <w:rFonts w:cs="Arial"/>
        </w:rPr>
        <w:t>, en la que deben realiza</w:t>
      </w:r>
      <w:r w:rsidR="00561278">
        <w:rPr>
          <w:rFonts w:cs="Arial"/>
        </w:rPr>
        <w:t>r</w:t>
      </w:r>
      <w:r w:rsidR="00561278">
        <w:rPr>
          <w:rFonts w:cs="Arial"/>
        </w:rPr>
        <w:t>se los siguientes ajustes:</w:t>
      </w:r>
    </w:p>
    <w:p w:rsidR="0017115B" w:rsidRPr="006E3B05" w:rsidRDefault="002675C9" w:rsidP="002675C9">
      <w:pPr>
        <w:pStyle w:val="texto"/>
        <w:rPr>
          <w:rFonts w:eastAsiaTheme="minorHAnsi"/>
          <w:szCs w:val="26"/>
        </w:rPr>
      </w:pPr>
      <w:r w:rsidRPr="006E3B05">
        <w:rPr>
          <w:rFonts w:eastAsiaTheme="minorHAnsi"/>
          <w:szCs w:val="26"/>
        </w:rPr>
        <w:t>a)</w:t>
      </w:r>
      <w:r w:rsidR="007634FE">
        <w:rPr>
          <w:rFonts w:eastAsiaTheme="minorHAnsi"/>
          <w:szCs w:val="26"/>
        </w:rPr>
        <w:t xml:space="preserve"> </w:t>
      </w:r>
      <w:r w:rsidR="00673EB0">
        <w:rPr>
          <w:rFonts w:eastAsiaTheme="minorHAnsi"/>
          <w:szCs w:val="26"/>
        </w:rPr>
        <w:t>CPEN calculó el ahorro motivado por las variaciones de las condiciones de la deuda para un periodo</w:t>
      </w:r>
      <w:r w:rsidR="00DA2E5B">
        <w:rPr>
          <w:rFonts w:eastAsiaTheme="minorHAnsi"/>
          <w:szCs w:val="26"/>
        </w:rPr>
        <w:t xml:space="preserve"> de 12 meses. </w:t>
      </w:r>
      <w:r w:rsidR="00DF6A0F">
        <w:rPr>
          <w:rFonts w:eastAsiaTheme="minorHAnsi"/>
          <w:szCs w:val="26"/>
        </w:rPr>
        <w:t>Al tener en cuenta el efecto de la o</w:t>
      </w:r>
      <w:r w:rsidR="000A6322">
        <w:rPr>
          <w:rFonts w:eastAsiaTheme="minorHAnsi"/>
          <w:szCs w:val="26"/>
        </w:rPr>
        <w:t>peración de venta de acciones de Iberdrola</w:t>
      </w:r>
      <w:r w:rsidR="00DF6A0F">
        <w:rPr>
          <w:rFonts w:eastAsiaTheme="minorHAnsi"/>
          <w:szCs w:val="26"/>
        </w:rPr>
        <w:t xml:space="preserve"> </w:t>
      </w:r>
      <w:r w:rsidR="000A6322">
        <w:rPr>
          <w:rFonts w:eastAsiaTheme="minorHAnsi"/>
          <w:szCs w:val="26"/>
        </w:rPr>
        <w:t>y c</w:t>
      </w:r>
      <w:r w:rsidR="006E3B05">
        <w:rPr>
          <w:rFonts w:eastAsiaTheme="minorHAnsi"/>
          <w:szCs w:val="26"/>
        </w:rPr>
        <w:t>onsi</w:t>
      </w:r>
      <w:r w:rsidR="0056162A">
        <w:rPr>
          <w:rFonts w:eastAsiaTheme="minorHAnsi"/>
          <w:szCs w:val="26"/>
        </w:rPr>
        <w:t>derando que el periodo e</w:t>
      </w:r>
      <w:r w:rsidR="0056162A">
        <w:rPr>
          <w:rFonts w:eastAsiaTheme="minorHAnsi"/>
          <w:szCs w:val="26"/>
        </w:rPr>
        <w:t>n</w:t>
      </w:r>
      <w:r w:rsidR="0056162A">
        <w:rPr>
          <w:rFonts w:eastAsiaTheme="minorHAnsi"/>
          <w:szCs w:val="26"/>
        </w:rPr>
        <w:t xml:space="preserve">tre la fecha de refinanciación y la de cancelación de </w:t>
      </w:r>
      <w:r w:rsidR="007C2D33">
        <w:rPr>
          <w:rFonts w:eastAsiaTheme="minorHAnsi"/>
          <w:szCs w:val="26"/>
        </w:rPr>
        <w:t xml:space="preserve">parte de </w:t>
      </w:r>
      <w:r w:rsidR="0056162A">
        <w:rPr>
          <w:rFonts w:eastAsiaTheme="minorHAnsi"/>
          <w:szCs w:val="26"/>
        </w:rPr>
        <w:t xml:space="preserve">la deuda </w:t>
      </w:r>
      <w:r w:rsidR="000A6322">
        <w:rPr>
          <w:rFonts w:eastAsiaTheme="minorHAnsi"/>
          <w:szCs w:val="26"/>
        </w:rPr>
        <w:t xml:space="preserve">por la venta de las acciones </w:t>
      </w:r>
      <w:r w:rsidR="0056162A">
        <w:rPr>
          <w:rFonts w:eastAsiaTheme="minorHAnsi"/>
          <w:szCs w:val="26"/>
        </w:rPr>
        <w:t xml:space="preserve">ha sido de ocho meses, entendemos que </w:t>
      </w:r>
      <w:r w:rsidR="000A6322">
        <w:rPr>
          <w:rFonts w:eastAsiaTheme="minorHAnsi"/>
          <w:szCs w:val="26"/>
        </w:rPr>
        <w:t>de</w:t>
      </w:r>
      <w:r w:rsidR="0056162A">
        <w:rPr>
          <w:rFonts w:eastAsiaTheme="minorHAnsi"/>
          <w:szCs w:val="26"/>
        </w:rPr>
        <w:t xml:space="preserve">l periodo </w:t>
      </w:r>
      <w:r w:rsidR="00C64C02">
        <w:rPr>
          <w:rFonts w:eastAsiaTheme="minorHAnsi"/>
          <w:szCs w:val="26"/>
        </w:rPr>
        <w:t>anual computado por CPEN</w:t>
      </w:r>
      <w:r w:rsidR="000A6322">
        <w:rPr>
          <w:rFonts w:eastAsiaTheme="minorHAnsi"/>
          <w:szCs w:val="26"/>
        </w:rPr>
        <w:t xml:space="preserve">, </w:t>
      </w:r>
      <w:r w:rsidR="0056162A">
        <w:rPr>
          <w:rFonts w:eastAsiaTheme="minorHAnsi"/>
          <w:szCs w:val="26"/>
        </w:rPr>
        <w:t xml:space="preserve">debiera eliminarse los cuatro meses restantes; eliminación que supone realizar un </w:t>
      </w:r>
      <w:r w:rsidR="006E3B05">
        <w:rPr>
          <w:rFonts w:eastAsiaTheme="minorHAnsi"/>
          <w:szCs w:val="26"/>
        </w:rPr>
        <w:t xml:space="preserve">ajuste </w:t>
      </w:r>
      <w:r w:rsidR="00AE115C">
        <w:rPr>
          <w:rFonts w:eastAsiaTheme="minorHAnsi"/>
          <w:szCs w:val="26"/>
        </w:rPr>
        <w:t xml:space="preserve">negativo </w:t>
      </w:r>
      <w:r w:rsidR="006E3B05">
        <w:rPr>
          <w:rFonts w:eastAsiaTheme="minorHAnsi"/>
          <w:szCs w:val="26"/>
        </w:rPr>
        <w:t xml:space="preserve">valorado en </w:t>
      </w:r>
      <w:r w:rsidR="000A6322">
        <w:rPr>
          <w:rFonts w:eastAsiaTheme="minorHAnsi"/>
          <w:szCs w:val="26"/>
        </w:rPr>
        <w:t>0,</w:t>
      </w:r>
      <w:r w:rsidR="006E3B05">
        <w:rPr>
          <w:rFonts w:eastAsiaTheme="minorHAnsi"/>
          <w:szCs w:val="26"/>
        </w:rPr>
        <w:t>61</w:t>
      </w:r>
      <w:r w:rsidR="000A6322">
        <w:rPr>
          <w:rFonts w:eastAsiaTheme="minorHAnsi"/>
          <w:szCs w:val="26"/>
        </w:rPr>
        <w:t xml:space="preserve"> millones </w:t>
      </w:r>
      <w:r w:rsidR="006E3B05">
        <w:rPr>
          <w:rFonts w:eastAsiaTheme="minorHAnsi"/>
          <w:szCs w:val="26"/>
        </w:rPr>
        <w:t>de</w:t>
      </w:r>
      <w:r w:rsidR="0017115B" w:rsidRPr="006E3B05">
        <w:rPr>
          <w:rFonts w:eastAsiaTheme="minorHAnsi"/>
          <w:szCs w:val="26"/>
        </w:rPr>
        <w:t xml:space="preserve"> </w:t>
      </w:r>
      <w:r w:rsidR="007F34E2" w:rsidRPr="006E3B05">
        <w:rPr>
          <w:rFonts w:eastAsiaTheme="minorHAnsi"/>
          <w:szCs w:val="26"/>
        </w:rPr>
        <w:t>euros.</w:t>
      </w:r>
    </w:p>
    <w:p w:rsidR="0017115B" w:rsidRDefault="002675C9" w:rsidP="007A7004">
      <w:pPr>
        <w:pStyle w:val="texto"/>
        <w:spacing w:after="180"/>
        <w:rPr>
          <w:rFonts w:eastAsiaTheme="minorHAnsi"/>
          <w:szCs w:val="26"/>
        </w:rPr>
      </w:pPr>
      <w:r>
        <w:rPr>
          <w:rFonts w:eastAsiaTheme="minorHAnsi"/>
          <w:szCs w:val="26"/>
        </w:rPr>
        <w:t xml:space="preserve">b) </w:t>
      </w:r>
      <w:r w:rsidR="00C64C02">
        <w:rPr>
          <w:rFonts w:eastAsiaTheme="minorHAnsi"/>
          <w:szCs w:val="26"/>
        </w:rPr>
        <w:t>SODENA y CAT redujeron parte de su endeudamiento mediante la liqu</w:t>
      </w:r>
      <w:r w:rsidR="00C64C02">
        <w:rPr>
          <w:rFonts w:eastAsiaTheme="minorHAnsi"/>
          <w:szCs w:val="26"/>
        </w:rPr>
        <w:t>i</w:t>
      </w:r>
      <w:r w:rsidR="00C64C02">
        <w:rPr>
          <w:rFonts w:eastAsiaTheme="minorHAnsi"/>
          <w:szCs w:val="26"/>
        </w:rPr>
        <w:t xml:space="preserve">dez </w:t>
      </w:r>
      <w:r w:rsidR="003110F1">
        <w:rPr>
          <w:rFonts w:eastAsiaTheme="minorHAnsi"/>
          <w:szCs w:val="26"/>
        </w:rPr>
        <w:t xml:space="preserve">obtenida por </w:t>
      </w:r>
      <w:r w:rsidR="00C64C02">
        <w:rPr>
          <w:rFonts w:eastAsiaTheme="minorHAnsi"/>
          <w:szCs w:val="26"/>
        </w:rPr>
        <w:t>una ampliación de capital que fue financiada desde la Adm</w:t>
      </w:r>
      <w:r w:rsidR="00C64C02">
        <w:rPr>
          <w:rFonts w:eastAsiaTheme="minorHAnsi"/>
          <w:szCs w:val="26"/>
        </w:rPr>
        <w:t>i</w:t>
      </w:r>
      <w:r w:rsidR="00C64C02">
        <w:rPr>
          <w:rFonts w:eastAsiaTheme="minorHAnsi"/>
          <w:szCs w:val="26"/>
        </w:rPr>
        <w:t xml:space="preserve">nistración de la Comunidad Foral </w:t>
      </w:r>
      <w:r w:rsidR="007634FE">
        <w:rPr>
          <w:rFonts w:eastAsiaTheme="minorHAnsi"/>
          <w:szCs w:val="26"/>
        </w:rPr>
        <w:t xml:space="preserve">a través de una aportación financiera a la </w:t>
      </w:r>
      <w:r w:rsidR="00C64C02">
        <w:rPr>
          <w:rFonts w:eastAsiaTheme="minorHAnsi"/>
          <w:szCs w:val="26"/>
        </w:rPr>
        <w:t xml:space="preserve">CPEN. </w:t>
      </w:r>
      <w:r w:rsidR="00B419F0">
        <w:rPr>
          <w:rFonts w:eastAsiaTheme="minorHAnsi"/>
          <w:szCs w:val="26"/>
        </w:rPr>
        <w:t>Si bien considera</w:t>
      </w:r>
      <w:r w:rsidR="00C64C02">
        <w:rPr>
          <w:rFonts w:eastAsiaTheme="minorHAnsi"/>
          <w:szCs w:val="26"/>
        </w:rPr>
        <w:t>mos como correcta</w:t>
      </w:r>
      <w:r w:rsidR="00B419F0">
        <w:rPr>
          <w:rFonts w:eastAsiaTheme="minorHAnsi"/>
          <w:szCs w:val="26"/>
        </w:rPr>
        <w:t xml:space="preserve"> la estimación como ahorro en las citadas sociedades por la menor </w:t>
      </w:r>
      <w:r w:rsidR="00551028">
        <w:rPr>
          <w:rFonts w:eastAsiaTheme="minorHAnsi"/>
          <w:szCs w:val="26"/>
        </w:rPr>
        <w:t xml:space="preserve">carga financiera </w:t>
      </w:r>
      <w:r w:rsidR="007A08D1">
        <w:rPr>
          <w:rFonts w:eastAsiaTheme="minorHAnsi"/>
          <w:szCs w:val="26"/>
        </w:rPr>
        <w:t>que se deja de pagar</w:t>
      </w:r>
      <w:r w:rsidR="000A6322">
        <w:rPr>
          <w:rFonts w:eastAsiaTheme="minorHAnsi"/>
          <w:szCs w:val="26"/>
        </w:rPr>
        <w:t xml:space="preserve">, </w:t>
      </w:r>
      <w:r w:rsidR="00B419F0">
        <w:rPr>
          <w:rFonts w:eastAsiaTheme="minorHAnsi"/>
          <w:szCs w:val="26"/>
        </w:rPr>
        <w:t>ente</w:t>
      </w:r>
      <w:r w:rsidR="00B419F0">
        <w:rPr>
          <w:rFonts w:eastAsiaTheme="minorHAnsi"/>
          <w:szCs w:val="26"/>
        </w:rPr>
        <w:t>n</w:t>
      </w:r>
      <w:r w:rsidR="00B419F0">
        <w:rPr>
          <w:rFonts w:eastAsiaTheme="minorHAnsi"/>
          <w:szCs w:val="26"/>
        </w:rPr>
        <w:t>demos</w:t>
      </w:r>
      <w:r w:rsidR="007634FE">
        <w:rPr>
          <w:rFonts w:eastAsiaTheme="minorHAnsi"/>
          <w:szCs w:val="26"/>
        </w:rPr>
        <w:t xml:space="preserve"> </w:t>
      </w:r>
      <w:r w:rsidR="000A6322">
        <w:rPr>
          <w:rFonts w:eastAsiaTheme="minorHAnsi"/>
          <w:szCs w:val="26"/>
        </w:rPr>
        <w:t xml:space="preserve">que </w:t>
      </w:r>
      <w:r w:rsidR="00D854BA">
        <w:rPr>
          <w:rFonts w:eastAsiaTheme="minorHAnsi"/>
          <w:szCs w:val="26"/>
        </w:rPr>
        <w:t xml:space="preserve">no se produce </w:t>
      </w:r>
      <w:r w:rsidR="00B419F0">
        <w:rPr>
          <w:rFonts w:eastAsiaTheme="minorHAnsi"/>
          <w:szCs w:val="26"/>
        </w:rPr>
        <w:t xml:space="preserve">ahorro </w:t>
      </w:r>
      <w:r w:rsidR="00D854BA">
        <w:rPr>
          <w:rFonts w:eastAsiaTheme="minorHAnsi"/>
          <w:szCs w:val="26"/>
        </w:rPr>
        <w:t xml:space="preserve">para </w:t>
      </w:r>
      <w:r w:rsidR="00CC23BC">
        <w:rPr>
          <w:rFonts w:eastAsiaTheme="minorHAnsi"/>
          <w:szCs w:val="26"/>
        </w:rPr>
        <w:t>el sector público foral</w:t>
      </w:r>
      <w:r w:rsidR="00D854BA">
        <w:rPr>
          <w:rFonts w:eastAsiaTheme="minorHAnsi"/>
          <w:szCs w:val="26"/>
        </w:rPr>
        <w:t>, por lo que real</w:t>
      </w:r>
      <w:r w:rsidR="00D854BA">
        <w:rPr>
          <w:rFonts w:eastAsiaTheme="minorHAnsi"/>
          <w:szCs w:val="26"/>
        </w:rPr>
        <w:t>i</w:t>
      </w:r>
      <w:r w:rsidR="00D854BA">
        <w:rPr>
          <w:rFonts w:eastAsiaTheme="minorHAnsi"/>
          <w:szCs w:val="26"/>
        </w:rPr>
        <w:t xml:space="preserve">zamos un ajuste </w:t>
      </w:r>
      <w:r w:rsidR="00AE115C">
        <w:rPr>
          <w:rFonts w:eastAsiaTheme="minorHAnsi"/>
          <w:szCs w:val="26"/>
        </w:rPr>
        <w:t xml:space="preserve">negativo </w:t>
      </w:r>
      <w:r w:rsidR="0017115B" w:rsidRPr="00177E5A">
        <w:rPr>
          <w:rFonts w:eastAsiaTheme="minorHAnsi"/>
          <w:szCs w:val="26"/>
        </w:rPr>
        <w:t xml:space="preserve">por </w:t>
      </w:r>
      <w:r w:rsidR="00B419F0">
        <w:rPr>
          <w:rFonts w:eastAsiaTheme="minorHAnsi"/>
          <w:szCs w:val="26"/>
        </w:rPr>
        <w:t xml:space="preserve">los </w:t>
      </w:r>
      <w:r w:rsidR="00C64C02">
        <w:rPr>
          <w:rFonts w:eastAsiaTheme="minorHAnsi"/>
          <w:szCs w:val="26"/>
        </w:rPr>
        <w:t xml:space="preserve">mismos </w:t>
      </w:r>
      <w:r w:rsidR="00B419F0">
        <w:rPr>
          <w:rFonts w:eastAsiaTheme="minorHAnsi"/>
          <w:szCs w:val="26"/>
        </w:rPr>
        <w:t xml:space="preserve">importes estimados </w:t>
      </w:r>
      <w:r w:rsidR="00DD015E">
        <w:rPr>
          <w:rFonts w:eastAsiaTheme="minorHAnsi"/>
          <w:szCs w:val="26"/>
        </w:rPr>
        <w:t>desde la corpor</w:t>
      </w:r>
      <w:r w:rsidR="00DD015E">
        <w:rPr>
          <w:rFonts w:eastAsiaTheme="minorHAnsi"/>
          <w:szCs w:val="26"/>
        </w:rPr>
        <w:t>a</w:t>
      </w:r>
      <w:r w:rsidR="00DD015E">
        <w:rPr>
          <w:rFonts w:eastAsiaTheme="minorHAnsi"/>
          <w:szCs w:val="26"/>
        </w:rPr>
        <w:t xml:space="preserve">ción </w:t>
      </w:r>
      <w:r w:rsidR="00B419F0">
        <w:rPr>
          <w:rFonts w:eastAsiaTheme="minorHAnsi"/>
          <w:szCs w:val="26"/>
        </w:rPr>
        <w:t>y que se corr</w:t>
      </w:r>
      <w:r w:rsidR="00DD015E">
        <w:rPr>
          <w:rFonts w:eastAsiaTheme="minorHAnsi"/>
          <w:szCs w:val="26"/>
        </w:rPr>
        <w:t xml:space="preserve">esponde con </w:t>
      </w:r>
      <w:r w:rsidR="00D854BA">
        <w:rPr>
          <w:rFonts w:eastAsiaTheme="minorHAnsi"/>
          <w:szCs w:val="26"/>
        </w:rPr>
        <w:t>1,</w:t>
      </w:r>
      <w:r w:rsidR="00C603A3">
        <w:rPr>
          <w:rFonts w:eastAsiaTheme="minorHAnsi"/>
          <w:szCs w:val="26"/>
        </w:rPr>
        <w:t>2</w:t>
      </w:r>
      <w:r w:rsidR="00D854BA">
        <w:rPr>
          <w:rFonts w:eastAsiaTheme="minorHAnsi"/>
          <w:szCs w:val="26"/>
        </w:rPr>
        <w:t xml:space="preserve"> millones</w:t>
      </w:r>
      <w:r w:rsidR="00C603A3">
        <w:rPr>
          <w:rFonts w:eastAsiaTheme="minorHAnsi"/>
          <w:szCs w:val="26"/>
        </w:rPr>
        <w:t xml:space="preserve"> de euros en </w:t>
      </w:r>
      <w:r w:rsidR="00F70B20">
        <w:rPr>
          <w:rFonts w:eastAsiaTheme="minorHAnsi"/>
          <w:szCs w:val="26"/>
        </w:rPr>
        <w:t xml:space="preserve">SODENA </w:t>
      </w:r>
      <w:r w:rsidR="00C603A3">
        <w:rPr>
          <w:rFonts w:eastAsiaTheme="minorHAnsi"/>
          <w:szCs w:val="26"/>
        </w:rPr>
        <w:t xml:space="preserve">y </w:t>
      </w:r>
      <w:r w:rsidR="00777DB4">
        <w:rPr>
          <w:rFonts w:eastAsiaTheme="minorHAnsi"/>
          <w:szCs w:val="26"/>
        </w:rPr>
        <w:t xml:space="preserve">0,29 </w:t>
      </w:r>
      <w:r w:rsidR="00C603A3">
        <w:rPr>
          <w:rFonts w:eastAsiaTheme="minorHAnsi"/>
          <w:szCs w:val="26"/>
        </w:rPr>
        <w:t>m</w:t>
      </w:r>
      <w:r w:rsidR="00C603A3">
        <w:rPr>
          <w:rFonts w:eastAsiaTheme="minorHAnsi"/>
          <w:szCs w:val="26"/>
        </w:rPr>
        <w:t>i</w:t>
      </w:r>
      <w:r w:rsidR="00777DB4">
        <w:rPr>
          <w:rFonts w:eastAsiaTheme="minorHAnsi"/>
          <w:szCs w:val="26"/>
        </w:rPr>
        <w:t xml:space="preserve">llones </w:t>
      </w:r>
      <w:r w:rsidR="007A08D1">
        <w:rPr>
          <w:rFonts w:eastAsiaTheme="minorHAnsi"/>
          <w:szCs w:val="26"/>
        </w:rPr>
        <w:t xml:space="preserve">en CAT. </w:t>
      </w:r>
    </w:p>
    <w:p w:rsidR="00CE75A2" w:rsidRPr="002675C9" w:rsidRDefault="00CE75A2" w:rsidP="008417C7">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rPr>
          <w:rFonts w:cs="Arial"/>
        </w:rPr>
        <w:t>Devolución de la paga extraordinaria</w:t>
      </w:r>
      <w:r w:rsidR="00561278">
        <w:rPr>
          <w:rFonts w:cs="Arial"/>
        </w:rPr>
        <w:t xml:space="preserve"> en 1,21 millones de euros, en la que consideramos que debe realizare un doble ajuste:</w:t>
      </w:r>
    </w:p>
    <w:p w:rsidR="00AA7A4C" w:rsidRPr="00E17B85" w:rsidRDefault="00E747CA" w:rsidP="008417C7">
      <w:pPr>
        <w:pStyle w:val="texto"/>
        <w:spacing w:after="180"/>
        <w:rPr>
          <w:spacing w:val="10"/>
        </w:rPr>
      </w:pPr>
      <w:r w:rsidRPr="00E17B85">
        <w:rPr>
          <w:spacing w:val="10"/>
        </w:rPr>
        <w:t xml:space="preserve">a) </w:t>
      </w:r>
      <w:r w:rsidR="001B0DC2" w:rsidRPr="00E17B85">
        <w:rPr>
          <w:spacing w:val="10"/>
        </w:rPr>
        <w:t xml:space="preserve">Eliminar </w:t>
      </w:r>
      <w:r w:rsidR="00AA7A4C" w:rsidRPr="00E17B85">
        <w:rPr>
          <w:spacing w:val="10"/>
        </w:rPr>
        <w:t xml:space="preserve">el desahorro </w:t>
      </w:r>
      <w:r w:rsidR="001B0DC2" w:rsidRPr="00E17B85">
        <w:rPr>
          <w:spacing w:val="10"/>
        </w:rPr>
        <w:t>de la paga extraordina</w:t>
      </w:r>
      <w:r w:rsidR="00E3403B" w:rsidRPr="00E17B85">
        <w:rPr>
          <w:spacing w:val="10"/>
        </w:rPr>
        <w:t xml:space="preserve">ria </w:t>
      </w:r>
      <w:r w:rsidR="00CA5F7B">
        <w:rPr>
          <w:spacing w:val="10"/>
        </w:rPr>
        <w:t>efectuado por la CPEN a</w:t>
      </w:r>
      <w:r w:rsidR="00DF6A0F" w:rsidRPr="00E17B85">
        <w:rPr>
          <w:spacing w:val="10"/>
        </w:rPr>
        <w:t xml:space="preserve">l no </w:t>
      </w:r>
      <w:r w:rsidR="00E17B85" w:rsidRPr="00E17B85">
        <w:rPr>
          <w:spacing w:val="10"/>
        </w:rPr>
        <w:t xml:space="preserve">corresponderse con </w:t>
      </w:r>
      <w:r w:rsidR="00DF6A0F" w:rsidRPr="00E17B85">
        <w:rPr>
          <w:spacing w:val="10"/>
        </w:rPr>
        <w:t>ninguna medida específica de ordenación</w:t>
      </w:r>
      <w:r w:rsidR="00E17B85" w:rsidRPr="00E17B85">
        <w:rPr>
          <w:spacing w:val="10"/>
        </w:rPr>
        <w:t>.</w:t>
      </w:r>
    </w:p>
    <w:p w:rsidR="00AA7A4C" w:rsidRPr="00E17B85" w:rsidRDefault="00E747CA" w:rsidP="00E747CA">
      <w:pPr>
        <w:pStyle w:val="texto"/>
        <w:spacing w:after="260"/>
        <w:rPr>
          <w:spacing w:val="10"/>
        </w:rPr>
      </w:pPr>
      <w:r w:rsidRPr="00E17B85">
        <w:rPr>
          <w:spacing w:val="10"/>
        </w:rPr>
        <w:t>b)</w:t>
      </w:r>
      <w:r w:rsidR="00CA5F7B">
        <w:rPr>
          <w:spacing w:val="10"/>
        </w:rPr>
        <w:t xml:space="preserve"> A</w:t>
      </w:r>
      <w:r w:rsidR="00E17B85" w:rsidRPr="00E17B85">
        <w:rPr>
          <w:spacing w:val="10"/>
        </w:rPr>
        <w:t>ñadi</w:t>
      </w:r>
      <w:r w:rsidR="00CA5F7B">
        <w:rPr>
          <w:spacing w:val="10"/>
        </w:rPr>
        <w:t xml:space="preserve">r </w:t>
      </w:r>
      <w:r w:rsidR="00AA7A4C" w:rsidRPr="00E17B85">
        <w:rPr>
          <w:spacing w:val="10"/>
        </w:rPr>
        <w:t xml:space="preserve">como mayor ahorro </w:t>
      </w:r>
      <w:r w:rsidR="00D23A18" w:rsidRPr="00E17B85">
        <w:rPr>
          <w:spacing w:val="10"/>
        </w:rPr>
        <w:t>0,</w:t>
      </w:r>
      <w:r w:rsidR="00DD015E" w:rsidRPr="00E17B85">
        <w:rPr>
          <w:spacing w:val="10"/>
        </w:rPr>
        <w:t xml:space="preserve">31 </w:t>
      </w:r>
      <w:r w:rsidR="00D23A18" w:rsidRPr="00E17B85">
        <w:rPr>
          <w:spacing w:val="10"/>
        </w:rPr>
        <w:t xml:space="preserve">millones de </w:t>
      </w:r>
      <w:r w:rsidR="00AA7A4C" w:rsidRPr="00E17B85">
        <w:rPr>
          <w:spacing w:val="10"/>
        </w:rPr>
        <w:t>euros</w:t>
      </w:r>
      <w:r w:rsidR="00CA5F7B">
        <w:rPr>
          <w:spacing w:val="10"/>
        </w:rPr>
        <w:t>,</w:t>
      </w:r>
      <w:r w:rsidR="00E17B85" w:rsidRPr="00E17B85">
        <w:rPr>
          <w:spacing w:val="10"/>
        </w:rPr>
        <w:t xml:space="preserve"> teniendo en cuenta que</w:t>
      </w:r>
      <w:r w:rsidR="00CA5F7B">
        <w:rPr>
          <w:spacing w:val="10"/>
        </w:rPr>
        <w:t xml:space="preserve"> </w:t>
      </w:r>
      <w:r w:rsidR="00E17B85" w:rsidRPr="00E17B85">
        <w:rPr>
          <w:spacing w:val="10"/>
        </w:rPr>
        <w:t xml:space="preserve">la estimación de ahorros que CPEN realizó </w:t>
      </w:r>
      <w:r w:rsidR="00CA5F7B">
        <w:rPr>
          <w:spacing w:val="10"/>
        </w:rPr>
        <w:t xml:space="preserve">en 2012 </w:t>
      </w:r>
      <w:r w:rsidR="00E17B85" w:rsidRPr="00E17B85">
        <w:rPr>
          <w:spacing w:val="10"/>
        </w:rPr>
        <w:t xml:space="preserve">fue sobre </w:t>
      </w:r>
      <w:r w:rsidR="00CA5F7B">
        <w:rPr>
          <w:spacing w:val="10"/>
        </w:rPr>
        <w:t xml:space="preserve">una </w:t>
      </w:r>
      <w:r w:rsidR="00E17B85" w:rsidRPr="00E17B85">
        <w:rPr>
          <w:spacing w:val="10"/>
        </w:rPr>
        <w:t xml:space="preserve">base retributiva </w:t>
      </w:r>
      <w:r w:rsidR="00CA5F7B">
        <w:rPr>
          <w:spacing w:val="10"/>
        </w:rPr>
        <w:t>inferior, al haber computado un total de 13 pagas</w:t>
      </w:r>
      <w:r w:rsidR="00E17B85" w:rsidRPr="00E17B85">
        <w:rPr>
          <w:spacing w:val="10"/>
        </w:rPr>
        <w:t xml:space="preserve"> en lugar de 14</w:t>
      </w:r>
    </w:p>
    <w:p w:rsidR="002E4E5E" w:rsidRPr="002E4E5E" w:rsidRDefault="005D0D45" w:rsidP="00084224">
      <w:pPr>
        <w:pStyle w:val="texto"/>
        <w:spacing w:after="220"/>
        <w:rPr>
          <w:spacing w:val="0"/>
          <w:lang w:val="es-ES"/>
        </w:rPr>
      </w:pPr>
      <w:r>
        <w:rPr>
          <w:spacing w:val="0"/>
          <w:lang w:val="es-ES"/>
        </w:rPr>
        <w:lastRenderedPageBreak/>
        <w:t>De acuerdo a la revisión efec</w:t>
      </w:r>
      <w:r w:rsidR="003B26B9">
        <w:rPr>
          <w:spacing w:val="0"/>
          <w:lang w:val="es-ES"/>
        </w:rPr>
        <w:t xml:space="preserve">tuada, </w:t>
      </w:r>
      <w:r>
        <w:rPr>
          <w:spacing w:val="0"/>
          <w:lang w:val="es-ES"/>
        </w:rPr>
        <w:t>e</w:t>
      </w:r>
      <w:r w:rsidR="00E63C83">
        <w:rPr>
          <w:spacing w:val="0"/>
          <w:lang w:val="es-ES"/>
        </w:rPr>
        <w:t>l total de ajustes que realiza</w:t>
      </w:r>
      <w:r w:rsidR="00FF2507">
        <w:rPr>
          <w:spacing w:val="0"/>
          <w:lang w:val="es-ES"/>
        </w:rPr>
        <w:t>mos</w:t>
      </w:r>
      <w:r w:rsidR="00E63C83">
        <w:rPr>
          <w:spacing w:val="0"/>
          <w:lang w:val="es-ES"/>
        </w:rPr>
        <w:t xml:space="preserve"> </w:t>
      </w:r>
      <w:r w:rsidR="00FF2507">
        <w:rPr>
          <w:spacing w:val="0"/>
          <w:lang w:val="es-ES"/>
        </w:rPr>
        <w:t>difere</w:t>
      </w:r>
      <w:r w:rsidR="00FF2507">
        <w:rPr>
          <w:spacing w:val="0"/>
          <w:lang w:val="es-ES"/>
        </w:rPr>
        <w:t>n</w:t>
      </w:r>
      <w:r w:rsidR="00FF2507">
        <w:rPr>
          <w:spacing w:val="0"/>
          <w:lang w:val="es-ES"/>
        </w:rPr>
        <w:t xml:space="preserve">ciando </w:t>
      </w:r>
      <w:r w:rsidR="00E63C83">
        <w:rPr>
          <w:spacing w:val="0"/>
          <w:lang w:val="es-ES"/>
        </w:rPr>
        <w:t xml:space="preserve">los que afectan al sector público empresarial, de los que tienen incidencia en </w:t>
      </w:r>
      <w:r w:rsidR="00230985">
        <w:rPr>
          <w:spacing w:val="0"/>
          <w:lang w:val="es-ES"/>
        </w:rPr>
        <w:t>el sector público foral</w:t>
      </w:r>
      <w:r w:rsidR="00E63C83">
        <w:rPr>
          <w:spacing w:val="0"/>
          <w:lang w:val="es-ES"/>
        </w:rPr>
        <w:t>, se detalla en los siguientes cuadros:</w:t>
      </w:r>
    </w:p>
    <w:p w:rsidR="002E4E5E" w:rsidRDefault="002E4E5E" w:rsidP="002E4E5E">
      <w:pPr>
        <w:pStyle w:val="texto"/>
        <w:tabs>
          <w:tab w:val="clear" w:pos="2835"/>
          <w:tab w:val="clear" w:pos="3969"/>
          <w:tab w:val="clear" w:pos="5103"/>
          <w:tab w:val="clear" w:pos="6237"/>
          <w:tab w:val="clear" w:pos="7371"/>
          <w:tab w:val="left" w:pos="480"/>
        </w:tabs>
        <w:spacing w:after="100"/>
        <w:ind w:left="1588" w:firstLine="0"/>
        <w:jc w:val="right"/>
        <w:rPr>
          <w:rFonts w:cs="Arial"/>
        </w:rPr>
      </w:pPr>
      <w:r w:rsidRPr="00862DAE">
        <w:rPr>
          <w:rFonts w:ascii="Arial Narrow" w:hAnsi="Arial Narrow"/>
          <w:sz w:val="16"/>
          <w:szCs w:val="16"/>
        </w:rPr>
        <w:t>(en miles de euros)</w:t>
      </w:r>
    </w:p>
    <w:tbl>
      <w:tblPr>
        <w:tblW w:w="868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066"/>
        <w:gridCol w:w="683"/>
      </w:tblGrid>
      <w:tr w:rsidR="002E4E5E" w:rsidRPr="002A42AD" w:rsidTr="001004D0">
        <w:trPr>
          <w:trHeight w:val="312"/>
          <w:jc w:val="center"/>
        </w:trPr>
        <w:tc>
          <w:tcPr>
            <w:tcW w:w="8066" w:type="dxa"/>
            <w:tcBorders>
              <w:bottom w:val="single" w:sz="4" w:space="0" w:color="auto"/>
            </w:tcBorders>
            <w:shd w:val="clear" w:color="000000" w:fill="8DB4E2"/>
            <w:noWrap/>
            <w:vAlign w:val="center"/>
            <w:hideMark/>
          </w:tcPr>
          <w:p w:rsidR="002E4E5E" w:rsidRPr="002A42AD" w:rsidRDefault="002E4E5E" w:rsidP="005D2942">
            <w:pPr>
              <w:spacing w:after="0"/>
              <w:ind w:firstLine="0"/>
              <w:jc w:val="left"/>
              <w:rPr>
                <w:rFonts w:ascii="Arial" w:hAnsi="Arial" w:cs="Arial"/>
                <w:color w:val="000000"/>
                <w:sz w:val="16"/>
                <w:szCs w:val="16"/>
                <w:lang w:val="es-ES" w:eastAsia="es-ES"/>
              </w:rPr>
            </w:pPr>
            <w:r w:rsidRPr="002A42AD">
              <w:rPr>
                <w:rFonts w:ascii="Arial" w:hAnsi="Arial" w:cs="Arial"/>
                <w:color w:val="000000"/>
                <w:sz w:val="16"/>
                <w:szCs w:val="16"/>
                <w:lang w:val="es-ES" w:eastAsia="es-ES"/>
              </w:rPr>
              <w:t>Relación ajustes específicos de CPEN</w:t>
            </w:r>
          </w:p>
        </w:tc>
        <w:tc>
          <w:tcPr>
            <w:tcW w:w="622" w:type="dxa"/>
            <w:tcBorders>
              <w:bottom w:val="single" w:sz="4" w:space="0" w:color="auto"/>
            </w:tcBorders>
            <w:shd w:val="clear" w:color="000000" w:fill="8DB4E2"/>
            <w:noWrap/>
            <w:vAlign w:val="center"/>
            <w:hideMark/>
          </w:tcPr>
          <w:p w:rsidR="002E4E5E" w:rsidRPr="002A42AD" w:rsidRDefault="002E4E5E" w:rsidP="005D2942">
            <w:pPr>
              <w:spacing w:after="0"/>
              <w:ind w:firstLine="0"/>
              <w:jc w:val="right"/>
              <w:rPr>
                <w:rFonts w:ascii="Arial" w:hAnsi="Arial" w:cs="Arial"/>
                <w:color w:val="000000"/>
                <w:sz w:val="16"/>
                <w:szCs w:val="16"/>
                <w:lang w:val="es-ES" w:eastAsia="es-ES"/>
              </w:rPr>
            </w:pPr>
            <w:r w:rsidRPr="002A42AD">
              <w:rPr>
                <w:rFonts w:ascii="Arial" w:hAnsi="Arial" w:cs="Arial"/>
                <w:color w:val="000000"/>
                <w:sz w:val="16"/>
                <w:szCs w:val="16"/>
                <w:lang w:val="es-ES" w:eastAsia="es-ES"/>
              </w:rPr>
              <w:t>Importe</w:t>
            </w:r>
          </w:p>
        </w:tc>
      </w:tr>
      <w:tr w:rsidR="002E4E5E" w:rsidRPr="0056162A" w:rsidTr="001004D0">
        <w:trPr>
          <w:trHeight w:val="227"/>
          <w:jc w:val="center"/>
        </w:trPr>
        <w:tc>
          <w:tcPr>
            <w:tcW w:w="8066" w:type="dxa"/>
            <w:tcBorders>
              <w:bottom w:val="single" w:sz="2" w:space="0" w:color="auto"/>
            </w:tcBorders>
            <w:shd w:val="clear" w:color="auto" w:fill="auto"/>
            <w:noWrap/>
            <w:vAlign w:val="center"/>
            <w:hideMark/>
          </w:tcPr>
          <w:p w:rsidR="002E4E5E" w:rsidRPr="0056162A" w:rsidRDefault="002E4E5E" w:rsidP="005D2942">
            <w:pPr>
              <w:spacing w:after="0"/>
              <w:ind w:firstLine="0"/>
              <w:jc w:val="left"/>
              <w:rPr>
                <w:rFonts w:ascii="Arial Narrow" w:hAnsi="Arial Narrow"/>
                <w:sz w:val="18"/>
                <w:szCs w:val="18"/>
                <w:lang w:val="es-ES" w:eastAsia="es-ES"/>
              </w:rPr>
            </w:pPr>
            <w:r w:rsidRPr="0056162A">
              <w:rPr>
                <w:rFonts w:ascii="Arial Narrow" w:hAnsi="Arial Narrow"/>
                <w:sz w:val="18"/>
                <w:szCs w:val="18"/>
                <w:lang w:val="es-ES" w:eastAsia="es-ES"/>
              </w:rPr>
              <w:t xml:space="preserve">Ajuste reestructuración </w:t>
            </w:r>
            <w:r>
              <w:rPr>
                <w:rFonts w:ascii="Arial Narrow" w:hAnsi="Arial Narrow"/>
                <w:sz w:val="18"/>
                <w:szCs w:val="18"/>
                <w:lang w:val="es-ES" w:eastAsia="es-ES"/>
              </w:rPr>
              <w:t>17 trabajadores en GAN</w:t>
            </w:r>
          </w:p>
        </w:tc>
        <w:tc>
          <w:tcPr>
            <w:tcW w:w="622" w:type="dxa"/>
            <w:tcBorders>
              <w:bottom w:val="single" w:sz="2" w:space="0" w:color="auto"/>
            </w:tcBorders>
            <w:shd w:val="clear" w:color="auto" w:fill="auto"/>
            <w:noWrap/>
            <w:vAlign w:val="center"/>
            <w:hideMark/>
          </w:tcPr>
          <w:p w:rsidR="002E4E5E" w:rsidRPr="0056162A" w:rsidRDefault="002E4E5E" w:rsidP="005D2942">
            <w:pPr>
              <w:spacing w:after="0"/>
              <w:ind w:firstLine="0"/>
              <w:jc w:val="right"/>
              <w:rPr>
                <w:rFonts w:ascii="Arial Narrow" w:hAnsi="Arial Narrow"/>
                <w:sz w:val="18"/>
                <w:szCs w:val="18"/>
                <w:lang w:val="es-ES" w:eastAsia="es-ES"/>
              </w:rPr>
            </w:pPr>
            <w:r w:rsidRPr="0056162A">
              <w:rPr>
                <w:rFonts w:ascii="Arial Narrow" w:hAnsi="Arial Narrow"/>
                <w:sz w:val="18"/>
                <w:szCs w:val="18"/>
                <w:lang w:val="es-ES" w:eastAsia="es-ES"/>
              </w:rPr>
              <w:t>294</w:t>
            </w:r>
          </w:p>
        </w:tc>
      </w:tr>
      <w:tr w:rsidR="002E4E5E" w:rsidRPr="0056162A" w:rsidTr="001004D0">
        <w:trPr>
          <w:trHeight w:val="227"/>
          <w:jc w:val="center"/>
        </w:trPr>
        <w:tc>
          <w:tcPr>
            <w:tcW w:w="8066" w:type="dxa"/>
            <w:tcBorders>
              <w:top w:val="single" w:sz="2" w:space="0" w:color="auto"/>
            </w:tcBorders>
            <w:shd w:val="clear" w:color="auto" w:fill="auto"/>
            <w:noWrap/>
            <w:vAlign w:val="center"/>
            <w:hideMark/>
          </w:tcPr>
          <w:p w:rsidR="002E4E5E" w:rsidRPr="0056162A" w:rsidRDefault="002E4E5E"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Refinanciación SODENA</w:t>
            </w:r>
            <w:r w:rsidRPr="0056162A">
              <w:rPr>
                <w:rFonts w:ascii="Arial Narrow" w:hAnsi="Arial Narrow"/>
                <w:sz w:val="18"/>
                <w:szCs w:val="18"/>
                <w:lang w:val="es-ES" w:eastAsia="es-ES"/>
              </w:rPr>
              <w:t xml:space="preserve"> por venta acciones Iberdrola</w:t>
            </w:r>
          </w:p>
        </w:tc>
        <w:tc>
          <w:tcPr>
            <w:tcW w:w="622" w:type="dxa"/>
            <w:tcBorders>
              <w:top w:val="single" w:sz="2" w:space="0" w:color="auto"/>
            </w:tcBorders>
            <w:shd w:val="clear" w:color="auto" w:fill="auto"/>
            <w:noWrap/>
            <w:vAlign w:val="center"/>
            <w:hideMark/>
          </w:tcPr>
          <w:p w:rsidR="002E4E5E" w:rsidRPr="0056162A" w:rsidRDefault="002E4E5E" w:rsidP="005D2942">
            <w:pPr>
              <w:spacing w:after="0"/>
              <w:ind w:firstLine="0"/>
              <w:jc w:val="right"/>
              <w:rPr>
                <w:rFonts w:ascii="Arial Narrow" w:hAnsi="Arial Narrow"/>
                <w:sz w:val="18"/>
                <w:szCs w:val="18"/>
                <w:lang w:val="es-ES" w:eastAsia="es-ES"/>
              </w:rPr>
            </w:pPr>
            <w:r w:rsidRPr="0056162A">
              <w:rPr>
                <w:rFonts w:ascii="Arial Narrow" w:hAnsi="Arial Narrow"/>
                <w:sz w:val="18"/>
                <w:szCs w:val="18"/>
                <w:lang w:val="es-ES" w:eastAsia="es-ES"/>
              </w:rPr>
              <w:t>-612</w:t>
            </w:r>
          </w:p>
        </w:tc>
      </w:tr>
      <w:tr w:rsidR="002E4E5E" w:rsidRPr="0056162A" w:rsidTr="001004D0">
        <w:trPr>
          <w:trHeight w:val="227"/>
          <w:jc w:val="center"/>
        </w:trPr>
        <w:tc>
          <w:tcPr>
            <w:tcW w:w="8066" w:type="dxa"/>
            <w:tcBorders>
              <w:top w:val="single" w:sz="2" w:space="0" w:color="auto"/>
            </w:tcBorders>
            <w:shd w:val="clear" w:color="auto" w:fill="auto"/>
            <w:noWrap/>
            <w:vAlign w:val="center"/>
          </w:tcPr>
          <w:p w:rsidR="002E4E5E" w:rsidRPr="00AB2C95" w:rsidRDefault="002E4E5E" w:rsidP="005D2942">
            <w:pPr>
              <w:spacing w:after="0"/>
              <w:ind w:firstLine="0"/>
              <w:jc w:val="left"/>
              <w:rPr>
                <w:rFonts w:ascii="Arial Narrow" w:hAnsi="Arial Narrow"/>
                <w:sz w:val="18"/>
                <w:szCs w:val="18"/>
                <w:lang w:val="es-ES" w:eastAsia="es-ES"/>
              </w:rPr>
            </w:pPr>
            <w:r w:rsidRPr="00AB2C95">
              <w:rPr>
                <w:rFonts w:ascii="Arial Narrow" w:hAnsi="Arial Narrow"/>
                <w:sz w:val="18"/>
                <w:szCs w:val="18"/>
                <w:lang w:val="es-ES" w:eastAsia="es-ES"/>
              </w:rPr>
              <w:t>Ajuste Desahorro de la paga extraordinaria (51%)</w:t>
            </w:r>
          </w:p>
        </w:tc>
        <w:tc>
          <w:tcPr>
            <w:tcW w:w="622" w:type="dxa"/>
            <w:tcBorders>
              <w:top w:val="single" w:sz="2" w:space="0" w:color="auto"/>
            </w:tcBorders>
            <w:shd w:val="clear" w:color="auto" w:fill="auto"/>
            <w:noWrap/>
            <w:vAlign w:val="center"/>
          </w:tcPr>
          <w:p w:rsidR="002E4E5E" w:rsidRPr="0056162A" w:rsidRDefault="002E4E5E"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1.215</w:t>
            </w:r>
          </w:p>
        </w:tc>
      </w:tr>
      <w:tr w:rsidR="002E4E5E" w:rsidRPr="0056162A" w:rsidTr="001004D0">
        <w:trPr>
          <w:trHeight w:val="227"/>
          <w:jc w:val="center"/>
        </w:trPr>
        <w:tc>
          <w:tcPr>
            <w:tcW w:w="8066" w:type="dxa"/>
            <w:tcBorders>
              <w:top w:val="single" w:sz="2" w:space="0" w:color="auto"/>
            </w:tcBorders>
            <w:shd w:val="clear" w:color="auto" w:fill="auto"/>
            <w:noWrap/>
            <w:vAlign w:val="center"/>
          </w:tcPr>
          <w:p w:rsidR="002E4E5E" w:rsidRPr="00AB2C95" w:rsidRDefault="002E4E5E" w:rsidP="005D2942">
            <w:pPr>
              <w:spacing w:after="0"/>
              <w:ind w:firstLine="0"/>
              <w:jc w:val="left"/>
              <w:rPr>
                <w:rFonts w:ascii="Arial Narrow" w:hAnsi="Arial Narrow"/>
                <w:sz w:val="18"/>
                <w:szCs w:val="18"/>
                <w:lang w:eastAsia="es-ES"/>
              </w:rPr>
            </w:pPr>
            <w:r>
              <w:rPr>
                <w:rFonts w:ascii="Arial Narrow" w:hAnsi="Arial Narrow"/>
                <w:sz w:val="18"/>
                <w:szCs w:val="18"/>
                <w:lang w:eastAsia="es-ES"/>
              </w:rPr>
              <w:t xml:space="preserve">Ajuste ahorro por devolución paga extraordinaria personal despedido </w:t>
            </w:r>
          </w:p>
        </w:tc>
        <w:tc>
          <w:tcPr>
            <w:tcW w:w="622" w:type="dxa"/>
            <w:tcBorders>
              <w:top w:val="single" w:sz="2" w:space="0" w:color="auto"/>
            </w:tcBorders>
            <w:shd w:val="clear" w:color="auto" w:fill="auto"/>
            <w:noWrap/>
            <w:vAlign w:val="center"/>
          </w:tcPr>
          <w:p w:rsidR="002E4E5E" w:rsidRPr="0056162A" w:rsidRDefault="002E4E5E"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306</w:t>
            </w:r>
          </w:p>
        </w:tc>
      </w:tr>
      <w:tr w:rsidR="002E4E5E" w:rsidRPr="0056162A" w:rsidTr="001004D0">
        <w:trPr>
          <w:trHeight w:val="284"/>
          <w:jc w:val="center"/>
        </w:trPr>
        <w:tc>
          <w:tcPr>
            <w:tcW w:w="8066" w:type="dxa"/>
            <w:tcBorders>
              <w:bottom w:val="single" w:sz="4" w:space="0" w:color="auto"/>
            </w:tcBorders>
            <w:shd w:val="clear" w:color="auto" w:fill="8DB3E2" w:themeFill="text2" w:themeFillTint="66"/>
            <w:noWrap/>
            <w:vAlign w:val="center"/>
            <w:hideMark/>
          </w:tcPr>
          <w:p w:rsidR="002E4E5E" w:rsidRPr="0056162A" w:rsidRDefault="002E4E5E" w:rsidP="005D2942">
            <w:pPr>
              <w:spacing w:after="0"/>
              <w:ind w:firstLine="0"/>
              <w:jc w:val="left"/>
              <w:rPr>
                <w:rFonts w:ascii="Arial" w:hAnsi="Arial" w:cs="Arial"/>
                <w:sz w:val="16"/>
                <w:szCs w:val="16"/>
                <w:lang w:val="es-ES" w:eastAsia="es-ES"/>
              </w:rPr>
            </w:pPr>
            <w:r w:rsidRPr="0056162A">
              <w:rPr>
                <w:rFonts w:ascii="Arial" w:hAnsi="Arial" w:cs="Arial"/>
                <w:sz w:val="16"/>
                <w:szCs w:val="16"/>
                <w:lang w:val="es-ES" w:eastAsia="es-ES"/>
              </w:rPr>
              <w:t xml:space="preserve">Total ajustes </w:t>
            </w:r>
            <w:r>
              <w:rPr>
                <w:rFonts w:ascii="Arial" w:hAnsi="Arial" w:cs="Arial"/>
                <w:sz w:val="16"/>
                <w:szCs w:val="16"/>
                <w:lang w:val="es-ES" w:eastAsia="es-ES"/>
              </w:rPr>
              <w:t xml:space="preserve">en </w:t>
            </w:r>
            <w:r w:rsidRPr="0056162A">
              <w:rPr>
                <w:rFonts w:ascii="Arial" w:hAnsi="Arial" w:cs="Arial"/>
                <w:sz w:val="16"/>
                <w:szCs w:val="16"/>
                <w:lang w:val="es-ES" w:eastAsia="es-ES"/>
              </w:rPr>
              <w:t>CPEN</w:t>
            </w:r>
          </w:p>
        </w:tc>
        <w:tc>
          <w:tcPr>
            <w:tcW w:w="622" w:type="dxa"/>
            <w:tcBorders>
              <w:bottom w:val="single" w:sz="4" w:space="0" w:color="auto"/>
            </w:tcBorders>
            <w:shd w:val="clear" w:color="auto" w:fill="8DB3E2" w:themeFill="text2" w:themeFillTint="66"/>
            <w:noWrap/>
            <w:vAlign w:val="center"/>
            <w:hideMark/>
          </w:tcPr>
          <w:p w:rsidR="002E4E5E" w:rsidRPr="0056162A" w:rsidRDefault="002E4E5E" w:rsidP="005D2942">
            <w:pPr>
              <w:spacing w:after="0"/>
              <w:ind w:firstLine="0"/>
              <w:jc w:val="right"/>
              <w:rPr>
                <w:rFonts w:ascii="Arial" w:hAnsi="Arial" w:cs="Arial"/>
                <w:sz w:val="16"/>
                <w:szCs w:val="16"/>
                <w:lang w:val="es-ES" w:eastAsia="es-ES"/>
              </w:rPr>
            </w:pPr>
            <w:r>
              <w:rPr>
                <w:rFonts w:ascii="Arial" w:hAnsi="Arial" w:cs="Arial"/>
                <w:sz w:val="16"/>
                <w:szCs w:val="16"/>
                <w:lang w:val="es-ES" w:eastAsia="es-ES"/>
              </w:rPr>
              <w:t>1.203</w:t>
            </w:r>
          </w:p>
        </w:tc>
      </w:tr>
      <w:tr w:rsidR="002E4E5E" w:rsidRPr="0056162A" w:rsidTr="00A044FC">
        <w:trPr>
          <w:trHeight w:hRule="exact" w:val="227"/>
          <w:jc w:val="center"/>
        </w:trPr>
        <w:tc>
          <w:tcPr>
            <w:tcW w:w="8066" w:type="dxa"/>
            <w:tcBorders>
              <w:bottom w:val="nil"/>
            </w:tcBorders>
            <w:shd w:val="clear" w:color="auto" w:fill="auto"/>
            <w:noWrap/>
            <w:vAlign w:val="center"/>
            <w:hideMark/>
          </w:tcPr>
          <w:p w:rsidR="002E4E5E" w:rsidRPr="0056162A" w:rsidRDefault="002E4E5E" w:rsidP="005D2942">
            <w:pPr>
              <w:spacing w:after="0"/>
              <w:ind w:firstLine="0"/>
              <w:jc w:val="left"/>
              <w:rPr>
                <w:lang w:val="es-ES" w:eastAsia="es-ES"/>
              </w:rPr>
            </w:pPr>
          </w:p>
        </w:tc>
        <w:tc>
          <w:tcPr>
            <w:tcW w:w="622" w:type="dxa"/>
            <w:tcBorders>
              <w:bottom w:val="nil"/>
            </w:tcBorders>
            <w:shd w:val="clear" w:color="auto" w:fill="auto"/>
            <w:noWrap/>
            <w:vAlign w:val="center"/>
            <w:hideMark/>
          </w:tcPr>
          <w:p w:rsidR="002E4E5E" w:rsidRPr="0056162A" w:rsidRDefault="002E4E5E" w:rsidP="005D2942">
            <w:pPr>
              <w:spacing w:after="0"/>
              <w:ind w:firstLine="0"/>
              <w:jc w:val="right"/>
              <w:rPr>
                <w:lang w:val="es-ES" w:eastAsia="es-ES"/>
              </w:rPr>
            </w:pPr>
          </w:p>
        </w:tc>
      </w:tr>
      <w:tr w:rsidR="002E4E5E" w:rsidRPr="0056162A" w:rsidTr="005D2942">
        <w:trPr>
          <w:trHeight w:hRule="exact" w:val="113"/>
          <w:jc w:val="center"/>
        </w:trPr>
        <w:tc>
          <w:tcPr>
            <w:tcW w:w="8066" w:type="dxa"/>
            <w:tcBorders>
              <w:top w:val="nil"/>
              <w:bottom w:val="single" w:sz="4" w:space="0" w:color="auto"/>
            </w:tcBorders>
            <w:shd w:val="clear" w:color="auto" w:fill="auto"/>
            <w:noWrap/>
            <w:vAlign w:val="center"/>
          </w:tcPr>
          <w:p w:rsidR="002E4E5E" w:rsidRPr="0056162A" w:rsidRDefault="002E4E5E" w:rsidP="005D2942">
            <w:pPr>
              <w:spacing w:after="0"/>
              <w:ind w:firstLine="0"/>
              <w:jc w:val="left"/>
              <w:rPr>
                <w:lang w:val="es-ES" w:eastAsia="es-ES"/>
              </w:rPr>
            </w:pPr>
          </w:p>
        </w:tc>
        <w:tc>
          <w:tcPr>
            <w:tcW w:w="622" w:type="dxa"/>
            <w:tcBorders>
              <w:top w:val="nil"/>
              <w:bottom w:val="single" w:sz="4" w:space="0" w:color="auto"/>
            </w:tcBorders>
            <w:shd w:val="clear" w:color="auto" w:fill="auto"/>
            <w:noWrap/>
            <w:vAlign w:val="center"/>
          </w:tcPr>
          <w:p w:rsidR="002E4E5E" w:rsidRPr="0056162A" w:rsidRDefault="002E4E5E" w:rsidP="005D2942">
            <w:pPr>
              <w:spacing w:after="0"/>
              <w:ind w:firstLine="0"/>
              <w:jc w:val="right"/>
              <w:rPr>
                <w:lang w:val="es-ES" w:eastAsia="es-ES"/>
              </w:rPr>
            </w:pPr>
          </w:p>
        </w:tc>
      </w:tr>
      <w:tr w:rsidR="002E4E5E" w:rsidRPr="0056162A" w:rsidTr="001004D0">
        <w:trPr>
          <w:trHeight w:val="312"/>
          <w:jc w:val="center"/>
        </w:trPr>
        <w:tc>
          <w:tcPr>
            <w:tcW w:w="8066" w:type="dxa"/>
            <w:tcBorders>
              <w:top w:val="single" w:sz="4" w:space="0" w:color="auto"/>
              <w:bottom w:val="single" w:sz="4" w:space="0" w:color="auto"/>
            </w:tcBorders>
            <w:shd w:val="clear" w:color="auto" w:fill="8DB3E2" w:themeFill="text2" w:themeFillTint="66"/>
            <w:noWrap/>
            <w:vAlign w:val="center"/>
            <w:hideMark/>
          </w:tcPr>
          <w:p w:rsidR="002E4E5E" w:rsidRPr="0056162A" w:rsidRDefault="002E4E5E" w:rsidP="00CC23BC">
            <w:pPr>
              <w:spacing w:after="0"/>
              <w:ind w:firstLine="0"/>
              <w:jc w:val="left"/>
              <w:rPr>
                <w:rFonts w:ascii="Arial" w:hAnsi="Arial" w:cs="Arial"/>
                <w:sz w:val="16"/>
                <w:szCs w:val="16"/>
                <w:lang w:val="es-ES" w:eastAsia="es-ES"/>
              </w:rPr>
            </w:pPr>
            <w:r w:rsidRPr="0056162A">
              <w:rPr>
                <w:rFonts w:ascii="Arial" w:hAnsi="Arial" w:cs="Arial"/>
                <w:sz w:val="16"/>
                <w:szCs w:val="16"/>
                <w:lang w:val="es-ES" w:eastAsia="es-ES"/>
              </w:rPr>
              <w:t>Relación ajustes con</w:t>
            </w:r>
            <w:r w:rsidR="00CC23BC">
              <w:rPr>
                <w:rFonts w:ascii="Arial" w:hAnsi="Arial" w:cs="Arial"/>
                <w:sz w:val="16"/>
                <w:szCs w:val="16"/>
                <w:lang w:val="es-ES" w:eastAsia="es-ES"/>
              </w:rPr>
              <w:t>siderando el sector público foral</w:t>
            </w:r>
            <w:r>
              <w:rPr>
                <w:rFonts w:ascii="Arial" w:hAnsi="Arial" w:cs="Arial"/>
                <w:sz w:val="16"/>
                <w:szCs w:val="16"/>
                <w:lang w:val="es-ES" w:eastAsia="es-ES"/>
              </w:rPr>
              <w:t xml:space="preserve"> </w:t>
            </w:r>
          </w:p>
        </w:tc>
        <w:tc>
          <w:tcPr>
            <w:tcW w:w="622" w:type="dxa"/>
            <w:tcBorders>
              <w:top w:val="single" w:sz="4" w:space="0" w:color="auto"/>
              <w:bottom w:val="single" w:sz="4" w:space="0" w:color="auto"/>
            </w:tcBorders>
            <w:shd w:val="clear" w:color="auto" w:fill="8DB3E2" w:themeFill="text2" w:themeFillTint="66"/>
            <w:noWrap/>
            <w:vAlign w:val="center"/>
            <w:hideMark/>
          </w:tcPr>
          <w:p w:rsidR="002E4E5E" w:rsidRPr="0056162A" w:rsidRDefault="002E4E5E" w:rsidP="005D2942">
            <w:pPr>
              <w:spacing w:after="0"/>
              <w:ind w:firstLine="0"/>
              <w:jc w:val="right"/>
              <w:rPr>
                <w:rFonts w:ascii="Arial" w:hAnsi="Arial" w:cs="Arial"/>
                <w:sz w:val="16"/>
                <w:szCs w:val="16"/>
                <w:lang w:val="es-ES" w:eastAsia="es-ES"/>
              </w:rPr>
            </w:pPr>
            <w:r w:rsidRPr="0056162A">
              <w:rPr>
                <w:rFonts w:ascii="Arial" w:hAnsi="Arial" w:cs="Arial"/>
                <w:sz w:val="16"/>
                <w:szCs w:val="16"/>
                <w:lang w:val="es-ES" w:eastAsia="es-ES"/>
              </w:rPr>
              <w:t>Importe</w:t>
            </w:r>
          </w:p>
        </w:tc>
      </w:tr>
      <w:tr w:rsidR="002E4E5E" w:rsidRPr="005D119A" w:rsidTr="001004D0">
        <w:trPr>
          <w:trHeight w:val="227"/>
          <w:jc w:val="center"/>
        </w:trPr>
        <w:tc>
          <w:tcPr>
            <w:tcW w:w="8066" w:type="dxa"/>
            <w:tcBorders>
              <w:bottom w:val="single" w:sz="2" w:space="0" w:color="auto"/>
            </w:tcBorders>
            <w:shd w:val="clear" w:color="auto" w:fill="auto"/>
            <w:noWrap/>
            <w:vAlign w:val="center"/>
            <w:hideMark/>
          </w:tcPr>
          <w:p w:rsidR="002E4E5E" w:rsidRPr="005D119A" w:rsidRDefault="002E4E5E" w:rsidP="005D2942">
            <w:pPr>
              <w:spacing w:after="0"/>
              <w:ind w:firstLine="0"/>
              <w:jc w:val="left"/>
              <w:rPr>
                <w:rFonts w:ascii="Arial Narrow" w:hAnsi="Arial Narrow"/>
                <w:sz w:val="18"/>
                <w:szCs w:val="18"/>
                <w:lang w:val="es-ES" w:eastAsia="es-ES"/>
              </w:rPr>
            </w:pPr>
            <w:r w:rsidRPr="005D119A">
              <w:rPr>
                <w:rFonts w:ascii="Arial Narrow" w:hAnsi="Arial Narrow"/>
                <w:sz w:val="18"/>
                <w:szCs w:val="18"/>
                <w:lang w:val="es-ES" w:eastAsia="es-ES"/>
              </w:rPr>
              <w:t xml:space="preserve">Ajuste personal funcionario </w:t>
            </w:r>
          </w:p>
        </w:tc>
        <w:tc>
          <w:tcPr>
            <w:tcW w:w="622" w:type="dxa"/>
            <w:tcBorders>
              <w:bottom w:val="single" w:sz="2" w:space="0" w:color="auto"/>
            </w:tcBorders>
            <w:shd w:val="clear" w:color="auto" w:fill="auto"/>
            <w:noWrap/>
            <w:vAlign w:val="center"/>
          </w:tcPr>
          <w:p w:rsidR="002E4E5E" w:rsidRPr="005D119A" w:rsidRDefault="002E4E5E"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-594</w:t>
            </w:r>
          </w:p>
        </w:tc>
      </w:tr>
      <w:tr w:rsidR="002E4E5E" w:rsidRPr="0056162A" w:rsidTr="001004D0">
        <w:trPr>
          <w:trHeight w:val="227"/>
          <w:jc w:val="center"/>
        </w:trPr>
        <w:tc>
          <w:tcPr>
            <w:tcW w:w="8066" w:type="dxa"/>
            <w:tcBorders>
              <w:top w:val="single" w:sz="2" w:space="0" w:color="auto"/>
              <w:bottom w:val="single" w:sz="2" w:space="0" w:color="auto"/>
            </w:tcBorders>
            <w:shd w:val="clear" w:color="auto" w:fill="auto"/>
            <w:noWrap/>
            <w:vAlign w:val="center"/>
            <w:hideMark/>
          </w:tcPr>
          <w:p w:rsidR="002E4E5E" w:rsidRPr="0056162A" w:rsidRDefault="002E4E5E"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Refinanciación SODENA</w:t>
            </w:r>
            <w:r w:rsidRPr="0056162A">
              <w:rPr>
                <w:rFonts w:ascii="Arial Narrow" w:hAnsi="Arial Narrow"/>
                <w:sz w:val="18"/>
                <w:szCs w:val="18"/>
                <w:lang w:val="es-ES" w:eastAsia="es-ES"/>
              </w:rPr>
              <w:t xml:space="preserve"> por ampliación capital</w:t>
            </w:r>
          </w:p>
        </w:tc>
        <w:tc>
          <w:tcPr>
            <w:tcW w:w="622" w:type="dxa"/>
            <w:tcBorders>
              <w:top w:val="single" w:sz="2" w:space="0" w:color="auto"/>
              <w:bottom w:val="single" w:sz="2" w:space="0" w:color="auto"/>
            </w:tcBorders>
            <w:shd w:val="clear" w:color="auto" w:fill="auto"/>
            <w:noWrap/>
            <w:vAlign w:val="center"/>
            <w:hideMark/>
          </w:tcPr>
          <w:p w:rsidR="002E4E5E" w:rsidRPr="0056162A" w:rsidRDefault="002E4E5E" w:rsidP="005D2942">
            <w:pPr>
              <w:spacing w:after="0"/>
              <w:ind w:firstLine="0"/>
              <w:jc w:val="right"/>
              <w:rPr>
                <w:rFonts w:ascii="Arial Narrow" w:hAnsi="Arial Narrow"/>
                <w:sz w:val="18"/>
                <w:szCs w:val="18"/>
                <w:lang w:val="es-ES" w:eastAsia="es-ES"/>
              </w:rPr>
            </w:pPr>
            <w:r w:rsidRPr="0056162A">
              <w:rPr>
                <w:rFonts w:ascii="Arial Narrow" w:hAnsi="Arial Narrow"/>
                <w:sz w:val="18"/>
                <w:szCs w:val="18"/>
                <w:lang w:val="es-ES" w:eastAsia="es-ES"/>
              </w:rPr>
              <w:t>-1.202</w:t>
            </w:r>
          </w:p>
        </w:tc>
      </w:tr>
      <w:tr w:rsidR="002E4E5E" w:rsidRPr="0056162A" w:rsidTr="001004D0">
        <w:trPr>
          <w:trHeight w:val="227"/>
          <w:jc w:val="center"/>
        </w:trPr>
        <w:tc>
          <w:tcPr>
            <w:tcW w:w="8066" w:type="dxa"/>
            <w:tcBorders>
              <w:top w:val="single" w:sz="2" w:space="0" w:color="auto"/>
            </w:tcBorders>
            <w:shd w:val="clear" w:color="auto" w:fill="auto"/>
            <w:noWrap/>
            <w:vAlign w:val="center"/>
            <w:hideMark/>
          </w:tcPr>
          <w:p w:rsidR="002E4E5E" w:rsidRPr="0056162A" w:rsidRDefault="002E4E5E"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Refinanciación CAT</w:t>
            </w:r>
            <w:r w:rsidRPr="0056162A">
              <w:rPr>
                <w:rFonts w:ascii="Arial Narrow" w:hAnsi="Arial Narrow"/>
                <w:sz w:val="18"/>
                <w:szCs w:val="18"/>
                <w:lang w:val="es-ES" w:eastAsia="es-ES"/>
              </w:rPr>
              <w:t xml:space="preserve"> por ampliación capital</w:t>
            </w:r>
          </w:p>
        </w:tc>
        <w:tc>
          <w:tcPr>
            <w:tcW w:w="622" w:type="dxa"/>
            <w:tcBorders>
              <w:top w:val="single" w:sz="2" w:space="0" w:color="auto"/>
            </w:tcBorders>
            <w:shd w:val="clear" w:color="auto" w:fill="auto"/>
            <w:noWrap/>
            <w:vAlign w:val="center"/>
            <w:hideMark/>
          </w:tcPr>
          <w:p w:rsidR="002E4E5E" w:rsidRPr="0056162A" w:rsidRDefault="002E4E5E" w:rsidP="005D2942">
            <w:pPr>
              <w:spacing w:after="0"/>
              <w:ind w:firstLine="0"/>
              <w:jc w:val="right"/>
              <w:rPr>
                <w:rFonts w:ascii="Arial Narrow" w:hAnsi="Arial Narrow"/>
                <w:sz w:val="18"/>
                <w:szCs w:val="18"/>
                <w:lang w:val="es-ES" w:eastAsia="es-ES"/>
              </w:rPr>
            </w:pPr>
            <w:r w:rsidRPr="0056162A">
              <w:rPr>
                <w:rFonts w:ascii="Arial Narrow" w:hAnsi="Arial Narrow"/>
                <w:sz w:val="18"/>
                <w:szCs w:val="18"/>
                <w:lang w:val="es-ES" w:eastAsia="es-ES"/>
              </w:rPr>
              <w:t>-291</w:t>
            </w:r>
          </w:p>
        </w:tc>
      </w:tr>
      <w:tr w:rsidR="002E4E5E" w:rsidRPr="0056162A" w:rsidTr="001004D0">
        <w:trPr>
          <w:trHeight w:val="284"/>
          <w:jc w:val="center"/>
        </w:trPr>
        <w:tc>
          <w:tcPr>
            <w:tcW w:w="8066" w:type="dxa"/>
            <w:shd w:val="clear" w:color="auto" w:fill="8DB3E2" w:themeFill="text2" w:themeFillTint="66"/>
            <w:noWrap/>
            <w:vAlign w:val="center"/>
            <w:hideMark/>
          </w:tcPr>
          <w:p w:rsidR="002E4E5E" w:rsidRPr="0056162A" w:rsidRDefault="002E4E5E" w:rsidP="00CC23BC">
            <w:pPr>
              <w:spacing w:after="0"/>
              <w:ind w:firstLine="0"/>
              <w:jc w:val="left"/>
              <w:rPr>
                <w:rFonts w:ascii="Arial" w:hAnsi="Arial" w:cs="Arial"/>
                <w:sz w:val="16"/>
                <w:szCs w:val="16"/>
                <w:lang w:val="es-ES" w:eastAsia="es-ES"/>
              </w:rPr>
            </w:pPr>
            <w:r w:rsidRPr="0056162A">
              <w:rPr>
                <w:rFonts w:ascii="Arial" w:hAnsi="Arial" w:cs="Arial"/>
                <w:sz w:val="16"/>
                <w:szCs w:val="16"/>
                <w:lang w:val="es-ES" w:eastAsia="es-ES"/>
              </w:rPr>
              <w:t>Total ajustes</w:t>
            </w:r>
            <w:r>
              <w:rPr>
                <w:rFonts w:ascii="Arial" w:hAnsi="Arial" w:cs="Arial"/>
                <w:sz w:val="16"/>
                <w:szCs w:val="16"/>
                <w:lang w:val="es-ES" w:eastAsia="es-ES"/>
              </w:rPr>
              <w:t xml:space="preserve"> en </w:t>
            </w:r>
            <w:r w:rsidR="00CC23BC">
              <w:rPr>
                <w:rFonts w:ascii="Arial" w:hAnsi="Arial" w:cs="Arial"/>
                <w:sz w:val="16"/>
                <w:szCs w:val="16"/>
                <w:lang w:val="es-ES" w:eastAsia="es-ES"/>
              </w:rPr>
              <w:t>el sector publico foral</w:t>
            </w:r>
          </w:p>
        </w:tc>
        <w:tc>
          <w:tcPr>
            <w:tcW w:w="622" w:type="dxa"/>
            <w:shd w:val="clear" w:color="auto" w:fill="8DB3E2" w:themeFill="text2" w:themeFillTint="66"/>
            <w:noWrap/>
            <w:vAlign w:val="center"/>
            <w:hideMark/>
          </w:tcPr>
          <w:p w:rsidR="002E4E5E" w:rsidRPr="0056162A" w:rsidRDefault="002E4E5E" w:rsidP="005D2942">
            <w:pPr>
              <w:spacing w:after="0"/>
              <w:ind w:firstLine="0"/>
              <w:jc w:val="right"/>
              <w:rPr>
                <w:rFonts w:ascii="Arial" w:hAnsi="Arial" w:cs="Arial"/>
                <w:sz w:val="16"/>
                <w:szCs w:val="16"/>
                <w:lang w:val="es-ES" w:eastAsia="es-ES"/>
              </w:rPr>
            </w:pPr>
            <w:r>
              <w:rPr>
                <w:rFonts w:ascii="Arial" w:hAnsi="Arial" w:cs="Arial"/>
                <w:sz w:val="16"/>
                <w:szCs w:val="16"/>
                <w:lang w:val="es-ES" w:eastAsia="es-ES"/>
              </w:rPr>
              <w:t>-2.087</w:t>
            </w:r>
          </w:p>
        </w:tc>
      </w:tr>
    </w:tbl>
    <w:p w:rsidR="007F34E2" w:rsidRPr="00692BE4" w:rsidRDefault="007F34E2" w:rsidP="00A044FC">
      <w:pPr>
        <w:pStyle w:val="atitulo3"/>
        <w:spacing w:before="360" w:after="200"/>
        <w:rPr>
          <w:rFonts w:cs="Arial"/>
        </w:rPr>
      </w:pPr>
      <w:r w:rsidRPr="00692BE4">
        <w:rPr>
          <w:rFonts w:cs="Arial"/>
        </w:rPr>
        <w:t>V.</w:t>
      </w:r>
      <w:r w:rsidR="00692BE4" w:rsidRPr="00692BE4">
        <w:rPr>
          <w:rFonts w:cs="Arial"/>
        </w:rPr>
        <w:t>2.</w:t>
      </w:r>
      <w:r w:rsidRPr="00692BE4">
        <w:rPr>
          <w:rFonts w:cs="Arial"/>
        </w:rPr>
        <w:t>3</w:t>
      </w:r>
      <w:r w:rsidR="00980F55" w:rsidRPr="00692BE4">
        <w:rPr>
          <w:rFonts w:cs="Arial"/>
        </w:rPr>
        <w:t>.</w:t>
      </w:r>
      <w:r w:rsidRPr="00692BE4">
        <w:rPr>
          <w:rFonts w:cs="Arial"/>
        </w:rPr>
        <w:t xml:space="preserve"> Sector </w:t>
      </w:r>
      <w:r w:rsidR="00B20E58" w:rsidRPr="00692BE4">
        <w:rPr>
          <w:rFonts w:cs="Arial"/>
        </w:rPr>
        <w:t>público fundacional</w:t>
      </w:r>
    </w:p>
    <w:p w:rsidR="004E4F0E" w:rsidRDefault="007F34E2" w:rsidP="00A044FC">
      <w:pPr>
        <w:pStyle w:val="texto"/>
        <w:rPr>
          <w:lang w:val="es-ES"/>
        </w:rPr>
      </w:pPr>
      <w:r w:rsidRPr="00DB01E1">
        <w:rPr>
          <w:lang w:val="es-ES"/>
        </w:rPr>
        <w:t xml:space="preserve">En </w:t>
      </w:r>
      <w:r w:rsidR="003B26B9">
        <w:rPr>
          <w:lang w:val="es-ES"/>
        </w:rPr>
        <w:t xml:space="preserve">el </w:t>
      </w:r>
      <w:r w:rsidRPr="00DB01E1">
        <w:rPr>
          <w:lang w:val="es-ES"/>
        </w:rPr>
        <w:t>a</w:t>
      </w:r>
      <w:r>
        <w:rPr>
          <w:lang w:val="es-ES"/>
        </w:rPr>
        <w:t xml:space="preserve">cuerdo de extinción </w:t>
      </w:r>
      <w:r w:rsidR="00AE115C">
        <w:rPr>
          <w:lang w:val="es-ES"/>
        </w:rPr>
        <w:t>de la</w:t>
      </w:r>
      <w:r w:rsidR="003B26B9">
        <w:rPr>
          <w:lang w:val="es-ES"/>
        </w:rPr>
        <w:t xml:space="preserve"> Fundación “Instituto Navarro de Artes A</w:t>
      </w:r>
      <w:r w:rsidR="003B26B9">
        <w:rPr>
          <w:lang w:val="es-ES"/>
        </w:rPr>
        <w:t>u</w:t>
      </w:r>
      <w:r w:rsidR="003B26B9">
        <w:rPr>
          <w:lang w:val="es-ES"/>
        </w:rPr>
        <w:t>diovisuales y Cinematografía” figura el régimen de adscripción de</w:t>
      </w:r>
      <w:r>
        <w:rPr>
          <w:lang w:val="es-ES"/>
        </w:rPr>
        <w:t>l conjun</w:t>
      </w:r>
      <w:r w:rsidR="00982D05">
        <w:rPr>
          <w:lang w:val="es-ES"/>
        </w:rPr>
        <w:t>to de bienes</w:t>
      </w:r>
      <w:r w:rsidR="007043B7">
        <w:rPr>
          <w:lang w:val="es-ES"/>
        </w:rPr>
        <w:t xml:space="preserve">, </w:t>
      </w:r>
      <w:r w:rsidR="00982D05">
        <w:rPr>
          <w:lang w:val="es-ES"/>
        </w:rPr>
        <w:t xml:space="preserve">derechos </w:t>
      </w:r>
      <w:r w:rsidR="007043B7">
        <w:rPr>
          <w:lang w:val="es-ES"/>
        </w:rPr>
        <w:t xml:space="preserve">y obligaciones </w:t>
      </w:r>
      <w:r w:rsidR="00982D05">
        <w:rPr>
          <w:lang w:val="es-ES"/>
        </w:rPr>
        <w:t xml:space="preserve">en </w:t>
      </w:r>
      <w:r w:rsidR="003B26B9">
        <w:rPr>
          <w:lang w:val="es-ES"/>
        </w:rPr>
        <w:t xml:space="preserve">el Departamento citado </w:t>
      </w:r>
      <w:r w:rsidR="00982D05">
        <w:rPr>
          <w:lang w:val="es-ES"/>
        </w:rPr>
        <w:t xml:space="preserve">en el </w:t>
      </w:r>
      <w:r w:rsidR="003E5BA9">
        <w:rPr>
          <w:lang w:val="es-ES"/>
        </w:rPr>
        <w:t>epígrafe</w:t>
      </w:r>
      <w:r w:rsidR="00982D05">
        <w:rPr>
          <w:lang w:val="es-ES"/>
        </w:rPr>
        <w:t xml:space="preserve"> </w:t>
      </w:r>
      <w:r w:rsidR="0081353A">
        <w:rPr>
          <w:lang w:val="es-ES"/>
        </w:rPr>
        <w:t xml:space="preserve">II </w:t>
      </w:r>
      <w:r w:rsidR="00982D05">
        <w:rPr>
          <w:lang w:val="es-ES"/>
        </w:rPr>
        <w:t xml:space="preserve">del informe. </w:t>
      </w:r>
    </w:p>
    <w:p w:rsidR="0039286F" w:rsidRDefault="00C64C02" w:rsidP="00A044FC">
      <w:pPr>
        <w:pStyle w:val="texto"/>
        <w:rPr>
          <w:lang w:val="es-ES"/>
        </w:rPr>
      </w:pPr>
      <w:r>
        <w:rPr>
          <w:lang w:val="es-ES"/>
        </w:rPr>
        <w:t>N</w:t>
      </w:r>
      <w:r w:rsidR="00713001">
        <w:rPr>
          <w:lang w:val="es-ES"/>
        </w:rPr>
        <w:t>o obstante</w:t>
      </w:r>
      <w:r>
        <w:rPr>
          <w:lang w:val="es-ES"/>
        </w:rPr>
        <w:t>, de nuestra revisión señalamos</w:t>
      </w:r>
      <w:r w:rsidR="00713001">
        <w:rPr>
          <w:lang w:val="es-ES"/>
        </w:rPr>
        <w:t xml:space="preserve"> </w:t>
      </w:r>
      <w:r w:rsidR="0039286F">
        <w:rPr>
          <w:lang w:val="es-ES"/>
        </w:rPr>
        <w:t>lo siguiente:</w:t>
      </w:r>
    </w:p>
    <w:p w:rsidR="002E4E5E" w:rsidRPr="005D2942" w:rsidRDefault="002E4E5E" w:rsidP="00A044FC">
      <w:pPr>
        <w:pStyle w:val="texto"/>
        <w:numPr>
          <w:ilvl w:val="0"/>
          <w:numId w:val="1"/>
        </w:numPr>
        <w:tabs>
          <w:tab w:val="clear" w:pos="1948"/>
          <w:tab w:val="clear" w:pos="2835"/>
          <w:tab w:val="clear" w:pos="3969"/>
          <w:tab w:val="clear" w:pos="5103"/>
          <w:tab w:val="clear" w:pos="6237"/>
          <w:tab w:val="clear" w:pos="7371"/>
          <w:tab w:val="num" w:pos="-529"/>
          <w:tab w:val="left" w:pos="480"/>
          <w:tab w:val="num" w:pos="720"/>
        </w:tabs>
        <w:ind w:left="0" w:firstLine="289"/>
        <w:rPr>
          <w:rFonts w:cs="Arial"/>
        </w:rPr>
      </w:pPr>
      <w:r w:rsidRPr="005D2942">
        <w:rPr>
          <w:rFonts w:cs="Arial"/>
        </w:rPr>
        <w:t xml:space="preserve">Desde </w:t>
      </w:r>
      <w:r w:rsidR="002E2236" w:rsidRPr="005D2942">
        <w:rPr>
          <w:rFonts w:cs="Arial"/>
        </w:rPr>
        <w:t xml:space="preserve">el Servicio de Patrimonio </w:t>
      </w:r>
      <w:r w:rsidRPr="005D2942">
        <w:rPr>
          <w:rFonts w:cs="Arial"/>
        </w:rPr>
        <w:t xml:space="preserve">se informa que no constan registros de bienes o derechos adscritos </w:t>
      </w:r>
      <w:r w:rsidR="003B26B9">
        <w:rPr>
          <w:rFonts w:cs="Arial"/>
        </w:rPr>
        <w:t xml:space="preserve">anteriormente </w:t>
      </w:r>
      <w:r w:rsidRPr="005D2942">
        <w:rPr>
          <w:rFonts w:cs="Arial"/>
        </w:rPr>
        <w:t>a la Fundación.</w:t>
      </w:r>
    </w:p>
    <w:p w:rsidR="00982D05" w:rsidRDefault="00982D05" w:rsidP="00A044F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sidRPr="00363796">
        <w:rPr>
          <w:rFonts w:cs="Arial"/>
        </w:rPr>
        <w:t>No consta estimación de posibles efectos económicos derivados del proc</w:t>
      </w:r>
      <w:r w:rsidRPr="00363796">
        <w:rPr>
          <w:rFonts w:cs="Arial"/>
        </w:rPr>
        <w:t>e</w:t>
      </w:r>
      <w:r w:rsidRPr="00363796">
        <w:rPr>
          <w:rFonts w:cs="Arial"/>
        </w:rPr>
        <w:t>so de ordenación.</w:t>
      </w:r>
    </w:p>
    <w:p w:rsidR="00F91455" w:rsidRPr="00692BE4" w:rsidRDefault="00F91455" w:rsidP="00D40940">
      <w:pPr>
        <w:pStyle w:val="atitulo3"/>
        <w:spacing w:before="300" w:after="200"/>
        <w:rPr>
          <w:rFonts w:cs="Arial"/>
        </w:rPr>
      </w:pPr>
      <w:r w:rsidRPr="00692BE4">
        <w:rPr>
          <w:rFonts w:cs="Arial"/>
        </w:rPr>
        <w:t>V.2.</w:t>
      </w:r>
      <w:r>
        <w:rPr>
          <w:rFonts w:cs="Arial"/>
        </w:rPr>
        <w:t>4</w:t>
      </w:r>
      <w:r w:rsidRPr="00692BE4">
        <w:rPr>
          <w:rFonts w:cs="Arial"/>
        </w:rPr>
        <w:t xml:space="preserve">. </w:t>
      </w:r>
      <w:r w:rsidR="003B26B9">
        <w:rPr>
          <w:rFonts w:cs="Arial"/>
        </w:rPr>
        <w:t xml:space="preserve">Ahorros en el </w:t>
      </w:r>
      <w:r w:rsidR="00D22D3C" w:rsidRPr="00692BE4">
        <w:rPr>
          <w:rFonts w:cs="Arial"/>
        </w:rPr>
        <w:t xml:space="preserve">sector </w:t>
      </w:r>
      <w:r w:rsidR="00D22D3C">
        <w:rPr>
          <w:rFonts w:cs="Arial"/>
        </w:rPr>
        <w:t>público foral</w:t>
      </w:r>
      <w:r>
        <w:rPr>
          <w:rFonts w:cs="Arial"/>
        </w:rPr>
        <w:t xml:space="preserve"> de Navarra</w:t>
      </w:r>
    </w:p>
    <w:p w:rsidR="00E63C83" w:rsidRDefault="00F30CC5" w:rsidP="00341488">
      <w:pPr>
        <w:pStyle w:val="texto"/>
        <w:spacing w:after="260"/>
        <w:rPr>
          <w:rFonts w:eastAsiaTheme="minorHAnsi"/>
          <w:szCs w:val="26"/>
        </w:rPr>
      </w:pPr>
      <w:bookmarkStart w:id="43" w:name="_Toc521909269"/>
      <w:r>
        <w:rPr>
          <w:rFonts w:eastAsiaTheme="minorHAnsi"/>
          <w:szCs w:val="26"/>
        </w:rPr>
        <w:t xml:space="preserve">El estado agregado de ahorros por sectores y los ajustes que </w:t>
      </w:r>
      <w:r w:rsidR="00FF2507">
        <w:rPr>
          <w:rFonts w:eastAsiaTheme="minorHAnsi"/>
          <w:szCs w:val="26"/>
        </w:rPr>
        <w:t xml:space="preserve">hemos </w:t>
      </w:r>
      <w:r>
        <w:rPr>
          <w:rFonts w:eastAsiaTheme="minorHAnsi"/>
          <w:szCs w:val="26"/>
        </w:rPr>
        <w:t>consid</w:t>
      </w:r>
      <w:r>
        <w:rPr>
          <w:rFonts w:eastAsiaTheme="minorHAnsi"/>
          <w:szCs w:val="26"/>
        </w:rPr>
        <w:t>e</w:t>
      </w:r>
      <w:r>
        <w:rPr>
          <w:rFonts w:eastAsiaTheme="minorHAnsi"/>
          <w:szCs w:val="26"/>
        </w:rPr>
        <w:t>ra</w:t>
      </w:r>
      <w:r w:rsidR="00FF2507">
        <w:rPr>
          <w:rFonts w:eastAsiaTheme="minorHAnsi"/>
          <w:szCs w:val="26"/>
        </w:rPr>
        <w:t>do</w:t>
      </w:r>
      <w:r>
        <w:rPr>
          <w:rFonts w:eastAsiaTheme="minorHAnsi"/>
          <w:szCs w:val="26"/>
        </w:rPr>
        <w:t xml:space="preserve"> se refleja en el siguiente cuadro: </w:t>
      </w:r>
    </w:p>
    <w:tbl>
      <w:tblPr>
        <w:tblW w:w="874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30"/>
        <w:gridCol w:w="1219"/>
      </w:tblGrid>
      <w:tr w:rsidR="00E63C83" w:rsidRPr="0056162A" w:rsidTr="001004D0">
        <w:trPr>
          <w:trHeight w:val="312"/>
          <w:jc w:val="center"/>
        </w:trPr>
        <w:tc>
          <w:tcPr>
            <w:tcW w:w="7530" w:type="dxa"/>
            <w:tcBorders>
              <w:bottom w:val="single" w:sz="4" w:space="0" w:color="auto"/>
            </w:tcBorders>
            <w:shd w:val="clear" w:color="auto" w:fill="8DB3E2" w:themeFill="text2" w:themeFillTint="66"/>
            <w:noWrap/>
            <w:vAlign w:val="center"/>
            <w:hideMark/>
          </w:tcPr>
          <w:p w:rsidR="00E63C83" w:rsidRPr="0056162A" w:rsidRDefault="00E63C83" w:rsidP="005D2942">
            <w:pPr>
              <w:spacing w:after="0"/>
              <w:ind w:firstLine="0"/>
              <w:jc w:val="left"/>
              <w:rPr>
                <w:rFonts w:ascii="Arial" w:hAnsi="Arial" w:cs="Arial"/>
                <w:sz w:val="16"/>
                <w:szCs w:val="16"/>
                <w:lang w:val="es-ES" w:eastAsia="es-ES"/>
              </w:rPr>
            </w:pPr>
            <w:r w:rsidRPr="0056162A">
              <w:rPr>
                <w:rFonts w:ascii="Arial" w:hAnsi="Arial" w:cs="Arial"/>
                <w:sz w:val="16"/>
                <w:szCs w:val="16"/>
                <w:lang w:val="es-ES" w:eastAsia="es-ES"/>
              </w:rPr>
              <w:t>Ahorros</w:t>
            </w:r>
            <w:r w:rsidR="00FF2507">
              <w:rPr>
                <w:rFonts w:ascii="Arial" w:hAnsi="Arial" w:cs="Arial"/>
                <w:sz w:val="16"/>
                <w:szCs w:val="16"/>
                <w:lang w:val="es-ES" w:eastAsia="es-ES"/>
              </w:rPr>
              <w:t xml:space="preserve"> por sectores</w:t>
            </w:r>
          </w:p>
        </w:tc>
        <w:tc>
          <w:tcPr>
            <w:tcW w:w="1219" w:type="dxa"/>
            <w:tcBorders>
              <w:bottom w:val="single" w:sz="4" w:space="0" w:color="auto"/>
            </w:tcBorders>
            <w:shd w:val="clear" w:color="auto" w:fill="8DB3E2" w:themeFill="text2" w:themeFillTint="66"/>
            <w:noWrap/>
            <w:vAlign w:val="center"/>
            <w:hideMark/>
          </w:tcPr>
          <w:p w:rsidR="00E63C83" w:rsidRPr="0056162A" w:rsidRDefault="00E63C83" w:rsidP="005D2942">
            <w:pPr>
              <w:spacing w:after="0"/>
              <w:ind w:firstLine="0"/>
              <w:jc w:val="right"/>
              <w:rPr>
                <w:rFonts w:ascii="Arial" w:hAnsi="Arial" w:cs="Arial"/>
                <w:sz w:val="16"/>
                <w:szCs w:val="16"/>
                <w:lang w:val="es-ES" w:eastAsia="es-ES"/>
              </w:rPr>
            </w:pPr>
            <w:r w:rsidRPr="0056162A">
              <w:rPr>
                <w:rFonts w:ascii="Arial" w:hAnsi="Arial" w:cs="Arial"/>
                <w:sz w:val="16"/>
                <w:szCs w:val="16"/>
                <w:lang w:val="es-ES" w:eastAsia="es-ES"/>
              </w:rPr>
              <w:t>Importe</w:t>
            </w:r>
          </w:p>
        </w:tc>
      </w:tr>
      <w:tr w:rsidR="00E63C83" w:rsidRPr="0056162A" w:rsidTr="001004D0">
        <w:trPr>
          <w:trHeight w:val="227"/>
          <w:jc w:val="center"/>
        </w:trPr>
        <w:tc>
          <w:tcPr>
            <w:tcW w:w="7530" w:type="dxa"/>
            <w:tcBorders>
              <w:bottom w:val="single" w:sz="2" w:space="0" w:color="auto"/>
            </w:tcBorders>
            <w:shd w:val="clear" w:color="auto" w:fill="auto"/>
            <w:noWrap/>
            <w:vAlign w:val="center"/>
          </w:tcPr>
          <w:p w:rsidR="00E63C83" w:rsidRPr="0056162A" w:rsidRDefault="005D2942"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w:t>
            </w:r>
            <w:r w:rsidR="00E63C83">
              <w:rPr>
                <w:rFonts w:ascii="Arial Narrow" w:hAnsi="Arial Narrow"/>
                <w:sz w:val="18"/>
                <w:szCs w:val="18"/>
                <w:lang w:val="es-ES" w:eastAsia="es-ES"/>
              </w:rPr>
              <w:t>ector  público administrativo</w:t>
            </w:r>
          </w:p>
        </w:tc>
        <w:tc>
          <w:tcPr>
            <w:tcW w:w="1219" w:type="dxa"/>
            <w:tcBorders>
              <w:bottom w:val="single" w:sz="2" w:space="0" w:color="auto"/>
            </w:tcBorders>
            <w:shd w:val="clear" w:color="auto" w:fill="auto"/>
            <w:noWrap/>
            <w:vAlign w:val="center"/>
          </w:tcPr>
          <w:p w:rsidR="00E63C83" w:rsidRPr="0056162A" w:rsidRDefault="003B26B9"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 xml:space="preserve">No consta </w:t>
            </w:r>
          </w:p>
        </w:tc>
      </w:tr>
      <w:tr w:rsidR="005D2942" w:rsidRPr="0056162A" w:rsidTr="001004D0">
        <w:trPr>
          <w:trHeight w:val="227"/>
          <w:jc w:val="center"/>
        </w:trPr>
        <w:tc>
          <w:tcPr>
            <w:tcW w:w="7530" w:type="dxa"/>
            <w:tcBorders>
              <w:bottom w:val="single" w:sz="2" w:space="0" w:color="auto"/>
            </w:tcBorders>
            <w:shd w:val="clear" w:color="auto" w:fill="auto"/>
            <w:noWrap/>
            <w:vAlign w:val="center"/>
          </w:tcPr>
          <w:p w:rsidR="005D2942" w:rsidRDefault="005D2942"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Sector público empresarial</w:t>
            </w:r>
          </w:p>
        </w:tc>
        <w:tc>
          <w:tcPr>
            <w:tcW w:w="1219" w:type="dxa"/>
            <w:tcBorders>
              <w:bottom w:val="single" w:sz="2" w:space="0" w:color="auto"/>
            </w:tcBorders>
            <w:shd w:val="clear" w:color="auto" w:fill="auto"/>
            <w:noWrap/>
            <w:vAlign w:val="center"/>
          </w:tcPr>
          <w:p w:rsidR="005D2942" w:rsidRDefault="005D2942"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33.450</w:t>
            </w:r>
          </w:p>
        </w:tc>
      </w:tr>
      <w:tr w:rsidR="00E63C83" w:rsidRPr="0056162A" w:rsidTr="001004D0">
        <w:trPr>
          <w:trHeight w:val="227"/>
          <w:jc w:val="center"/>
        </w:trPr>
        <w:tc>
          <w:tcPr>
            <w:tcW w:w="7530" w:type="dxa"/>
            <w:tcBorders>
              <w:bottom w:val="single" w:sz="2" w:space="0" w:color="auto"/>
            </w:tcBorders>
            <w:shd w:val="clear" w:color="auto" w:fill="auto"/>
            <w:noWrap/>
            <w:vAlign w:val="center"/>
          </w:tcPr>
          <w:p w:rsidR="00E63C83" w:rsidRPr="0056162A" w:rsidRDefault="005D2942"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S</w:t>
            </w:r>
            <w:r w:rsidR="00E63C83">
              <w:rPr>
                <w:rFonts w:ascii="Arial Narrow" w:hAnsi="Arial Narrow"/>
                <w:sz w:val="18"/>
                <w:szCs w:val="18"/>
                <w:lang w:val="es-ES" w:eastAsia="es-ES"/>
              </w:rPr>
              <w:t>ector público fundacional</w:t>
            </w:r>
          </w:p>
        </w:tc>
        <w:tc>
          <w:tcPr>
            <w:tcW w:w="1219" w:type="dxa"/>
            <w:tcBorders>
              <w:bottom w:val="single" w:sz="2" w:space="0" w:color="auto"/>
            </w:tcBorders>
            <w:shd w:val="clear" w:color="auto" w:fill="auto"/>
            <w:noWrap/>
            <w:vAlign w:val="center"/>
          </w:tcPr>
          <w:p w:rsidR="00E63C83" w:rsidRPr="0056162A" w:rsidRDefault="003B26B9"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No consta</w:t>
            </w:r>
          </w:p>
        </w:tc>
      </w:tr>
      <w:tr w:rsidR="00E63C83" w:rsidRPr="0056162A" w:rsidTr="001004D0">
        <w:trPr>
          <w:trHeight w:val="255"/>
          <w:jc w:val="center"/>
        </w:trPr>
        <w:tc>
          <w:tcPr>
            <w:tcW w:w="7530" w:type="dxa"/>
            <w:tcBorders>
              <w:bottom w:val="single" w:sz="4" w:space="0" w:color="auto"/>
            </w:tcBorders>
            <w:shd w:val="clear" w:color="auto" w:fill="8DB3E2" w:themeFill="text2" w:themeFillTint="66"/>
            <w:noWrap/>
            <w:vAlign w:val="center"/>
            <w:hideMark/>
          </w:tcPr>
          <w:p w:rsidR="00E63C83" w:rsidRPr="0056162A" w:rsidRDefault="00E63C83" w:rsidP="00FF2507">
            <w:pPr>
              <w:spacing w:after="0"/>
              <w:ind w:firstLine="0"/>
              <w:jc w:val="left"/>
              <w:rPr>
                <w:rFonts w:ascii="Arial" w:hAnsi="Arial" w:cs="Arial"/>
                <w:sz w:val="16"/>
                <w:szCs w:val="16"/>
                <w:lang w:val="es-ES" w:eastAsia="es-ES"/>
              </w:rPr>
            </w:pPr>
            <w:r>
              <w:rPr>
                <w:rFonts w:ascii="Arial" w:hAnsi="Arial" w:cs="Arial"/>
                <w:sz w:val="16"/>
                <w:szCs w:val="16"/>
                <w:lang w:val="es-ES" w:eastAsia="es-ES"/>
              </w:rPr>
              <w:t xml:space="preserve">Total </w:t>
            </w:r>
            <w:r w:rsidR="005D2942">
              <w:rPr>
                <w:rFonts w:ascii="Arial" w:hAnsi="Arial" w:cs="Arial"/>
                <w:sz w:val="16"/>
                <w:szCs w:val="16"/>
                <w:lang w:val="es-ES" w:eastAsia="es-ES"/>
              </w:rPr>
              <w:t>a</w:t>
            </w:r>
            <w:r w:rsidRPr="0056162A">
              <w:rPr>
                <w:rFonts w:ascii="Arial" w:hAnsi="Arial" w:cs="Arial"/>
                <w:sz w:val="16"/>
                <w:szCs w:val="16"/>
                <w:lang w:val="es-ES" w:eastAsia="es-ES"/>
              </w:rPr>
              <w:t>horros</w:t>
            </w:r>
            <w:r>
              <w:rPr>
                <w:rFonts w:ascii="Arial" w:hAnsi="Arial" w:cs="Arial"/>
                <w:sz w:val="16"/>
                <w:szCs w:val="16"/>
                <w:lang w:val="es-ES" w:eastAsia="es-ES"/>
              </w:rPr>
              <w:t xml:space="preserve"> </w:t>
            </w:r>
          </w:p>
        </w:tc>
        <w:tc>
          <w:tcPr>
            <w:tcW w:w="1219" w:type="dxa"/>
            <w:tcBorders>
              <w:bottom w:val="single" w:sz="4" w:space="0" w:color="auto"/>
            </w:tcBorders>
            <w:shd w:val="clear" w:color="auto" w:fill="8DB3E2" w:themeFill="text2" w:themeFillTint="66"/>
            <w:noWrap/>
            <w:vAlign w:val="center"/>
            <w:hideMark/>
          </w:tcPr>
          <w:p w:rsidR="00E63C83" w:rsidRPr="0056162A" w:rsidRDefault="00E63C83" w:rsidP="005D2942">
            <w:pPr>
              <w:spacing w:after="0"/>
              <w:ind w:firstLine="0"/>
              <w:jc w:val="right"/>
              <w:rPr>
                <w:rFonts w:ascii="Arial" w:hAnsi="Arial" w:cs="Arial"/>
                <w:sz w:val="16"/>
                <w:szCs w:val="16"/>
                <w:lang w:val="es-ES" w:eastAsia="es-ES"/>
              </w:rPr>
            </w:pPr>
            <w:r>
              <w:rPr>
                <w:rFonts w:ascii="Arial" w:hAnsi="Arial" w:cs="Arial"/>
                <w:sz w:val="16"/>
                <w:szCs w:val="16"/>
                <w:lang w:val="es-ES" w:eastAsia="es-ES"/>
              </w:rPr>
              <w:t>33.450</w:t>
            </w:r>
          </w:p>
        </w:tc>
      </w:tr>
      <w:tr w:rsidR="00E63C83" w:rsidRPr="0056162A" w:rsidTr="001004D0">
        <w:trPr>
          <w:trHeight w:val="227"/>
          <w:jc w:val="center"/>
        </w:trPr>
        <w:tc>
          <w:tcPr>
            <w:tcW w:w="7530" w:type="dxa"/>
            <w:tcBorders>
              <w:top w:val="single" w:sz="2" w:space="0" w:color="auto"/>
              <w:bottom w:val="single" w:sz="2" w:space="0" w:color="auto"/>
            </w:tcBorders>
            <w:shd w:val="clear" w:color="auto" w:fill="auto"/>
            <w:noWrap/>
            <w:vAlign w:val="center"/>
          </w:tcPr>
          <w:p w:rsidR="00E63C83" w:rsidRPr="0056162A" w:rsidRDefault="00E63C83"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Ajustes</w:t>
            </w:r>
          </w:p>
        </w:tc>
        <w:tc>
          <w:tcPr>
            <w:tcW w:w="1219" w:type="dxa"/>
            <w:tcBorders>
              <w:top w:val="single" w:sz="2" w:space="0" w:color="auto"/>
              <w:bottom w:val="single" w:sz="2" w:space="0" w:color="auto"/>
            </w:tcBorders>
            <w:shd w:val="clear" w:color="auto" w:fill="auto"/>
            <w:noWrap/>
            <w:vAlign w:val="center"/>
          </w:tcPr>
          <w:p w:rsidR="00E63C83" w:rsidRDefault="00E63C83" w:rsidP="005D2942">
            <w:pPr>
              <w:spacing w:after="0"/>
              <w:ind w:firstLine="0"/>
              <w:jc w:val="right"/>
              <w:rPr>
                <w:rFonts w:ascii="Arial Narrow" w:hAnsi="Arial Narrow"/>
                <w:sz w:val="18"/>
                <w:szCs w:val="18"/>
                <w:lang w:val="es-ES" w:eastAsia="es-ES"/>
              </w:rPr>
            </w:pPr>
          </w:p>
        </w:tc>
      </w:tr>
      <w:tr w:rsidR="00E63C83" w:rsidRPr="0056162A" w:rsidTr="001004D0">
        <w:trPr>
          <w:trHeight w:val="227"/>
          <w:jc w:val="center"/>
        </w:trPr>
        <w:tc>
          <w:tcPr>
            <w:tcW w:w="7530" w:type="dxa"/>
            <w:tcBorders>
              <w:top w:val="single" w:sz="2" w:space="0" w:color="auto"/>
              <w:bottom w:val="single" w:sz="2" w:space="0" w:color="auto"/>
            </w:tcBorders>
            <w:shd w:val="clear" w:color="auto" w:fill="auto"/>
            <w:noWrap/>
            <w:vAlign w:val="center"/>
            <w:hideMark/>
          </w:tcPr>
          <w:p w:rsidR="00E63C83" w:rsidRPr="0056162A" w:rsidRDefault="00E63C83"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     -</w:t>
            </w:r>
            <w:r w:rsidRPr="0056162A">
              <w:rPr>
                <w:rFonts w:ascii="Arial Narrow" w:hAnsi="Arial Narrow"/>
                <w:sz w:val="18"/>
                <w:szCs w:val="18"/>
                <w:lang w:val="es-ES" w:eastAsia="es-ES"/>
              </w:rPr>
              <w:t xml:space="preserve">Ajustes </w:t>
            </w:r>
            <w:r>
              <w:rPr>
                <w:rFonts w:ascii="Arial Narrow" w:hAnsi="Arial Narrow"/>
                <w:sz w:val="18"/>
                <w:szCs w:val="18"/>
                <w:lang w:val="es-ES" w:eastAsia="es-ES"/>
              </w:rPr>
              <w:t xml:space="preserve">en </w:t>
            </w:r>
            <w:r w:rsidRPr="0056162A">
              <w:rPr>
                <w:rFonts w:ascii="Arial Narrow" w:hAnsi="Arial Narrow"/>
                <w:sz w:val="18"/>
                <w:szCs w:val="18"/>
                <w:lang w:val="es-ES" w:eastAsia="es-ES"/>
              </w:rPr>
              <w:t>CPEN</w:t>
            </w:r>
          </w:p>
        </w:tc>
        <w:tc>
          <w:tcPr>
            <w:tcW w:w="1219" w:type="dxa"/>
            <w:tcBorders>
              <w:top w:val="single" w:sz="2" w:space="0" w:color="auto"/>
              <w:bottom w:val="single" w:sz="2" w:space="0" w:color="auto"/>
            </w:tcBorders>
            <w:shd w:val="clear" w:color="auto" w:fill="auto"/>
            <w:noWrap/>
            <w:vAlign w:val="center"/>
            <w:hideMark/>
          </w:tcPr>
          <w:p w:rsidR="00E63C83" w:rsidRPr="0056162A" w:rsidRDefault="00E63C83"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1.203</w:t>
            </w:r>
          </w:p>
        </w:tc>
      </w:tr>
      <w:tr w:rsidR="00E63C83" w:rsidRPr="0056162A" w:rsidTr="001004D0">
        <w:trPr>
          <w:trHeight w:val="227"/>
          <w:jc w:val="center"/>
        </w:trPr>
        <w:tc>
          <w:tcPr>
            <w:tcW w:w="7530" w:type="dxa"/>
            <w:tcBorders>
              <w:top w:val="single" w:sz="2" w:space="0" w:color="auto"/>
            </w:tcBorders>
            <w:shd w:val="clear" w:color="auto" w:fill="auto"/>
            <w:noWrap/>
            <w:vAlign w:val="center"/>
            <w:hideMark/>
          </w:tcPr>
          <w:p w:rsidR="00E63C83" w:rsidRPr="0056162A" w:rsidRDefault="00E63C83" w:rsidP="005D2942">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 xml:space="preserve">     -Ajustes en la Administración de la Comunidad Foral</w:t>
            </w:r>
          </w:p>
        </w:tc>
        <w:tc>
          <w:tcPr>
            <w:tcW w:w="1219" w:type="dxa"/>
            <w:tcBorders>
              <w:top w:val="single" w:sz="2" w:space="0" w:color="auto"/>
            </w:tcBorders>
            <w:shd w:val="clear" w:color="auto" w:fill="auto"/>
            <w:noWrap/>
            <w:vAlign w:val="center"/>
            <w:hideMark/>
          </w:tcPr>
          <w:p w:rsidR="00E63C83" w:rsidRPr="0056162A" w:rsidRDefault="00E63C83" w:rsidP="005D294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-2.087</w:t>
            </w:r>
          </w:p>
        </w:tc>
      </w:tr>
      <w:tr w:rsidR="00E63C83" w:rsidRPr="0056162A" w:rsidTr="00D26D2F">
        <w:trPr>
          <w:trHeight w:val="284"/>
          <w:jc w:val="center"/>
        </w:trPr>
        <w:tc>
          <w:tcPr>
            <w:tcW w:w="7530" w:type="dxa"/>
            <w:shd w:val="clear" w:color="auto" w:fill="8DB3E2" w:themeFill="text2" w:themeFillTint="66"/>
            <w:noWrap/>
            <w:vAlign w:val="center"/>
            <w:hideMark/>
          </w:tcPr>
          <w:p w:rsidR="00E63C83" w:rsidRPr="0056162A" w:rsidRDefault="00E63C83" w:rsidP="00E63C83">
            <w:pPr>
              <w:spacing w:after="0"/>
              <w:ind w:firstLine="0"/>
              <w:jc w:val="left"/>
              <w:rPr>
                <w:rFonts w:ascii="Arial" w:hAnsi="Arial" w:cs="Arial"/>
                <w:sz w:val="16"/>
                <w:szCs w:val="16"/>
                <w:lang w:val="es-ES" w:eastAsia="es-ES"/>
              </w:rPr>
            </w:pPr>
            <w:r w:rsidRPr="0056162A">
              <w:rPr>
                <w:rFonts w:ascii="Arial" w:hAnsi="Arial" w:cs="Arial"/>
                <w:sz w:val="16"/>
                <w:szCs w:val="16"/>
                <w:lang w:val="es-ES" w:eastAsia="es-ES"/>
              </w:rPr>
              <w:t xml:space="preserve">Total ahorros del </w:t>
            </w:r>
            <w:r w:rsidR="00A7258D">
              <w:rPr>
                <w:rFonts w:ascii="Arial" w:hAnsi="Arial" w:cs="Arial"/>
                <w:sz w:val="16"/>
                <w:szCs w:val="16"/>
                <w:lang w:val="es-ES" w:eastAsia="es-ES"/>
              </w:rPr>
              <w:t>s</w:t>
            </w:r>
            <w:r w:rsidR="00A7258D" w:rsidRPr="0056162A">
              <w:rPr>
                <w:rFonts w:ascii="Arial" w:hAnsi="Arial" w:cs="Arial"/>
                <w:sz w:val="16"/>
                <w:szCs w:val="16"/>
                <w:lang w:val="es-ES" w:eastAsia="es-ES"/>
              </w:rPr>
              <w:t xml:space="preserve">ector </w:t>
            </w:r>
            <w:r w:rsidR="00A7258D">
              <w:rPr>
                <w:rFonts w:ascii="Arial" w:hAnsi="Arial" w:cs="Arial"/>
                <w:sz w:val="16"/>
                <w:szCs w:val="16"/>
                <w:lang w:val="es-ES" w:eastAsia="es-ES"/>
              </w:rPr>
              <w:t>p</w:t>
            </w:r>
            <w:r w:rsidR="00A7258D" w:rsidRPr="0056162A">
              <w:rPr>
                <w:rFonts w:ascii="Arial" w:hAnsi="Arial" w:cs="Arial"/>
                <w:sz w:val="16"/>
                <w:szCs w:val="16"/>
                <w:lang w:val="es-ES" w:eastAsia="es-ES"/>
              </w:rPr>
              <w:t>úblico</w:t>
            </w:r>
            <w:r w:rsidRPr="0056162A">
              <w:rPr>
                <w:rFonts w:ascii="Arial" w:hAnsi="Arial" w:cs="Arial"/>
                <w:sz w:val="16"/>
                <w:szCs w:val="16"/>
                <w:lang w:val="es-ES" w:eastAsia="es-ES"/>
              </w:rPr>
              <w:t xml:space="preserve"> </w:t>
            </w:r>
            <w:r w:rsidR="00D22D3C" w:rsidRPr="0056162A">
              <w:rPr>
                <w:rFonts w:ascii="Arial" w:hAnsi="Arial" w:cs="Arial"/>
                <w:sz w:val="16"/>
                <w:szCs w:val="16"/>
                <w:lang w:val="es-ES" w:eastAsia="es-ES"/>
              </w:rPr>
              <w:t xml:space="preserve">foral </w:t>
            </w:r>
            <w:r w:rsidRPr="0056162A">
              <w:rPr>
                <w:rFonts w:ascii="Arial" w:hAnsi="Arial" w:cs="Arial"/>
                <w:sz w:val="16"/>
                <w:szCs w:val="16"/>
                <w:lang w:val="es-ES" w:eastAsia="es-ES"/>
              </w:rPr>
              <w:t>de Navarra</w:t>
            </w:r>
          </w:p>
        </w:tc>
        <w:tc>
          <w:tcPr>
            <w:tcW w:w="1219" w:type="dxa"/>
            <w:shd w:val="clear" w:color="auto" w:fill="8DB3E2" w:themeFill="text2" w:themeFillTint="66"/>
            <w:noWrap/>
            <w:vAlign w:val="center"/>
            <w:hideMark/>
          </w:tcPr>
          <w:p w:rsidR="00E63C83" w:rsidRPr="0056162A" w:rsidRDefault="00E63C83" w:rsidP="005D2942">
            <w:pPr>
              <w:spacing w:after="0"/>
              <w:ind w:firstLine="0"/>
              <w:jc w:val="right"/>
              <w:rPr>
                <w:rFonts w:ascii="Arial" w:hAnsi="Arial" w:cs="Arial"/>
                <w:sz w:val="16"/>
                <w:szCs w:val="16"/>
                <w:lang w:val="es-ES" w:eastAsia="es-ES"/>
              </w:rPr>
            </w:pPr>
            <w:r>
              <w:rPr>
                <w:rFonts w:ascii="Arial" w:hAnsi="Arial" w:cs="Arial"/>
                <w:sz w:val="16"/>
                <w:szCs w:val="16"/>
                <w:lang w:val="es-ES" w:eastAsia="es-ES"/>
              </w:rPr>
              <w:t>32.566</w:t>
            </w:r>
          </w:p>
        </w:tc>
      </w:tr>
    </w:tbl>
    <w:p w:rsidR="00A2629D" w:rsidRDefault="00A2629D" w:rsidP="00687C85">
      <w:pPr>
        <w:pStyle w:val="texto"/>
        <w:rPr>
          <w:rFonts w:eastAsiaTheme="minorHAnsi"/>
          <w:b/>
          <w:szCs w:val="26"/>
        </w:rPr>
      </w:pPr>
    </w:p>
    <w:p w:rsidR="002E4E5E" w:rsidRDefault="002E4E5E" w:rsidP="00687C85">
      <w:pPr>
        <w:pStyle w:val="texto"/>
        <w:rPr>
          <w:rFonts w:eastAsiaTheme="minorHAnsi"/>
          <w:szCs w:val="26"/>
        </w:rPr>
      </w:pPr>
      <w:r w:rsidRPr="00F30CC5">
        <w:rPr>
          <w:rFonts w:eastAsiaTheme="minorHAnsi"/>
          <w:b/>
          <w:szCs w:val="26"/>
        </w:rPr>
        <w:lastRenderedPageBreak/>
        <w:t>En definitiva</w:t>
      </w:r>
      <w:r>
        <w:rPr>
          <w:rFonts w:eastAsiaTheme="minorHAnsi"/>
          <w:szCs w:val="26"/>
        </w:rPr>
        <w:t xml:space="preserve">, </w:t>
      </w:r>
      <w:r w:rsidR="00A2629D">
        <w:rPr>
          <w:rFonts w:eastAsiaTheme="minorHAnsi"/>
          <w:szCs w:val="26"/>
        </w:rPr>
        <w:t>realizados</w:t>
      </w:r>
      <w:r w:rsidR="00E63C83">
        <w:rPr>
          <w:rFonts w:eastAsiaTheme="minorHAnsi"/>
          <w:szCs w:val="26"/>
        </w:rPr>
        <w:t xml:space="preserve"> los ajust</w:t>
      </w:r>
      <w:r w:rsidR="00F30CC5">
        <w:rPr>
          <w:rFonts w:eastAsiaTheme="minorHAnsi"/>
          <w:szCs w:val="26"/>
        </w:rPr>
        <w:t xml:space="preserve">es propuestos, </w:t>
      </w:r>
      <w:r w:rsidR="00A2629D">
        <w:rPr>
          <w:rFonts w:eastAsiaTheme="minorHAnsi"/>
          <w:szCs w:val="26"/>
        </w:rPr>
        <w:t xml:space="preserve">se comprueba que el ahorro </w:t>
      </w:r>
      <w:r w:rsidR="00F36886">
        <w:rPr>
          <w:rFonts w:eastAsiaTheme="minorHAnsi"/>
          <w:szCs w:val="26"/>
        </w:rPr>
        <w:t xml:space="preserve">estimado </w:t>
      </w:r>
      <w:r w:rsidR="00A2629D">
        <w:rPr>
          <w:rFonts w:eastAsiaTheme="minorHAnsi"/>
          <w:szCs w:val="26"/>
        </w:rPr>
        <w:t xml:space="preserve">en el sector </w:t>
      </w:r>
      <w:r w:rsidR="00D22D3C">
        <w:rPr>
          <w:rFonts w:eastAsiaTheme="minorHAnsi"/>
          <w:szCs w:val="26"/>
        </w:rPr>
        <w:t>público foral</w:t>
      </w:r>
      <w:r w:rsidR="003B26B9">
        <w:rPr>
          <w:rFonts w:eastAsiaTheme="minorHAnsi"/>
          <w:szCs w:val="26"/>
        </w:rPr>
        <w:t xml:space="preserve"> de Navarra</w:t>
      </w:r>
      <w:r w:rsidR="00C841C7">
        <w:rPr>
          <w:rFonts w:eastAsiaTheme="minorHAnsi"/>
          <w:szCs w:val="26"/>
        </w:rPr>
        <w:t xml:space="preserve"> tras</w:t>
      </w:r>
      <w:r w:rsidR="00102BB7">
        <w:rPr>
          <w:rFonts w:eastAsiaTheme="minorHAnsi"/>
          <w:szCs w:val="26"/>
        </w:rPr>
        <w:t xml:space="preserve"> los procesos de reorden</w:t>
      </w:r>
      <w:r w:rsidR="00102BB7">
        <w:rPr>
          <w:rFonts w:eastAsiaTheme="minorHAnsi"/>
          <w:szCs w:val="26"/>
        </w:rPr>
        <w:t>a</w:t>
      </w:r>
      <w:r w:rsidR="00102BB7">
        <w:rPr>
          <w:rFonts w:eastAsiaTheme="minorHAnsi"/>
          <w:szCs w:val="26"/>
        </w:rPr>
        <w:t>ción</w:t>
      </w:r>
      <w:r w:rsidR="00C841C7">
        <w:rPr>
          <w:rFonts w:eastAsiaTheme="minorHAnsi"/>
          <w:szCs w:val="26"/>
        </w:rPr>
        <w:t xml:space="preserve"> </w:t>
      </w:r>
      <w:r w:rsidR="0009739B">
        <w:rPr>
          <w:rFonts w:eastAsiaTheme="minorHAnsi"/>
          <w:szCs w:val="26"/>
        </w:rPr>
        <w:t xml:space="preserve">asciende a </w:t>
      </w:r>
      <w:r w:rsidR="00E63C83">
        <w:rPr>
          <w:rFonts w:eastAsiaTheme="minorHAnsi"/>
          <w:szCs w:val="26"/>
        </w:rPr>
        <w:t xml:space="preserve">32,57 millones </w:t>
      </w:r>
      <w:r w:rsidR="00C841C7">
        <w:rPr>
          <w:rFonts w:eastAsiaTheme="minorHAnsi"/>
          <w:szCs w:val="26"/>
        </w:rPr>
        <w:t>y procede exclusivamente del sector público empresarial.</w:t>
      </w:r>
      <w:r w:rsidR="00E63C83">
        <w:rPr>
          <w:rFonts w:eastAsiaTheme="minorHAnsi"/>
          <w:szCs w:val="26"/>
        </w:rPr>
        <w:t xml:space="preserve"> </w:t>
      </w:r>
    </w:p>
    <w:p w:rsidR="0017115B" w:rsidRDefault="0017115B" w:rsidP="00BF1A1A">
      <w:pPr>
        <w:pStyle w:val="atitulo2"/>
        <w:spacing w:before="240" w:after="200"/>
      </w:pPr>
      <w:bookmarkStart w:id="44" w:name="_Toc527376677"/>
      <w:r w:rsidRPr="00471D93">
        <w:t>V.</w:t>
      </w:r>
      <w:r w:rsidR="00692BE4">
        <w:t>3</w:t>
      </w:r>
      <w:r w:rsidRPr="00471D93">
        <w:t>.</w:t>
      </w:r>
      <w:r>
        <w:t xml:space="preserve"> Funciones afectadas por la reestructuración</w:t>
      </w:r>
      <w:bookmarkEnd w:id="43"/>
      <w:bookmarkEnd w:id="44"/>
    </w:p>
    <w:p w:rsidR="0017115B" w:rsidRPr="00E76F68" w:rsidRDefault="0017115B" w:rsidP="00345988">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260"/>
        <w:ind w:left="0" w:firstLine="289"/>
        <w:rPr>
          <w:rFonts w:cs="Arial"/>
        </w:rPr>
      </w:pPr>
      <w:r w:rsidRPr="00E76F68">
        <w:rPr>
          <w:rFonts w:cs="Arial"/>
        </w:rPr>
        <w:t xml:space="preserve">Sector </w:t>
      </w:r>
      <w:r w:rsidR="00B20E58" w:rsidRPr="00E76F68">
        <w:rPr>
          <w:rFonts w:cs="Arial"/>
        </w:rPr>
        <w:t>público administrativo</w:t>
      </w:r>
    </w:p>
    <w:tbl>
      <w:tblPr>
        <w:tblW w:w="10007"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29"/>
        <w:gridCol w:w="2482"/>
        <w:gridCol w:w="2590"/>
        <w:gridCol w:w="2506"/>
      </w:tblGrid>
      <w:tr w:rsidR="0017115B" w:rsidRPr="007314B6" w:rsidTr="00345988">
        <w:trPr>
          <w:trHeight w:val="397"/>
          <w:jc w:val="center"/>
        </w:trPr>
        <w:tc>
          <w:tcPr>
            <w:tcW w:w="2429" w:type="dxa"/>
            <w:tcBorders>
              <w:bottom w:val="single" w:sz="4" w:space="0" w:color="auto"/>
            </w:tcBorders>
            <w:shd w:val="clear" w:color="auto" w:fill="8DB3E2" w:themeFill="text2" w:themeFillTint="66"/>
            <w:noWrap/>
            <w:vAlign w:val="center"/>
            <w:hideMark/>
          </w:tcPr>
          <w:p w:rsidR="0017115B" w:rsidRPr="007314B6" w:rsidRDefault="007C2D33" w:rsidP="007314B6">
            <w:pPr>
              <w:spacing w:after="0"/>
              <w:ind w:firstLine="0"/>
              <w:jc w:val="left"/>
              <w:rPr>
                <w:rFonts w:ascii="Arial" w:hAnsi="Arial" w:cs="Arial"/>
                <w:color w:val="000000"/>
                <w:sz w:val="15"/>
                <w:szCs w:val="15"/>
                <w:lang w:val="es-ES" w:eastAsia="es-ES"/>
              </w:rPr>
            </w:pPr>
            <w:r>
              <w:rPr>
                <w:rFonts w:ascii="Arial" w:hAnsi="Arial" w:cs="Arial"/>
                <w:color w:val="000000"/>
                <w:sz w:val="15"/>
                <w:szCs w:val="15"/>
                <w:lang w:val="es-ES" w:eastAsia="es-ES"/>
              </w:rPr>
              <w:t>Entidad</w:t>
            </w:r>
          </w:p>
        </w:tc>
        <w:tc>
          <w:tcPr>
            <w:tcW w:w="2482" w:type="dxa"/>
            <w:tcBorders>
              <w:bottom w:val="single" w:sz="4" w:space="0" w:color="auto"/>
            </w:tcBorders>
            <w:shd w:val="clear" w:color="auto" w:fill="8DB3E2" w:themeFill="text2" w:themeFillTint="66"/>
            <w:noWrap/>
            <w:vAlign w:val="center"/>
            <w:hideMark/>
          </w:tcPr>
          <w:p w:rsidR="00ED120A" w:rsidRDefault="007314B6" w:rsidP="007314B6">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 xml:space="preserve">Funciones anteriores a la </w:t>
            </w:r>
          </w:p>
          <w:p w:rsidR="0017115B" w:rsidRPr="007314B6" w:rsidRDefault="007314B6" w:rsidP="007314B6">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ordenaci</w:t>
            </w:r>
            <w:r>
              <w:rPr>
                <w:rFonts w:ascii="Arial" w:hAnsi="Arial" w:cs="Arial"/>
                <w:color w:val="000000"/>
                <w:sz w:val="15"/>
                <w:szCs w:val="15"/>
                <w:lang w:val="es-ES" w:eastAsia="es-ES"/>
              </w:rPr>
              <w:t>ó</w:t>
            </w:r>
            <w:r w:rsidRPr="007314B6">
              <w:rPr>
                <w:rFonts w:ascii="Arial" w:hAnsi="Arial" w:cs="Arial"/>
                <w:color w:val="000000"/>
                <w:sz w:val="15"/>
                <w:szCs w:val="15"/>
                <w:lang w:val="es-ES" w:eastAsia="es-ES"/>
              </w:rPr>
              <w:t>n</w:t>
            </w:r>
          </w:p>
        </w:tc>
        <w:tc>
          <w:tcPr>
            <w:tcW w:w="2590" w:type="dxa"/>
            <w:tcBorders>
              <w:bottom w:val="single" w:sz="4" w:space="0" w:color="auto"/>
            </w:tcBorders>
            <w:shd w:val="clear" w:color="auto" w:fill="8DB3E2" w:themeFill="text2" w:themeFillTint="66"/>
            <w:noWrap/>
            <w:vAlign w:val="center"/>
            <w:hideMark/>
          </w:tcPr>
          <w:p w:rsidR="00ED120A" w:rsidRDefault="007314B6" w:rsidP="007314B6">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 xml:space="preserve">Funciones posteriores a la </w:t>
            </w:r>
          </w:p>
          <w:p w:rsidR="0017115B" w:rsidRPr="007314B6" w:rsidRDefault="007314B6" w:rsidP="007314B6">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orde</w:t>
            </w:r>
            <w:r>
              <w:rPr>
                <w:rFonts w:ascii="Arial" w:hAnsi="Arial" w:cs="Arial"/>
                <w:color w:val="000000"/>
                <w:sz w:val="15"/>
                <w:szCs w:val="15"/>
                <w:lang w:val="es-ES" w:eastAsia="es-ES"/>
              </w:rPr>
              <w:t>nació</w:t>
            </w:r>
            <w:r w:rsidRPr="007314B6">
              <w:rPr>
                <w:rFonts w:ascii="Arial" w:hAnsi="Arial" w:cs="Arial"/>
                <w:color w:val="000000"/>
                <w:sz w:val="15"/>
                <w:szCs w:val="15"/>
                <w:lang w:val="es-ES" w:eastAsia="es-ES"/>
              </w:rPr>
              <w:t>n</w:t>
            </w:r>
          </w:p>
        </w:tc>
        <w:tc>
          <w:tcPr>
            <w:tcW w:w="2506" w:type="dxa"/>
            <w:tcBorders>
              <w:bottom w:val="single" w:sz="4" w:space="0" w:color="auto"/>
            </w:tcBorders>
            <w:shd w:val="clear" w:color="auto" w:fill="8DB3E2" w:themeFill="text2" w:themeFillTint="66"/>
            <w:noWrap/>
            <w:vAlign w:val="center"/>
            <w:hideMark/>
          </w:tcPr>
          <w:p w:rsidR="0017115B" w:rsidRPr="007314B6" w:rsidRDefault="007C2D33" w:rsidP="007314B6">
            <w:pPr>
              <w:spacing w:after="0"/>
              <w:ind w:firstLine="0"/>
              <w:jc w:val="left"/>
              <w:rPr>
                <w:rFonts w:ascii="Arial" w:hAnsi="Arial" w:cs="Arial"/>
                <w:color w:val="000000"/>
                <w:sz w:val="15"/>
                <w:szCs w:val="15"/>
                <w:lang w:val="es-ES" w:eastAsia="es-ES"/>
              </w:rPr>
            </w:pPr>
            <w:r>
              <w:rPr>
                <w:rFonts w:ascii="Arial" w:hAnsi="Arial" w:cs="Arial"/>
                <w:color w:val="000000"/>
                <w:sz w:val="15"/>
                <w:szCs w:val="15"/>
                <w:lang w:val="es-ES" w:eastAsia="es-ES"/>
              </w:rPr>
              <w:t>Entidad</w:t>
            </w:r>
          </w:p>
        </w:tc>
      </w:tr>
      <w:tr w:rsidR="00B81A0C" w:rsidRPr="007314B6" w:rsidTr="007A7539">
        <w:trPr>
          <w:trHeight w:val="315"/>
          <w:jc w:val="center"/>
        </w:trPr>
        <w:tc>
          <w:tcPr>
            <w:tcW w:w="2429" w:type="dxa"/>
            <w:tcBorders>
              <w:top w:val="single" w:sz="2" w:space="0" w:color="auto"/>
              <w:bottom w:val="single" w:sz="2" w:space="0" w:color="auto"/>
            </w:tcBorders>
            <w:shd w:val="clear" w:color="auto" w:fill="auto"/>
            <w:noWrap/>
            <w:vAlign w:val="center"/>
          </w:tcPr>
          <w:p w:rsidR="00B81A0C" w:rsidRDefault="00B81A0C"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Consejo Audiovisual de Navarra</w:t>
            </w:r>
          </w:p>
        </w:tc>
        <w:tc>
          <w:tcPr>
            <w:tcW w:w="2482" w:type="dxa"/>
            <w:tcBorders>
              <w:top w:val="single" w:sz="2" w:space="0" w:color="auto"/>
              <w:bottom w:val="single" w:sz="2" w:space="0" w:color="auto"/>
            </w:tcBorders>
            <w:shd w:val="clear" w:color="auto" w:fill="auto"/>
            <w:noWrap/>
            <w:vAlign w:val="center"/>
          </w:tcPr>
          <w:p w:rsidR="00B81A0C" w:rsidRDefault="00B81A0C"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Actividad audiovisual en Navarra</w:t>
            </w:r>
          </w:p>
        </w:tc>
        <w:tc>
          <w:tcPr>
            <w:tcW w:w="2590" w:type="dxa"/>
            <w:tcBorders>
              <w:top w:val="single" w:sz="2" w:space="0" w:color="auto"/>
              <w:bottom w:val="single" w:sz="2" w:space="0" w:color="auto"/>
            </w:tcBorders>
            <w:shd w:val="clear" w:color="auto" w:fill="auto"/>
            <w:noWrap/>
            <w:vAlign w:val="center"/>
          </w:tcPr>
          <w:p w:rsidR="00B81A0C" w:rsidRDefault="00B81A0C"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Actividad audiovisual en Navarra</w:t>
            </w:r>
          </w:p>
        </w:tc>
        <w:tc>
          <w:tcPr>
            <w:tcW w:w="2506" w:type="dxa"/>
            <w:tcBorders>
              <w:top w:val="single" w:sz="2" w:space="0" w:color="auto"/>
              <w:bottom w:val="single" w:sz="2" w:space="0" w:color="auto"/>
            </w:tcBorders>
            <w:shd w:val="clear" w:color="auto" w:fill="auto"/>
            <w:noWrap/>
            <w:vAlign w:val="center"/>
          </w:tcPr>
          <w:p w:rsidR="00B81A0C" w:rsidRDefault="00B81A0C" w:rsidP="007314B6">
            <w:pPr>
              <w:spacing w:after="0"/>
              <w:ind w:firstLine="0"/>
              <w:jc w:val="left"/>
              <w:rPr>
                <w:rFonts w:ascii="Arial Narrow" w:hAnsi="Arial Narrow"/>
                <w:color w:val="000000"/>
                <w:sz w:val="16"/>
                <w:szCs w:val="16"/>
                <w:lang w:val="es-ES" w:eastAsia="es-ES"/>
              </w:rPr>
            </w:pPr>
            <w:r w:rsidRPr="004C08B5">
              <w:rPr>
                <w:rFonts w:ascii="Arial Narrow" w:hAnsi="Arial Narrow"/>
                <w:color w:val="000000"/>
                <w:sz w:val="16"/>
                <w:szCs w:val="16"/>
                <w:lang w:val="es-ES" w:eastAsia="es-ES"/>
              </w:rPr>
              <w:t>Departamento de Cultura, Turismo y Relación Institucionales</w:t>
            </w:r>
            <w:r>
              <w:rPr>
                <w:rStyle w:val="Refdenotaalpie"/>
                <w:rFonts w:ascii="Arial Narrow" w:hAnsi="Arial Narrow"/>
                <w:color w:val="000000"/>
                <w:sz w:val="16"/>
                <w:szCs w:val="16"/>
                <w:lang w:val="es-ES" w:eastAsia="es-ES"/>
              </w:rPr>
              <w:footnoteReference w:id="15"/>
            </w:r>
          </w:p>
        </w:tc>
      </w:tr>
      <w:tr w:rsidR="00DD015E" w:rsidRPr="007314B6" w:rsidTr="007A7539">
        <w:trPr>
          <w:trHeight w:val="315"/>
          <w:jc w:val="center"/>
        </w:trPr>
        <w:tc>
          <w:tcPr>
            <w:tcW w:w="2429" w:type="dxa"/>
            <w:tcBorders>
              <w:top w:val="single" w:sz="2" w:space="0" w:color="auto"/>
              <w:bottom w:val="single" w:sz="2" w:space="0" w:color="auto"/>
            </w:tcBorders>
            <w:shd w:val="clear" w:color="auto" w:fill="auto"/>
            <w:noWrap/>
            <w:vAlign w:val="center"/>
          </w:tcPr>
          <w:p w:rsidR="00DD015E" w:rsidRPr="007314B6" w:rsidRDefault="00DD015E"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Estación de Viticultura y Enología de Navarra (EVENA)</w:t>
            </w:r>
          </w:p>
        </w:tc>
        <w:tc>
          <w:tcPr>
            <w:tcW w:w="2482" w:type="dxa"/>
            <w:tcBorders>
              <w:top w:val="single" w:sz="2" w:space="0" w:color="auto"/>
              <w:bottom w:val="single" w:sz="2" w:space="0" w:color="auto"/>
            </w:tcBorders>
            <w:shd w:val="clear" w:color="auto" w:fill="auto"/>
            <w:noWrap/>
            <w:vAlign w:val="center"/>
          </w:tcPr>
          <w:p w:rsidR="00DD015E" w:rsidRDefault="00CE38E4"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w:t>
            </w:r>
            <w:r w:rsidR="00DD015E">
              <w:rPr>
                <w:rFonts w:ascii="Arial Narrow" w:hAnsi="Arial Narrow"/>
                <w:color w:val="000000"/>
                <w:sz w:val="16"/>
                <w:szCs w:val="16"/>
                <w:lang w:val="es-ES" w:eastAsia="es-ES"/>
              </w:rPr>
              <w:t>Asesoramiento en enología</w:t>
            </w:r>
            <w:r>
              <w:rPr>
                <w:rFonts w:ascii="Arial Narrow" w:hAnsi="Arial Narrow"/>
                <w:color w:val="000000"/>
                <w:sz w:val="16"/>
                <w:szCs w:val="16"/>
                <w:lang w:val="es-ES" w:eastAsia="es-ES"/>
              </w:rPr>
              <w:t xml:space="preserve"> y viticultura</w:t>
            </w:r>
          </w:p>
          <w:p w:rsidR="00CE38E4" w:rsidRPr="007314B6" w:rsidRDefault="00CE38E4"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-Investigación vinícola</w:t>
            </w:r>
          </w:p>
        </w:tc>
        <w:tc>
          <w:tcPr>
            <w:tcW w:w="2590" w:type="dxa"/>
            <w:tcBorders>
              <w:top w:val="single" w:sz="2" w:space="0" w:color="auto"/>
              <w:bottom w:val="single" w:sz="2" w:space="0" w:color="auto"/>
            </w:tcBorders>
            <w:shd w:val="clear" w:color="auto" w:fill="auto"/>
            <w:noWrap/>
            <w:vAlign w:val="center"/>
          </w:tcPr>
          <w:p w:rsidR="00DD015E" w:rsidRPr="007314B6" w:rsidRDefault="00CE38E4"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Experimentación e investigación vinícola</w:t>
            </w:r>
            <w:r w:rsidR="00C64C02">
              <w:rPr>
                <w:rFonts w:ascii="Arial Narrow" w:hAnsi="Arial Narrow"/>
                <w:color w:val="000000"/>
                <w:sz w:val="16"/>
                <w:szCs w:val="16"/>
                <w:lang w:val="es-ES" w:eastAsia="es-ES"/>
              </w:rPr>
              <w:t xml:space="preserve"> y viticultura</w:t>
            </w:r>
          </w:p>
        </w:tc>
        <w:tc>
          <w:tcPr>
            <w:tcW w:w="2506" w:type="dxa"/>
            <w:tcBorders>
              <w:top w:val="single" w:sz="2" w:space="0" w:color="auto"/>
              <w:bottom w:val="single" w:sz="2" w:space="0" w:color="auto"/>
            </w:tcBorders>
            <w:shd w:val="clear" w:color="auto" w:fill="auto"/>
            <w:noWrap/>
            <w:vAlign w:val="center"/>
          </w:tcPr>
          <w:p w:rsidR="00DD015E" w:rsidRPr="007314B6" w:rsidRDefault="00C64C02"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Departamento de Desarrollo Rural, Industria, Empleo y Medio Ambiente</w:t>
            </w:r>
            <w:r>
              <w:rPr>
                <w:rStyle w:val="Refdenotaalpie"/>
                <w:rFonts w:ascii="Arial Narrow" w:hAnsi="Arial Narrow"/>
                <w:color w:val="000000"/>
                <w:sz w:val="16"/>
                <w:szCs w:val="16"/>
                <w:lang w:val="es-ES" w:eastAsia="es-ES"/>
              </w:rPr>
              <w:footnoteReference w:id="16"/>
            </w:r>
          </w:p>
        </w:tc>
      </w:tr>
      <w:tr w:rsidR="0017115B" w:rsidRPr="007314B6" w:rsidTr="007A7539">
        <w:trPr>
          <w:trHeight w:val="315"/>
          <w:jc w:val="center"/>
        </w:trPr>
        <w:tc>
          <w:tcPr>
            <w:tcW w:w="2429"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Instituto Navarro de Administración Pública (I.N.A.P.)</w:t>
            </w:r>
          </w:p>
        </w:tc>
        <w:tc>
          <w:tcPr>
            <w:tcW w:w="2482"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Formación y aprendizaje de los funci</w:t>
            </w:r>
            <w:r w:rsidRPr="007314B6">
              <w:rPr>
                <w:rFonts w:ascii="Arial Narrow" w:hAnsi="Arial Narrow"/>
                <w:color w:val="000000"/>
                <w:sz w:val="16"/>
                <w:szCs w:val="16"/>
                <w:lang w:val="es-ES" w:eastAsia="es-ES"/>
              </w:rPr>
              <w:t>o</w:t>
            </w:r>
            <w:r w:rsidRPr="007314B6">
              <w:rPr>
                <w:rFonts w:ascii="Arial Narrow" w:hAnsi="Arial Narrow"/>
                <w:color w:val="000000"/>
                <w:sz w:val="16"/>
                <w:szCs w:val="16"/>
                <w:lang w:val="es-ES" w:eastAsia="es-ES"/>
              </w:rPr>
              <w:t>narios públicos de Navarra</w:t>
            </w:r>
          </w:p>
        </w:tc>
        <w:tc>
          <w:tcPr>
            <w:tcW w:w="2590"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Formación y aprendizaje de los funcion</w:t>
            </w:r>
            <w:r w:rsidRPr="007314B6">
              <w:rPr>
                <w:rFonts w:ascii="Arial Narrow" w:hAnsi="Arial Narrow"/>
                <w:color w:val="000000"/>
                <w:sz w:val="16"/>
                <w:szCs w:val="16"/>
                <w:lang w:val="es-ES" w:eastAsia="es-ES"/>
              </w:rPr>
              <w:t>a</w:t>
            </w:r>
            <w:r w:rsidRPr="007314B6">
              <w:rPr>
                <w:rFonts w:ascii="Arial Narrow" w:hAnsi="Arial Narrow"/>
                <w:color w:val="000000"/>
                <w:sz w:val="16"/>
                <w:szCs w:val="16"/>
                <w:lang w:val="es-ES" w:eastAsia="es-ES"/>
              </w:rPr>
              <w:t>rios públicos de Navarra</w:t>
            </w:r>
          </w:p>
        </w:tc>
        <w:tc>
          <w:tcPr>
            <w:tcW w:w="2506"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Departamento de Presidencia, Función Pública, Interior y Justicia</w:t>
            </w:r>
          </w:p>
        </w:tc>
      </w:tr>
      <w:tr w:rsidR="0017115B" w:rsidRPr="007314B6" w:rsidTr="007A7539">
        <w:trPr>
          <w:trHeight w:val="300"/>
          <w:jc w:val="center"/>
        </w:trPr>
        <w:tc>
          <w:tcPr>
            <w:tcW w:w="2429"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Instituto Navarro de Juventud (I.N.J)</w:t>
            </w:r>
          </w:p>
        </w:tc>
        <w:tc>
          <w:tcPr>
            <w:tcW w:w="2482"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Organización y actividades juventud</w:t>
            </w:r>
          </w:p>
        </w:tc>
        <w:tc>
          <w:tcPr>
            <w:tcW w:w="2590" w:type="dxa"/>
            <w:vMerge w:val="restart"/>
            <w:tcBorders>
              <w:top w:val="single" w:sz="2" w:space="0" w:color="auto"/>
              <w:bottom w:val="single" w:sz="2" w:space="0" w:color="auto"/>
            </w:tcBorders>
            <w:shd w:val="clear" w:color="auto" w:fill="auto"/>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Organización y actividades deporte y juventud</w:t>
            </w:r>
          </w:p>
        </w:tc>
        <w:tc>
          <w:tcPr>
            <w:tcW w:w="2506" w:type="dxa"/>
            <w:vMerge w:val="restart"/>
            <w:tcBorders>
              <w:top w:val="single" w:sz="2" w:space="0" w:color="auto"/>
              <w:bottom w:val="single" w:sz="2" w:space="0" w:color="auto"/>
            </w:tcBorders>
            <w:shd w:val="clear" w:color="auto" w:fill="auto"/>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Instituto Navarro de Deporte y Juventud (I.N.D.J.)</w:t>
            </w:r>
          </w:p>
        </w:tc>
      </w:tr>
      <w:tr w:rsidR="0017115B" w:rsidRPr="007314B6" w:rsidTr="007A7539">
        <w:trPr>
          <w:trHeight w:val="315"/>
          <w:jc w:val="center"/>
        </w:trPr>
        <w:tc>
          <w:tcPr>
            <w:tcW w:w="2429"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Instituto Navarro de Deporte (I.N.D )</w:t>
            </w:r>
          </w:p>
        </w:tc>
        <w:tc>
          <w:tcPr>
            <w:tcW w:w="2482" w:type="dxa"/>
            <w:tcBorders>
              <w:top w:val="single" w:sz="2" w:space="0" w:color="auto"/>
              <w:bottom w:val="single" w:sz="2" w:space="0" w:color="auto"/>
            </w:tcBorders>
            <w:shd w:val="clear" w:color="auto" w:fill="auto"/>
            <w:noWrap/>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Organización y actividades deporte</w:t>
            </w:r>
          </w:p>
        </w:tc>
        <w:tc>
          <w:tcPr>
            <w:tcW w:w="2590" w:type="dxa"/>
            <w:vMerge/>
            <w:tcBorders>
              <w:top w:val="single" w:sz="2" w:space="0" w:color="auto"/>
              <w:bottom w:val="single" w:sz="2" w:space="0" w:color="auto"/>
            </w:tcBorders>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p>
        </w:tc>
        <w:tc>
          <w:tcPr>
            <w:tcW w:w="2506" w:type="dxa"/>
            <w:vMerge/>
            <w:tcBorders>
              <w:top w:val="single" w:sz="2" w:space="0" w:color="auto"/>
              <w:bottom w:val="single" w:sz="2" w:space="0" w:color="auto"/>
            </w:tcBorders>
            <w:vAlign w:val="center"/>
            <w:hideMark/>
          </w:tcPr>
          <w:p w:rsidR="0017115B" w:rsidRPr="007314B6" w:rsidRDefault="0017115B" w:rsidP="007314B6">
            <w:pPr>
              <w:spacing w:after="0"/>
              <w:ind w:firstLine="0"/>
              <w:jc w:val="left"/>
              <w:rPr>
                <w:rFonts w:ascii="Arial Narrow" w:hAnsi="Arial Narrow"/>
                <w:color w:val="000000"/>
                <w:sz w:val="16"/>
                <w:szCs w:val="16"/>
                <w:lang w:val="es-ES" w:eastAsia="es-ES"/>
              </w:rPr>
            </w:pPr>
          </w:p>
        </w:tc>
      </w:tr>
      <w:tr w:rsidR="00DD015E" w:rsidRPr="007314B6" w:rsidTr="007A7539">
        <w:trPr>
          <w:trHeight w:val="315"/>
          <w:jc w:val="center"/>
        </w:trPr>
        <w:tc>
          <w:tcPr>
            <w:tcW w:w="2429" w:type="dxa"/>
            <w:tcBorders>
              <w:top w:val="single" w:sz="2" w:space="0" w:color="auto"/>
            </w:tcBorders>
            <w:shd w:val="clear" w:color="auto" w:fill="auto"/>
            <w:noWrap/>
            <w:vAlign w:val="center"/>
          </w:tcPr>
          <w:p w:rsidR="00DD015E" w:rsidRPr="007314B6" w:rsidRDefault="00DD015E"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Agencia Navarra para las Emergencias</w:t>
            </w:r>
          </w:p>
        </w:tc>
        <w:tc>
          <w:tcPr>
            <w:tcW w:w="2482" w:type="dxa"/>
            <w:tcBorders>
              <w:top w:val="single" w:sz="2" w:space="0" w:color="auto"/>
            </w:tcBorders>
            <w:shd w:val="clear" w:color="auto" w:fill="auto"/>
            <w:noWrap/>
            <w:vAlign w:val="center"/>
          </w:tcPr>
          <w:p w:rsidR="00DD015E" w:rsidRDefault="00DD015E"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-Gestión y coordinación de los servicios de protección civil</w:t>
            </w:r>
          </w:p>
          <w:p w:rsidR="00DD015E" w:rsidRPr="007314B6" w:rsidRDefault="00DD015E" w:rsidP="00DD015E">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-Gestión y coordinación de otros recu</w:t>
            </w:r>
            <w:r>
              <w:rPr>
                <w:rFonts w:ascii="Arial Narrow" w:hAnsi="Arial Narrow"/>
                <w:color w:val="000000"/>
                <w:sz w:val="16"/>
                <w:szCs w:val="16"/>
                <w:lang w:val="es-ES" w:eastAsia="es-ES"/>
              </w:rPr>
              <w:t>r</w:t>
            </w:r>
            <w:r>
              <w:rPr>
                <w:rFonts w:ascii="Arial Narrow" w:hAnsi="Arial Narrow"/>
                <w:color w:val="000000"/>
                <w:sz w:val="16"/>
                <w:szCs w:val="16"/>
                <w:lang w:val="es-ES" w:eastAsia="es-ES"/>
              </w:rPr>
              <w:t>sos de emergencia previstos en los planes de emergencia y protección civil.</w:t>
            </w:r>
          </w:p>
        </w:tc>
        <w:tc>
          <w:tcPr>
            <w:tcW w:w="2590" w:type="dxa"/>
            <w:tcBorders>
              <w:top w:val="single" w:sz="2" w:space="0" w:color="auto"/>
            </w:tcBorders>
            <w:shd w:val="clear" w:color="auto" w:fill="auto"/>
            <w:noWrap/>
            <w:vAlign w:val="center"/>
          </w:tcPr>
          <w:p w:rsidR="00DD015E" w:rsidRDefault="00DD015E" w:rsidP="00DD015E">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-Gestión y coordinación de los servicios de protección civil</w:t>
            </w:r>
          </w:p>
          <w:p w:rsidR="00DD015E" w:rsidRPr="007314B6" w:rsidRDefault="00DD015E" w:rsidP="00DD015E">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-Gestión y coordinación de otros recursos de emergencia previstos en los planes de emergencia y protección civil.</w:t>
            </w:r>
          </w:p>
        </w:tc>
        <w:tc>
          <w:tcPr>
            <w:tcW w:w="2506" w:type="dxa"/>
            <w:tcBorders>
              <w:top w:val="single" w:sz="2" w:space="0" w:color="auto"/>
            </w:tcBorders>
            <w:shd w:val="clear" w:color="auto" w:fill="auto"/>
            <w:noWrap/>
            <w:vAlign w:val="center"/>
          </w:tcPr>
          <w:p w:rsidR="00DD015E" w:rsidRPr="007314B6" w:rsidRDefault="00DD015E" w:rsidP="007314B6">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Departamento de Presidencia, Función Pública, Interior y Justicia</w:t>
            </w:r>
          </w:p>
        </w:tc>
      </w:tr>
    </w:tbl>
    <w:p w:rsidR="00CE38E4" w:rsidRPr="00687C85" w:rsidRDefault="003B26B9" w:rsidP="00D320DB">
      <w:pPr>
        <w:pStyle w:val="texto"/>
        <w:spacing w:before="240" w:after="120"/>
        <w:rPr>
          <w:spacing w:val="4"/>
          <w:lang w:val="es-ES"/>
        </w:rPr>
      </w:pPr>
      <w:r w:rsidRPr="00687C85">
        <w:rPr>
          <w:spacing w:val="4"/>
          <w:lang w:val="es-ES"/>
        </w:rPr>
        <w:t>L</w:t>
      </w:r>
      <w:r w:rsidR="00297CC8" w:rsidRPr="00687C85">
        <w:rPr>
          <w:spacing w:val="4"/>
          <w:lang w:val="es-ES"/>
        </w:rPr>
        <w:t xml:space="preserve">as funciones llevadas a cabo por </w:t>
      </w:r>
      <w:r w:rsidR="00AE115C" w:rsidRPr="00687C85">
        <w:rPr>
          <w:spacing w:val="4"/>
          <w:lang w:val="es-ES"/>
        </w:rPr>
        <w:t xml:space="preserve">el </w:t>
      </w:r>
      <w:r w:rsidR="007C2D33" w:rsidRPr="00687C85">
        <w:rPr>
          <w:spacing w:val="4"/>
          <w:lang w:val="es-ES"/>
        </w:rPr>
        <w:t xml:space="preserve">Consejo </w:t>
      </w:r>
      <w:r w:rsidR="00AE115C" w:rsidRPr="00687C85">
        <w:rPr>
          <w:spacing w:val="4"/>
          <w:lang w:val="es-ES"/>
        </w:rPr>
        <w:t xml:space="preserve">Audiovisual de Navarra </w:t>
      </w:r>
      <w:r w:rsidR="007C2D33" w:rsidRPr="00687C85">
        <w:rPr>
          <w:spacing w:val="4"/>
          <w:lang w:val="es-ES"/>
        </w:rPr>
        <w:t>exti</w:t>
      </w:r>
      <w:r w:rsidR="007C2D33" w:rsidRPr="00687C85">
        <w:rPr>
          <w:spacing w:val="4"/>
          <w:lang w:val="es-ES"/>
        </w:rPr>
        <w:t>n</w:t>
      </w:r>
      <w:r w:rsidR="007C2D33" w:rsidRPr="00687C85">
        <w:rPr>
          <w:spacing w:val="4"/>
          <w:lang w:val="es-ES"/>
        </w:rPr>
        <w:t>guido</w:t>
      </w:r>
      <w:r w:rsidR="00F6439A">
        <w:rPr>
          <w:spacing w:val="4"/>
          <w:lang w:val="es-ES"/>
        </w:rPr>
        <w:t xml:space="preserve"> las pasa a ejercer</w:t>
      </w:r>
      <w:r w:rsidR="007C2D33" w:rsidRPr="00687C85">
        <w:rPr>
          <w:spacing w:val="4"/>
          <w:lang w:val="es-ES"/>
        </w:rPr>
        <w:t xml:space="preserve"> la propia Administración de la Comunidad Foral, al igual que en el caso de los </w:t>
      </w:r>
      <w:r w:rsidR="00F6439A" w:rsidRPr="00687C85">
        <w:rPr>
          <w:spacing w:val="4"/>
          <w:lang w:val="es-ES"/>
        </w:rPr>
        <w:t xml:space="preserve">organismos autónomos </w:t>
      </w:r>
      <w:r w:rsidR="00D23A18" w:rsidRPr="00687C85">
        <w:rPr>
          <w:spacing w:val="4"/>
          <w:lang w:val="es-ES"/>
        </w:rPr>
        <w:t>suprimid</w:t>
      </w:r>
      <w:r w:rsidR="00C64C02" w:rsidRPr="00687C85">
        <w:rPr>
          <w:spacing w:val="4"/>
          <w:lang w:val="es-ES"/>
        </w:rPr>
        <w:t>o</w:t>
      </w:r>
      <w:r w:rsidR="00D23A18" w:rsidRPr="00687C85">
        <w:rPr>
          <w:spacing w:val="4"/>
          <w:lang w:val="es-ES"/>
        </w:rPr>
        <w:t xml:space="preserve">s </w:t>
      </w:r>
      <w:r w:rsidR="007C2D33" w:rsidRPr="00687C85">
        <w:rPr>
          <w:spacing w:val="4"/>
          <w:lang w:val="es-ES"/>
        </w:rPr>
        <w:t xml:space="preserve">cuyas funciones </w:t>
      </w:r>
      <w:r w:rsidR="00297CC8" w:rsidRPr="00687C85">
        <w:rPr>
          <w:spacing w:val="4"/>
          <w:lang w:val="es-ES"/>
        </w:rPr>
        <w:t xml:space="preserve">se han asumido por distintos </w:t>
      </w:r>
      <w:r w:rsidR="00F6439A" w:rsidRPr="00687C85">
        <w:rPr>
          <w:spacing w:val="4"/>
          <w:lang w:val="es-ES"/>
        </w:rPr>
        <w:t>departamentos y un organismo autónomo.</w:t>
      </w:r>
    </w:p>
    <w:p w:rsidR="0017115B" w:rsidRPr="00DD21F4" w:rsidRDefault="0017115B" w:rsidP="00D320DB">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rsidRPr="00DD21F4">
        <w:rPr>
          <w:rFonts w:cs="Arial"/>
        </w:rPr>
        <w:t xml:space="preserve">Sector </w:t>
      </w:r>
      <w:r w:rsidR="00B20E58" w:rsidRPr="00DD21F4">
        <w:rPr>
          <w:rFonts w:cs="Arial"/>
        </w:rPr>
        <w:t xml:space="preserve">público empresarial </w:t>
      </w:r>
    </w:p>
    <w:p w:rsidR="00D42524" w:rsidRDefault="00DD21F4" w:rsidP="00CD258F">
      <w:pPr>
        <w:pStyle w:val="texto"/>
        <w:spacing w:after="260"/>
      </w:pPr>
      <w:r w:rsidRPr="001A4F64">
        <w:rPr>
          <w:lang w:val="es-ES"/>
        </w:rPr>
        <w:t>La agrupación del conjunto de actividades antes y después de</w:t>
      </w:r>
      <w:r w:rsidR="007C2D33">
        <w:rPr>
          <w:lang w:val="es-ES"/>
        </w:rPr>
        <w:t xml:space="preserve"> </w:t>
      </w:r>
      <w:r w:rsidRPr="001A4F64">
        <w:rPr>
          <w:lang w:val="es-ES"/>
        </w:rPr>
        <w:t>l</w:t>
      </w:r>
      <w:r w:rsidR="007C2D33">
        <w:rPr>
          <w:lang w:val="es-ES"/>
        </w:rPr>
        <w:t>os</w:t>
      </w:r>
      <w:r w:rsidRPr="001A4F64">
        <w:rPr>
          <w:lang w:val="es-ES"/>
        </w:rPr>
        <w:t xml:space="preserve"> proceso</w:t>
      </w:r>
      <w:r w:rsidR="007C2D33">
        <w:rPr>
          <w:lang w:val="es-ES"/>
        </w:rPr>
        <w:t>s</w:t>
      </w:r>
      <w:r w:rsidRPr="001A4F64">
        <w:rPr>
          <w:lang w:val="es-ES"/>
        </w:rPr>
        <w:t xml:space="preserve"> </w:t>
      </w:r>
      <w:r w:rsidR="007C2D33">
        <w:rPr>
          <w:lang w:val="es-ES"/>
        </w:rPr>
        <w:t xml:space="preserve">de ordenación </w:t>
      </w:r>
      <w:r w:rsidRPr="001A4F64">
        <w:rPr>
          <w:lang w:val="es-ES"/>
        </w:rPr>
        <w:t>es la siguiente:</w:t>
      </w:r>
      <w:r w:rsidR="00D42524">
        <w:t xml:space="preserve"> </w:t>
      </w:r>
    </w:p>
    <w:tbl>
      <w:tblPr>
        <w:tblW w:w="878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38"/>
        <w:gridCol w:w="3703"/>
        <w:gridCol w:w="4242"/>
      </w:tblGrid>
      <w:tr w:rsidR="003817D4" w:rsidRPr="00192F3A" w:rsidTr="00687C85">
        <w:trPr>
          <w:trHeight w:val="284"/>
          <w:jc w:val="center"/>
        </w:trPr>
        <w:tc>
          <w:tcPr>
            <w:tcW w:w="838" w:type="dxa"/>
            <w:shd w:val="clear" w:color="000000" w:fill="8DB3E2"/>
            <w:vAlign w:val="center"/>
            <w:hideMark/>
          </w:tcPr>
          <w:p w:rsidR="003817D4" w:rsidRPr="00192F3A" w:rsidRDefault="003817D4" w:rsidP="00104070">
            <w:pPr>
              <w:spacing w:after="0"/>
              <w:ind w:firstLine="0"/>
              <w:rPr>
                <w:rFonts w:ascii="Arial Narrow" w:hAnsi="Arial Narrow" w:cs="Arial"/>
                <w:color w:val="000000"/>
                <w:sz w:val="16"/>
                <w:szCs w:val="16"/>
                <w:lang w:val="es-ES" w:eastAsia="es-ES"/>
              </w:rPr>
            </w:pPr>
            <w:r w:rsidRPr="00192F3A">
              <w:rPr>
                <w:rFonts w:ascii="Arial Narrow" w:hAnsi="Arial Narrow" w:cs="Arial"/>
                <w:color w:val="000000"/>
                <w:sz w:val="16"/>
                <w:szCs w:val="16"/>
                <w:lang w:val="es-ES" w:eastAsia="es-ES"/>
              </w:rPr>
              <w:t> </w:t>
            </w:r>
          </w:p>
        </w:tc>
        <w:tc>
          <w:tcPr>
            <w:tcW w:w="7945" w:type="dxa"/>
            <w:gridSpan w:val="2"/>
            <w:shd w:val="clear" w:color="000000" w:fill="8DB3E2"/>
            <w:vAlign w:val="center"/>
            <w:hideMark/>
          </w:tcPr>
          <w:p w:rsidR="003817D4" w:rsidRPr="00192F3A" w:rsidRDefault="003817D4" w:rsidP="003817D4">
            <w:pPr>
              <w:spacing w:after="0"/>
              <w:ind w:firstLine="0"/>
              <w:jc w:val="center"/>
              <w:rPr>
                <w:rFonts w:ascii="Arial Narrow" w:hAnsi="Arial Narrow" w:cs="Arial"/>
                <w:color w:val="000000"/>
                <w:sz w:val="16"/>
                <w:szCs w:val="16"/>
                <w:lang w:val="es-ES" w:eastAsia="es-ES"/>
              </w:rPr>
            </w:pPr>
            <w:r w:rsidRPr="00192F3A">
              <w:rPr>
                <w:rFonts w:ascii="Arial Narrow" w:hAnsi="Arial Narrow" w:cs="Arial"/>
                <w:color w:val="000000"/>
                <w:sz w:val="16"/>
                <w:szCs w:val="16"/>
                <w:lang w:eastAsia="es-ES"/>
              </w:rPr>
              <w:t>Sociedades con participación directa superior al 50 por ciento existentes antes de los procesos de reordenación</w:t>
            </w:r>
          </w:p>
        </w:tc>
      </w:tr>
      <w:tr w:rsidR="003817D4" w:rsidRPr="003817D4" w:rsidTr="00687C85">
        <w:trPr>
          <w:trHeight w:val="284"/>
          <w:jc w:val="center"/>
        </w:trPr>
        <w:tc>
          <w:tcPr>
            <w:tcW w:w="4541" w:type="dxa"/>
            <w:gridSpan w:val="2"/>
            <w:tcBorders>
              <w:bottom w:val="single" w:sz="4" w:space="0" w:color="auto"/>
            </w:tcBorders>
            <w:shd w:val="clear" w:color="000000" w:fill="8DB4E2"/>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Actividades ec</w:t>
            </w:r>
            <w:r>
              <w:rPr>
                <w:rFonts w:ascii="Arial Narrow" w:hAnsi="Arial Narrow"/>
                <w:color w:val="000000"/>
                <w:sz w:val="16"/>
                <w:szCs w:val="16"/>
                <w:lang w:val="es-ES" w:eastAsia="es-ES"/>
              </w:rPr>
              <w:t>onómicas antes de la reordenació</w:t>
            </w:r>
            <w:r w:rsidRPr="003817D4">
              <w:rPr>
                <w:rFonts w:ascii="Arial Narrow" w:hAnsi="Arial Narrow"/>
                <w:color w:val="000000"/>
                <w:sz w:val="16"/>
                <w:szCs w:val="16"/>
                <w:lang w:val="es-ES" w:eastAsia="es-ES"/>
              </w:rPr>
              <w:t>n</w:t>
            </w:r>
          </w:p>
        </w:tc>
        <w:tc>
          <w:tcPr>
            <w:tcW w:w="4242" w:type="dxa"/>
            <w:tcBorders>
              <w:bottom w:val="single" w:sz="4" w:space="0" w:color="auto"/>
            </w:tcBorders>
            <w:shd w:val="clear" w:color="000000" w:fill="8DB4E2"/>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Actividades económicas despu</w:t>
            </w:r>
            <w:r>
              <w:rPr>
                <w:rFonts w:ascii="Arial Narrow" w:hAnsi="Arial Narrow"/>
                <w:color w:val="000000"/>
                <w:sz w:val="16"/>
                <w:szCs w:val="16"/>
                <w:lang w:val="es-ES" w:eastAsia="es-ES"/>
              </w:rPr>
              <w:t>és de la reordenació</w:t>
            </w:r>
            <w:r w:rsidRPr="003817D4">
              <w:rPr>
                <w:rFonts w:ascii="Arial Narrow" w:hAnsi="Arial Narrow"/>
                <w:color w:val="000000"/>
                <w:sz w:val="16"/>
                <w:szCs w:val="16"/>
                <w:lang w:val="es-ES" w:eastAsia="es-ES"/>
              </w:rPr>
              <w:t>n</w:t>
            </w:r>
          </w:p>
        </w:tc>
      </w:tr>
      <w:tr w:rsidR="003817D4" w:rsidRPr="003817D4" w:rsidTr="00687C85">
        <w:trPr>
          <w:trHeight w:val="238"/>
          <w:jc w:val="center"/>
        </w:trPr>
        <w:tc>
          <w:tcPr>
            <w:tcW w:w="4541" w:type="dxa"/>
            <w:gridSpan w:val="2"/>
            <w:tcBorders>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Suelo y Vivienda</w:t>
            </w:r>
          </w:p>
        </w:tc>
        <w:tc>
          <w:tcPr>
            <w:tcW w:w="4242" w:type="dxa"/>
            <w:tcBorders>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Suelo y Vivienda</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Transporte y Logística</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Se integra en Suelo y Vivienda</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Agroalimentación</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Agroalimentación</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fr-FR" w:eastAsia="es-ES"/>
              </w:rPr>
              <w:t xml:space="preserve">Medio Ambiente </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Medio Ambiente</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Infraestructuras locales</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Infraestructuras Locales</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Espacios Culturales</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Se integra en Infraestructuras Temáticas de Cultura, Ocio y Deporte</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Infraestructuras Temáticas, de Ocio y de Deporte</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Infraestructuras Temáticas, de Cultura, Ocio y de Deporte</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Educación y Talento</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Educación y Talento</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Servicios y Tecnología para las AAPP</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Servicios y Tecnología para las AAPP</w:t>
            </w:r>
          </w:p>
        </w:tc>
      </w:tr>
      <w:tr w:rsidR="003817D4"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Innovación y Emprendedores</w:t>
            </w:r>
          </w:p>
        </w:tc>
        <w:tc>
          <w:tcPr>
            <w:tcW w:w="4242"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Innovación y Emprendedores</w:t>
            </w:r>
          </w:p>
        </w:tc>
      </w:tr>
      <w:tr w:rsidR="003B26B9" w:rsidRPr="003817D4" w:rsidTr="00687C85">
        <w:trPr>
          <w:trHeight w:val="238"/>
          <w:jc w:val="center"/>
        </w:trPr>
        <w:tc>
          <w:tcPr>
            <w:tcW w:w="4541" w:type="dxa"/>
            <w:gridSpan w:val="2"/>
            <w:tcBorders>
              <w:top w:val="single" w:sz="2" w:space="0" w:color="auto"/>
              <w:bottom w:val="single" w:sz="2" w:space="0" w:color="auto"/>
            </w:tcBorders>
            <w:shd w:val="clear" w:color="auto" w:fill="auto"/>
            <w:noWrap/>
            <w:vAlign w:val="center"/>
            <w:hideMark/>
          </w:tcPr>
          <w:p w:rsidR="003B26B9" w:rsidRPr="000608A1" w:rsidRDefault="003B26B9" w:rsidP="003B26B9">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Catastro, cartografía y sistemas de información  territorial</w:t>
            </w:r>
          </w:p>
        </w:tc>
        <w:tc>
          <w:tcPr>
            <w:tcW w:w="4242" w:type="dxa"/>
            <w:tcBorders>
              <w:top w:val="single" w:sz="2" w:space="0" w:color="auto"/>
              <w:bottom w:val="single" w:sz="2" w:space="0" w:color="auto"/>
            </w:tcBorders>
            <w:shd w:val="clear" w:color="auto" w:fill="auto"/>
            <w:noWrap/>
            <w:vAlign w:val="center"/>
            <w:hideMark/>
          </w:tcPr>
          <w:p w:rsidR="003B26B9" w:rsidRPr="000608A1" w:rsidRDefault="003B26B9" w:rsidP="003B26B9">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Catastro, cartografía y sistemas de información  territorial</w:t>
            </w:r>
          </w:p>
        </w:tc>
      </w:tr>
      <w:tr w:rsidR="003B26B9" w:rsidRPr="003817D4" w:rsidTr="00687C85">
        <w:trPr>
          <w:trHeight w:val="238"/>
          <w:jc w:val="center"/>
        </w:trPr>
        <w:tc>
          <w:tcPr>
            <w:tcW w:w="4541" w:type="dxa"/>
            <w:gridSpan w:val="2"/>
            <w:tcBorders>
              <w:top w:val="single" w:sz="2" w:space="0" w:color="auto"/>
            </w:tcBorders>
            <w:shd w:val="clear" w:color="auto" w:fill="auto"/>
            <w:noWrap/>
            <w:vAlign w:val="center"/>
            <w:hideMark/>
          </w:tcPr>
          <w:p w:rsidR="003B26B9" w:rsidRPr="003817D4" w:rsidRDefault="003B26B9"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Promoción Económica y Financiación</w:t>
            </w:r>
          </w:p>
        </w:tc>
        <w:tc>
          <w:tcPr>
            <w:tcW w:w="4242" w:type="dxa"/>
            <w:tcBorders>
              <w:top w:val="single" w:sz="2" w:space="0" w:color="auto"/>
            </w:tcBorders>
            <w:shd w:val="clear" w:color="auto" w:fill="auto"/>
            <w:noWrap/>
            <w:vAlign w:val="center"/>
            <w:hideMark/>
          </w:tcPr>
          <w:p w:rsidR="003B26B9" w:rsidRPr="003817D4" w:rsidRDefault="003B26B9"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Promoción Económica y Financiación</w:t>
            </w:r>
          </w:p>
        </w:tc>
      </w:tr>
    </w:tbl>
    <w:p w:rsidR="00345988" w:rsidRDefault="00345988" w:rsidP="00687C85">
      <w:pPr>
        <w:pStyle w:val="texto"/>
        <w:spacing w:after="0"/>
        <w:rPr>
          <w:sz w:val="8"/>
          <w:szCs w:val="8"/>
        </w:rPr>
      </w:pPr>
    </w:p>
    <w:p w:rsidR="00687C85" w:rsidRDefault="00687C85" w:rsidP="00687C85">
      <w:pPr>
        <w:pStyle w:val="texto"/>
        <w:spacing w:after="0"/>
        <w:rPr>
          <w:sz w:val="8"/>
          <w:szCs w:val="8"/>
        </w:rPr>
      </w:pPr>
    </w:p>
    <w:p w:rsidR="00687C85" w:rsidRDefault="00687C85" w:rsidP="00687C85">
      <w:pPr>
        <w:pStyle w:val="texto"/>
        <w:spacing w:after="0"/>
        <w:rPr>
          <w:sz w:val="8"/>
          <w:szCs w:val="8"/>
        </w:rPr>
      </w:pPr>
    </w:p>
    <w:p w:rsidR="00687C85" w:rsidRPr="00687C85" w:rsidRDefault="00687C85" w:rsidP="00687C85">
      <w:pPr>
        <w:pStyle w:val="texto"/>
        <w:spacing w:after="0"/>
        <w:rPr>
          <w:sz w:val="8"/>
          <w:szCs w:val="8"/>
        </w:rPr>
      </w:pPr>
    </w:p>
    <w:tbl>
      <w:tblPr>
        <w:tblW w:w="878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838"/>
        <w:gridCol w:w="3679"/>
        <w:gridCol w:w="4268"/>
      </w:tblGrid>
      <w:tr w:rsidR="003817D4" w:rsidRPr="00192F3A" w:rsidTr="00687C85">
        <w:trPr>
          <w:trHeight w:val="284"/>
          <w:jc w:val="center"/>
        </w:trPr>
        <w:tc>
          <w:tcPr>
            <w:tcW w:w="838" w:type="dxa"/>
            <w:shd w:val="clear" w:color="000000" w:fill="8DB3E2"/>
            <w:vAlign w:val="center"/>
            <w:hideMark/>
          </w:tcPr>
          <w:p w:rsidR="003817D4" w:rsidRPr="00192F3A" w:rsidRDefault="003817D4" w:rsidP="00104070">
            <w:pPr>
              <w:spacing w:after="0"/>
              <w:ind w:firstLine="0"/>
              <w:rPr>
                <w:rFonts w:ascii="Arial Narrow" w:hAnsi="Arial Narrow" w:cs="Arial"/>
                <w:color w:val="000000"/>
                <w:sz w:val="16"/>
                <w:szCs w:val="16"/>
                <w:lang w:val="es-ES" w:eastAsia="es-ES"/>
              </w:rPr>
            </w:pPr>
            <w:r w:rsidRPr="00192F3A">
              <w:rPr>
                <w:rFonts w:ascii="Arial Narrow" w:hAnsi="Arial Narrow" w:cs="Arial"/>
                <w:color w:val="000000"/>
                <w:sz w:val="16"/>
                <w:szCs w:val="16"/>
                <w:lang w:val="es-ES" w:eastAsia="es-ES"/>
              </w:rPr>
              <w:t> </w:t>
            </w:r>
          </w:p>
        </w:tc>
        <w:tc>
          <w:tcPr>
            <w:tcW w:w="7947" w:type="dxa"/>
            <w:gridSpan w:val="2"/>
            <w:shd w:val="clear" w:color="000000" w:fill="8DB3E2"/>
            <w:vAlign w:val="center"/>
            <w:hideMark/>
          </w:tcPr>
          <w:p w:rsidR="003817D4" w:rsidRPr="00192F3A" w:rsidRDefault="003817D4" w:rsidP="003817D4">
            <w:pPr>
              <w:spacing w:after="0"/>
              <w:ind w:firstLine="0"/>
              <w:jc w:val="center"/>
              <w:rPr>
                <w:rFonts w:ascii="Arial Narrow" w:hAnsi="Arial Narrow" w:cs="Arial"/>
                <w:color w:val="000000"/>
                <w:sz w:val="16"/>
                <w:szCs w:val="16"/>
                <w:lang w:val="es-ES" w:eastAsia="es-ES"/>
              </w:rPr>
            </w:pPr>
            <w:r w:rsidRPr="00192F3A">
              <w:rPr>
                <w:rFonts w:ascii="Arial Narrow" w:hAnsi="Arial Narrow" w:cs="Arial"/>
                <w:color w:val="000000"/>
                <w:sz w:val="16"/>
                <w:szCs w:val="16"/>
                <w:lang w:eastAsia="es-ES"/>
              </w:rPr>
              <w:t xml:space="preserve">Sociedades con participación </w:t>
            </w:r>
            <w:r>
              <w:rPr>
                <w:rFonts w:ascii="Arial Narrow" w:hAnsi="Arial Narrow" w:cs="Arial"/>
                <w:color w:val="000000"/>
                <w:sz w:val="16"/>
                <w:szCs w:val="16"/>
                <w:lang w:eastAsia="es-ES"/>
              </w:rPr>
              <w:t>in</w:t>
            </w:r>
            <w:r w:rsidRPr="00192F3A">
              <w:rPr>
                <w:rFonts w:ascii="Arial Narrow" w:hAnsi="Arial Narrow" w:cs="Arial"/>
                <w:color w:val="000000"/>
                <w:sz w:val="16"/>
                <w:szCs w:val="16"/>
                <w:lang w:eastAsia="es-ES"/>
              </w:rPr>
              <w:t>directa superior al 50 por ciento existentes antes de los procesos de reordenación</w:t>
            </w:r>
          </w:p>
        </w:tc>
      </w:tr>
      <w:tr w:rsidR="003817D4" w:rsidRPr="003817D4" w:rsidTr="00687C85">
        <w:trPr>
          <w:trHeight w:val="284"/>
          <w:jc w:val="center"/>
        </w:trPr>
        <w:tc>
          <w:tcPr>
            <w:tcW w:w="4517" w:type="dxa"/>
            <w:gridSpan w:val="2"/>
            <w:tcBorders>
              <w:bottom w:val="single" w:sz="4" w:space="0" w:color="auto"/>
            </w:tcBorders>
            <w:shd w:val="clear" w:color="000000" w:fill="8DB4E2"/>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Actividades económicas antes de la reordenaci</w:t>
            </w:r>
            <w:r>
              <w:rPr>
                <w:rFonts w:ascii="Arial Narrow" w:hAnsi="Arial Narrow"/>
                <w:color w:val="000000"/>
                <w:sz w:val="16"/>
                <w:szCs w:val="16"/>
                <w:lang w:val="es-ES" w:eastAsia="es-ES"/>
              </w:rPr>
              <w:t>ó</w:t>
            </w:r>
            <w:r w:rsidRPr="003817D4">
              <w:rPr>
                <w:rFonts w:ascii="Arial Narrow" w:hAnsi="Arial Narrow"/>
                <w:color w:val="000000"/>
                <w:sz w:val="16"/>
                <w:szCs w:val="16"/>
                <w:lang w:val="es-ES" w:eastAsia="es-ES"/>
              </w:rPr>
              <w:t>n</w:t>
            </w:r>
          </w:p>
        </w:tc>
        <w:tc>
          <w:tcPr>
            <w:tcW w:w="4268" w:type="dxa"/>
            <w:tcBorders>
              <w:bottom w:val="single" w:sz="4" w:space="0" w:color="auto"/>
            </w:tcBorders>
            <w:shd w:val="clear" w:color="000000" w:fill="8DB4E2"/>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Actividades económicas despu</w:t>
            </w:r>
            <w:r>
              <w:rPr>
                <w:rFonts w:ascii="Arial Narrow" w:hAnsi="Arial Narrow"/>
                <w:color w:val="000000"/>
                <w:sz w:val="16"/>
                <w:szCs w:val="16"/>
                <w:lang w:val="es-ES" w:eastAsia="es-ES"/>
              </w:rPr>
              <w:t>é</w:t>
            </w:r>
            <w:r w:rsidRPr="003817D4">
              <w:rPr>
                <w:rFonts w:ascii="Arial Narrow" w:hAnsi="Arial Narrow"/>
                <w:color w:val="000000"/>
                <w:sz w:val="16"/>
                <w:szCs w:val="16"/>
                <w:lang w:val="es-ES" w:eastAsia="es-ES"/>
              </w:rPr>
              <w:t>s de la reordenaci</w:t>
            </w:r>
            <w:r>
              <w:rPr>
                <w:rFonts w:ascii="Arial Narrow" w:hAnsi="Arial Narrow"/>
                <w:color w:val="000000"/>
                <w:sz w:val="16"/>
                <w:szCs w:val="16"/>
                <w:lang w:val="es-ES" w:eastAsia="es-ES"/>
              </w:rPr>
              <w:t>ó</w:t>
            </w:r>
            <w:r w:rsidRPr="003817D4">
              <w:rPr>
                <w:rFonts w:ascii="Arial Narrow" w:hAnsi="Arial Narrow"/>
                <w:color w:val="000000"/>
                <w:sz w:val="16"/>
                <w:szCs w:val="16"/>
                <w:lang w:val="es-ES" w:eastAsia="es-ES"/>
              </w:rPr>
              <w:t>n</w:t>
            </w:r>
          </w:p>
        </w:tc>
      </w:tr>
      <w:tr w:rsidR="003817D4" w:rsidRPr="003817D4" w:rsidTr="00687C85">
        <w:trPr>
          <w:trHeight w:val="238"/>
          <w:jc w:val="center"/>
        </w:trPr>
        <w:tc>
          <w:tcPr>
            <w:tcW w:w="4517" w:type="dxa"/>
            <w:gridSpan w:val="2"/>
            <w:tcBorders>
              <w:bottom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Promoción y fomento de empresas</w:t>
            </w:r>
          </w:p>
        </w:tc>
        <w:tc>
          <w:tcPr>
            <w:tcW w:w="4268" w:type="dxa"/>
            <w:tcBorders>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Promoción y fomento de empresas</w:t>
            </w:r>
          </w:p>
        </w:tc>
      </w:tr>
      <w:tr w:rsidR="003817D4" w:rsidRPr="003817D4" w:rsidTr="00687C85">
        <w:trPr>
          <w:trHeight w:val="238"/>
          <w:jc w:val="center"/>
        </w:trPr>
        <w:tc>
          <w:tcPr>
            <w:tcW w:w="4517" w:type="dxa"/>
            <w:gridSpan w:val="2"/>
            <w:tcBorders>
              <w:top w:val="single" w:sz="2" w:space="0" w:color="auto"/>
              <w:bottom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Producción, elaboración y comercialización de la sal y sus derivados</w:t>
            </w:r>
          </w:p>
        </w:tc>
        <w:tc>
          <w:tcPr>
            <w:tcW w:w="4268"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Producción, elaboración y comercialización de la sal y sus derivados</w:t>
            </w:r>
          </w:p>
        </w:tc>
      </w:tr>
      <w:tr w:rsidR="003817D4" w:rsidRPr="003817D4" w:rsidTr="00687C85">
        <w:trPr>
          <w:trHeight w:val="238"/>
          <w:jc w:val="center"/>
        </w:trPr>
        <w:tc>
          <w:tcPr>
            <w:tcW w:w="4517" w:type="dxa"/>
            <w:gridSpan w:val="2"/>
            <w:tcBorders>
              <w:top w:val="single" w:sz="2" w:space="0" w:color="auto"/>
              <w:bottom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Abonos minerales y productos derivados de sales potásicas y sódicas</w:t>
            </w:r>
          </w:p>
        </w:tc>
        <w:tc>
          <w:tcPr>
            <w:tcW w:w="4268"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Abonos minerales y productos derivados de sales potásicas y sódicas</w:t>
            </w:r>
          </w:p>
        </w:tc>
      </w:tr>
      <w:tr w:rsidR="003817D4" w:rsidRPr="003817D4" w:rsidTr="00687C85">
        <w:trPr>
          <w:trHeight w:val="238"/>
          <w:jc w:val="center"/>
        </w:trPr>
        <w:tc>
          <w:tcPr>
            <w:tcW w:w="4517" w:type="dxa"/>
            <w:gridSpan w:val="2"/>
            <w:tcBorders>
              <w:top w:val="single" w:sz="2" w:space="0" w:color="auto"/>
              <w:bottom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Promoción inmobiliaria con criterios de eficiencia energética</w:t>
            </w:r>
          </w:p>
        </w:tc>
        <w:tc>
          <w:tcPr>
            <w:tcW w:w="4268"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eastAsia="es-ES"/>
              </w:rPr>
              <w:t>Promoción inmobiliaria con criterios de eficiencia energética</w:t>
            </w:r>
          </w:p>
        </w:tc>
      </w:tr>
      <w:tr w:rsidR="003817D4" w:rsidRPr="003817D4" w:rsidTr="00687C85">
        <w:trPr>
          <w:trHeight w:val="238"/>
          <w:jc w:val="center"/>
        </w:trPr>
        <w:tc>
          <w:tcPr>
            <w:tcW w:w="4517" w:type="dxa"/>
            <w:gridSpan w:val="2"/>
            <w:tcBorders>
              <w:top w:val="single" w:sz="2" w:space="0" w:color="auto"/>
              <w:bottom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Carrocería de vehículos y trenes</w:t>
            </w:r>
          </w:p>
        </w:tc>
        <w:tc>
          <w:tcPr>
            <w:tcW w:w="4268" w:type="dxa"/>
            <w:tcBorders>
              <w:top w:val="single" w:sz="2" w:space="0" w:color="auto"/>
              <w:bottom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Desaparece debido a la venta del grupo empresarial</w:t>
            </w:r>
          </w:p>
        </w:tc>
      </w:tr>
      <w:tr w:rsidR="003817D4" w:rsidRPr="003817D4" w:rsidTr="00687C85">
        <w:trPr>
          <w:trHeight w:val="238"/>
          <w:jc w:val="center"/>
        </w:trPr>
        <w:tc>
          <w:tcPr>
            <w:tcW w:w="4517" w:type="dxa"/>
            <w:gridSpan w:val="2"/>
            <w:tcBorders>
              <w:top w:val="single" w:sz="2" w:space="0" w:color="auto"/>
            </w:tcBorders>
            <w:shd w:val="clear" w:color="auto" w:fill="auto"/>
            <w:vAlign w:val="center"/>
            <w:hideMark/>
          </w:tcPr>
          <w:p w:rsidR="003817D4" w:rsidRPr="003817D4" w:rsidRDefault="003817D4" w:rsidP="003817D4">
            <w:pPr>
              <w:spacing w:after="0"/>
              <w:ind w:firstLine="0"/>
              <w:rPr>
                <w:rFonts w:ascii="Arial Narrow" w:hAnsi="Arial Narrow"/>
                <w:color w:val="000000"/>
                <w:sz w:val="16"/>
                <w:szCs w:val="16"/>
                <w:lang w:val="es-ES" w:eastAsia="es-ES"/>
              </w:rPr>
            </w:pPr>
            <w:r w:rsidRPr="003817D4">
              <w:rPr>
                <w:rFonts w:ascii="Arial Narrow" w:hAnsi="Arial Narrow"/>
                <w:color w:val="000000"/>
                <w:sz w:val="16"/>
                <w:szCs w:val="16"/>
                <w:lang w:eastAsia="es-ES"/>
              </w:rPr>
              <w:t>Fabricación y comercialización de calzado</w:t>
            </w:r>
          </w:p>
        </w:tc>
        <w:tc>
          <w:tcPr>
            <w:tcW w:w="4268" w:type="dxa"/>
            <w:tcBorders>
              <w:top w:val="single" w:sz="2" w:space="0" w:color="auto"/>
            </w:tcBorders>
            <w:shd w:val="clear" w:color="auto" w:fill="auto"/>
            <w:noWrap/>
            <w:vAlign w:val="center"/>
            <w:hideMark/>
          </w:tcPr>
          <w:p w:rsidR="003817D4" w:rsidRPr="003817D4" w:rsidRDefault="003817D4" w:rsidP="003817D4">
            <w:pPr>
              <w:spacing w:after="0"/>
              <w:ind w:firstLine="0"/>
              <w:jc w:val="left"/>
              <w:rPr>
                <w:rFonts w:ascii="Arial Narrow" w:hAnsi="Arial Narrow"/>
                <w:color w:val="000000"/>
                <w:sz w:val="16"/>
                <w:szCs w:val="16"/>
                <w:lang w:val="es-ES" w:eastAsia="es-ES"/>
              </w:rPr>
            </w:pPr>
            <w:r w:rsidRPr="003817D4">
              <w:rPr>
                <w:rFonts w:ascii="Arial Narrow" w:hAnsi="Arial Narrow"/>
                <w:color w:val="000000"/>
                <w:sz w:val="16"/>
                <w:szCs w:val="16"/>
                <w:lang w:val="es-ES" w:eastAsia="es-ES"/>
              </w:rPr>
              <w:t>Desaparece al haberse extinguido la sociedad</w:t>
            </w:r>
          </w:p>
        </w:tc>
      </w:tr>
    </w:tbl>
    <w:p w:rsidR="003B1B27" w:rsidRDefault="003B26B9" w:rsidP="00687C85">
      <w:pPr>
        <w:pStyle w:val="texto"/>
        <w:spacing w:before="240" w:after="200"/>
        <w:rPr>
          <w:lang w:val="es-ES"/>
        </w:rPr>
      </w:pPr>
      <w:r>
        <w:rPr>
          <w:lang w:val="es-ES"/>
        </w:rPr>
        <w:t>L</w:t>
      </w:r>
      <w:r w:rsidR="003B1B27" w:rsidRPr="00297CC8">
        <w:rPr>
          <w:lang w:val="es-ES"/>
        </w:rPr>
        <w:t>a</w:t>
      </w:r>
      <w:r w:rsidR="003B1B27">
        <w:rPr>
          <w:lang w:val="es-ES"/>
        </w:rPr>
        <w:t>s actividades llevadas a cabo por las sociedades existentes antes de la o</w:t>
      </w:r>
      <w:r w:rsidR="003B1B27">
        <w:rPr>
          <w:lang w:val="es-ES"/>
        </w:rPr>
        <w:t>r</w:t>
      </w:r>
      <w:r w:rsidR="003B1B27">
        <w:rPr>
          <w:lang w:val="es-ES"/>
        </w:rPr>
        <w:t xml:space="preserve">denación </w:t>
      </w:r>
      <w:r w:rsidR="003817D4">
        <w:rPr>
          <w:lang w:val="es-ES"/>
        </w:rPr>
        <w:t xml:space="preserve">continúan </w:t>
      </w:r>
      <w:r w:rsidR="00192F3A">
        <w:rPr>
          <w:lang w:val="es-ES"/>
        </w:rPr>
        <w:t xml:space="preserve">o se han integrado en </w:t>
      </w:r>
      <w:r w:rsidR="003B1B27">
        <w:rPr>
          <w:lang w:val="es-ES"/>
        </w:rPr>
        <w:t>las sociedades absorbentes, a exce</w:t>
      </w:r>
      <w:r w:rsidR="003B1B27">
        <w:rPr>
          <w:lang w:val="es-ES"/>
        </w:rPr>
        <w:t>p</w:t>
      </w:r>
      <w:r w:rsidR="003B1B27">
        <w:rPr>
          <w:lang w:val="es-ES"/>
        </w:rPr>
        <w:t>ción de dos actividades que no han tenido continui</w:t>
      </w:r>
      <w:r w:rsidR="00192F3A">
        <w:rPr>
          <w:lang w:val="es-ES"/>
        </w:rPr>
        <w:t xml:space="preserve">dad al haber procedido a </w:t>
      </w:r>
      <w:r w:rsidR="00A34146">
        <w:rPr>
          <w:lang w:val="es-ES"/>
        </w:rPr>
        <w:t xml:space="preserve">la </w:t>
      </w:r>
      <w:r w:rsidR="00192F3A">
        <w:rPr>
          <w:lang w:val="es-ES"/>
        </w:rPr>
        <w:t>venta</w:t>
      </w:r>
      <w:r w:rsidR="00A34146">
        <w:rPr>
          <w:lang w:val="es-ES"/>
        </w:rPr>
        <w:t xml:space="preserve"> </w:t>
      </w:r>
      <w:r w:rsidR="00DD2EC7">
        <w:rPr>
          <w:lang w:val="es-ES"/>
        </w:rPr>
        <w:t xml:space="preserve">y extinción </w:t>
      </w:r>
      <w:r w:rsidR="00A774D1">
        <w:rPr>
          <w:lang w:val="es-ES"/>
        </w:rPr>
        <w:t xml:space="preserve">de las sociedades </w:t>
      </w:r>
      <w:r w:rsidR="00DD2EC7">
        <w:rPr>
          <w:lang w:val="es-ES"/>
        </w:rPr>
        <w:t xml:space="preserve">según </w:t>
      </w:r>
      <w:r w:rsidR="00206D5E">
        <w:rPr>
          <w:lang w:val="es-ES"/>
        </w:rPr>
        <w:t>se refleja en el cuadro anterior.</w:t>
      </w:r>
    </w:p>
    <w:p w:rsidR="00DD015E" w:rsidRPr="00F47695" w:rsidRDefault="00DD015E" w:rsidP="005A6C2C">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260"/>
        <w:ind w:left="0" w:firstLine="289"/>
        <w:rPr>
          <w:rFonts w:cs="Arial"/>
        </w:rPr>
      </w:pPr>
      <w:bookmarkStart w:id="45" w:name="_Toc521909270"/>
      <w:r w:rsidRPr="00F47695">
        <w:rPr>
          <w:rFonts w:cs="Arial"/>
        </w:rPr>
        <w:t xml:space="preserve">Sector </w:t>
      </w:r>
      <w:r w:rsidR="00B20E58" w:rsidRPr="00F47695">
        <w:rPr>
          <w:rFonts w:cs="Arial"/>
        </w:rPr>
        <w:t>público fundacional</w:t>
      </w:r>
    </w:p>
    <w:tbl>
      <w:tblPr>
        <w:tblW w:w="9287"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81"/>
        <w:gridCol w:w="2391"/>
        <w:gridCol w:w="2349"/>
        <w:gridCol w:w="1966"/>
      </w:tblGrid>
      <w:tr w:rsidR="00DD015E" w:rsidRPr="007314B6" w:rsidTr="00BC3955">
        <w:trPr>
          <w:trHeight w:val="397"/>
          <w:jc w:val="center"/>
        </w:trPr>
        <w:tc>
          <w:tcPr>
            <w:tcW w:w="2581" w:type="dxa"/>
            <w:tcBorders>
              <w:bottom w:val="single" w:sz="4" w:space="0" w:color="auto"/>
            </w:tcBorders>
            <w:shd w:val="clear" w:color="000000" w:fill="8DB4E2"/>
            <w:noWrap/>
            <w:vAlign w:val="center"/>
            <w:hideMark/>
          </w:tcPr>
          <w:p w:rsidR="00DD015E" w:rsidRPr="007314B6" w:rsidRDefault="00192F3A" w:rsidP="00DD015E">
            <w:pPr>
              <w:spacing w:after="0"/>
              <w:ind w:firstLine="0"/>
              <w:jc w:val="left"/>
              <w:rPr>
                <w:rFonts w:ascii="Arial" w:hAnsi="Arial" w:cs="Arial"/>
                <w:color w:val="000000"/>
                <w:sz w:val="15"/>
                <w:szCs w:val="15"/>
                <w:lang w:val="es-ES" w:eastAsia="es-ES"/>
              </w:rPr>
            </w:pPr>
            <w:r>
              <w:rPr>
                <w:rFonts w:ascii="Arial" w:hAnsi="Arial" w:cs="Arial"/>
                <w:color w:val="000000"/>
                <w:sz w:val="15"/>
                <w:szCs w:val="15"/>
                <w:lang w:val="es-ES" w:eastAsia="es-ES"/>
              </w:rPr>
              <w:t>Entidad</w:t>
            </w:r>
          </w:p>
        </w:tc>
        <w:tc>
          <w:tcPr>
            <w:tcW w:w="2391" w:type="dxa"/>
            <w:tcBorders>
              <w:bottom w:val="single" w:sz="4" w:space="0" w:color="auto"/>
            </w:tcBorders>
            <w:shd w:val="clear" w:color="000000" w:fill="8DB4E2"/>
            <w:noWrap/>
            <w:vAlign w:val="center"/>
            <w:hideMark/>
          </w:tcPr>
          <w:p w:rsidR="00DD015E" w:rsidRDefault="00DD015E" w:rsidP="00DD015E">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 xml:space="preserve">Funciones anteriores a la </w:t>
            </w:r>
          </w:p>
          <w:p w:rsidR="00DD015E" w:rsidRPr="007314B6" w:rsidRDefault="00DD015E" w:rsidP="00DD015E">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ordena</w:t>
            </w:r>
            <w:r>
              <w:rPr>
                <w:rFonts w:ascii="Arial" w:hAnsi="Arial" w:cs="Arial"/>
                <w:color w:val="000000"/>
                <w:sz w:val="15"/>
                <w:szCs w:val="15"/>
                <w:lang w:val="es-ES" w:eastAsia="es-ES"/>
              </w:rPr>
              <w:t>ció</w:t>
            </w:r>
            <w:r w:rsidRPr="007314B6">
              <w:rPr>
                <w:rFonts w:ascii="Arial" w:hAnsi="Arial" w:cs="Arial"/>
                <w:color w:val="000000"/>
                <w:sz w:val="15"/>
                <w:szCs w:val="15"/>
                <w:lang w:val="es-ES" w:eastAsia="es-ES"/>
              </w:rPr>
              <w:t>n</w:t>
            </w:r>
          </w:p>
        </w:tc>
        <w:tc>
          <w:tcPr>
            <w:tcW w:w="2349" w:type="dxa"/>
            <w:tcBorders>
              <w:bottom w:val="single" w:sz="4" w:space="0" w:color="auto"/>
            </w:tcBorders>
            <w:shd w:val="clear" w:color="000000" w:fill="8DB4E2"/>
            <w:noWrap/>
            <w:vAlign w:val="center"/>
            <w:hideMark/>
          </w:tcPr>
          <w:p w:rsidR="00DD015E" w:rsidRDefault="00DD015E" w:rsidP="00DD015E">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 xml:space="preserve">Funciones posteriores a la </w:t>
            </w:r>
          </w:p>
          <w:p w:rsidR="00DD015E" w:rsidRPr="007314B6" w:rsidRDefault="00DD015E" w:rsidP="00DD015E">
            <w:pPr>
              <w:spacing w:after="0"/>
              <w:ind w:firstLine="0"/>
              <w:jc w:val="left"/>
              <w:rPr>
                <w:rFonts w:ascii="Arial" w:hAnsi="Arial" w:cs="Arial"/>
                <w:color w:val="000000"/>
                <w:sz w:val="15"/>
                <w:szCs w:val="15"/>
                <w:lang w:val="es-ES" w:eastAsia="es-ES"/>
              </w:rPr>
            </w:pPr>
            <w:r w:rsidRPr="007314B6">
              <w:rPr>
                <w:rFonts w:ascii="Arial" w:hAnsi="Arial" w:cs="Arial"/>
                <w:color w:val="000000"/>
                <w:sz w:val="15"/>
                <w:szCs w:val="15"/>
                <w:lang w:val="es-ES" w:eastAsia="es-ES"/>
              </w:rPr>
              <w:t>ordenaci</w:t>
            </w:r>
            <w:r>
              <w:rPr>
                <w:rFonts w:ascii="Arial" w:hAnsi="Arial" w:cs="Arial"/>
                <w:color w:val="000000"/>
                <w:sz w:val="15"/>
                <w:szCs w:val="15"/>
                <w:lang w:val="es-ES" w:eastAsia="es-ES"/>
              </w:rPr>
              <w:t>ó</w:t>
            </w:r>
            <w:r w:rsidRPr="007314B6">
              <w:rPr>
                <w:rFonts w:ascii="Arial" w:hAnsi="Arial" w:cs="Arial"/>
                <w:color w:val="000000"/>
                <w:sz w:val="15"/>
                <w:szCs w:val="15"/>
                <w:lang w:val="es-ES" w:eastAsia="es-ES"/>
              </w:rPr>
              <w:t>n</w:t>
            </w:r>
          </w:p>
        </w:tc>
        <w:tc>
          <w:tcPr>
            <w:tcW w:w="1966" w:type="dxa"/>
            <w:tcBorders>
              <w:bottom w:val="single" w:sz="4" w:space="0" w:color="auto"/>
            </w:tcBorders>
            <w:shd w:val="clear" w:color="000000" w:fill="8DB4E2"/>
            <w:noWrap/>
            <w:vAlign w:val="center"/>
            <w:hideMark/>
          </w:tcPr>
          <w:p w:rsidR="00DD015E" w:rsidRPr="007314B6" w:rsidRDefault="00192F3A" w:rsidP="00192F3A">
            <w:pPr>
              <w:spacing w:after="0"/>
              <w:ind w:firstLine="0"/>
              <w:jc w:val="left"/>
              <w:rPr>
                <w:rFonts w:ascii="Arial" w:hAnsi="Arial" w:cs="Arial"/>
                <w:color w:val="000000"/>
                <w:sz w:val="15"/>
                <w:szCs w:val="15"/>
                <w:lang w:val="es-ES" w:eastAsia="es-ES"/>
              </w:rPr>
            </w:pPr>
            <w:r>
              <w:rPr>
                <w:rFonts w:ascii="Arial" w:hAnsi="Arial" w:cs="Arial"/>
                <w:color w:val="000000"/>
                <w:sz w:val="15"/>
                <w:szCs w:val="15"/>
                <w:lang w:val="es-ES" w:eastAsia="es-ES"/>
              </w:rPr>
              <w:t>Entidad</w:t>
            </w:r>
          </w:p>
        </w:tc>
      </w:tr>
      <w:tr w:rsidR="00DD015E" w:rsidRPr="007314B6" w:rsidTr="00277213">
        <w:trPr>
          <w:trHeight w:val="690"/>
          <w:jc w:val="center"/>
        </w:trPr>
        <w:tc>
          <w:tcPr>
            <w:tcW w:w="2581" w:type="dxa"/>
            <w:tcBorders>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Formación en Energías Renovables</w:t>
            </w:r>
          </w:p>
        </w:tc>
        <w:tc>
          <w:tcPr>
            <w:tcW w:w="2391" w:type="dxa"/>
            <w:tcBorders>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Formación profesional del personal para el desarrollo del sector de las energías renovables</w:t>
            </w:r>
          </w:p>
        </w:tc>
        <w:tc>
          <w:tcPr>
            <w:tcW w:w="2349" w:type="dxa"/>
            <w:tcBorders>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Formación profesional del personal para el desarrollo del sector de las energías renovables</w:t>
            </w:r>
          </w:p>
        </w:tc>
        <w:tc>
          <w:tcPr>
            <w:tcW w:w="1966" w:type="dxa"/>
            <w:tcBorders>
              <w:bottom w:val="single" w:sz="2" w:space="0" w:color="auto"/>
            </w:tcBorders>
            <w:shd w:val="clear" w:color="auto" w:fill="auto"/>
            <w:noWrap/>
            <w:vAlign w:val="center"/>
            <w:hideMark/>
          </w:tcPr>
          <w:p w:rsidR="00DD015E" w:rsidRPr="007314B6" w:rsidRDefault="00DD015E" w:rsidP="00192F3A">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Centro privado</w:t>
            </w:r>
          </w:p>
        </w:tc>
      </w:tr>
      <w:tr w:rsidR="00DD015E" w:rsidRPr="007314B6" w:rsidTr="00277213">
        <w:trPr>
          <w:trHeight w:val="465"/>
          <w:jc w:val="center"/>
        </w:trPr>
        <w:tc>
          <w:tcPr>
            <w:tcW w:w="2581" w:type="dxa"/>
            <w:tcBorders>
              <w:top w:val="single" w:sz="2" w:space="0" w:color="auto"/>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Instituto  Navarro de Artes Audiovisuales y Cinematografía</w:t>
            </w:r>
          </w:p>
        </w:tc>
        <w:tc>
          <w:tcPr>
            <w:tcW w:w="2391" w:type="dxa"/>
            <w:tcBorders>
              <w:top w:val="single" w:sz="2" w:space="0" w:color="auto"/>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Fomento del sector audiovisual y del cine en Navarra</w:t>
            </w:r>
          </w:p>
        </w:tc>
        <w:tc>
          <w:tcPr>
            <w:tcW w:w="2349" w:type="dxa"/>
            <w:tcBorders>
              <w:top w:val="single" w:sz="2" w:space="0" w:color="auto"/>
              <w:bottom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Fomento del sector audiovisual y del cine en Navarra</w:t>
            </w:r>
          </w:p>
        </w:tc>
        <w:tc>
          <w:tcPr>
            <w:tcW w:w="1966" w:type="dxa"/>
            <w:tcBorders>
              <w:top w:val="single" w:sz="2" w:space="0" w:color="auto"/>
              <w:bottom w:val="single" w:sz="2" w:space="0" w:color="auto"/>
            </w:tcBorders>
            <w:shd w:val="clear" w:color="auto" w:fill="auto"/>
            <w:noWrap/>
            <w:vAlign w:val="center"/>
            <w:hideMark/>
          </w:tcPr>
          <w:p w:rsidR="00DD015E" w:rsidRPr="007314B6" w:rsidRDefault="00DD015E" w:rsidP="00192F3A">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Dirección General de Cultura-Institución Príncipe de Viana</w:t>
            </w:r>
          </w:p>
        </w:tc>
      </w:tr>
      <w:tr w:rsidR="00DD015E" w:rsidRPr="007314B6" w:rsidTr="00277213">
        <w:trPr>
          <w:trHeight w:val="690"/>
          <w:jc w:val="center"/>
        </w:trPr>
        <w:tc>
          <w:tcPr>
            <w:tcW w:w="2581" w:type="dxa"/>
            <w:tcBorders>
              <w:top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Navarra para la Excelencia</w:t>
            </w:r>
          </w:p>
        </w:tc>
        <w:tc>
          <w:tcPr>
            <w:tcW w:w="2391" w:type="dxa"/>
            <w:tcBorders>
              <w:top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pacing w:val="-3"/>
                <w:sz w:val="16"/>
                <w:szCs w:val="16"/>
                <w:lang w:eastAsia="es-ES"/>
              </w:rPr>
              <w:t>Promoción de los principios de calidad en empresas navarras tanto públicas como privadas</w:t>
            </w:r>
          </w:p>
        </w:tc>
        <w:tc>
          <w:tcPr>
            <w:tcW w:w="2349" w:type="dxa"/>
            <w:tcBorders>
              <w:top w:val="single" w:sz="2" w:space="0" w:color="auto"/>
            </w:tcBorders>
            <w:shd w:val="clear" w:color="auto" w:fill="auto"/>
            <w:vAlign w:val="center"/>
            <w:hideMark/>
          </w:tcPr>
          <w:p w:rsidR="00DD015E" w:rsidRPr="007314B6" w:rsidRDefault="00DD015E" w:rsidP="00DD015E">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Promoción de los principios de cal</w:t>
            </w:r>
            <w:r w:rsidRPr="007314B6">
              <w:rPr>
                <w:rFonts w:ascii="Arial Narrow" w:hAnsi="Arial Narrow"/>
                <w:color w:val="000000"/>
                <w:sz w:val="16"/>
                <w:szCs w:val="16"/>
                <w:lang w:val="es-ES" w:eastAsia="es-ES"/>
              </w:rPr>
              <w:t>i</w:t>
            </w:r>
            <w:r w:rsidRPr="007314B6">
              <w:rPr>
                <w:rFonts w:ascii="Arial Narrow" w:hAnsi="Arial Narrow"/>
                <w:color w:val="000000"/>
                <w:sz w:val="16"/>
                <w:szCs w:val="16"/>
                <w:lang w:val="es-ES" w:eastAsia="es-ES"/>
              </w:rPr>
              <w:t>dad en empresas navarras tanto públicas como privadas</w:t>
            </w:r>
          </w:p>
        </w:tc>
        <w:tc>
          <w:tcPr>
            <w:tcW w:w="1966" w:type="dxa"/>
            <w:tcBorders>
              <w:top w:val="single" w:sz="2" w:space="0" w:color="auto"/>
            </w:tcBorders>
            <w:shd w:val="clear" w:color="auto" w:fill="auto"/>
            <w:noWrap/>
            <w:vAlign w:val="center"/>
            <w:hideMark/>
          </w:tcPr>
          <w:p w:rsidR="00DD015E" w:rsidRPr="007314B6" w:rsidRDefault="00DD015E" w:rsidP="00192F3A">
            <w:pPr>
              <w:spacing w:after="0"/>
              <w:ind w:firstLine="0"/>
              <w:jc w:val="left"/>
              <w:rPr>
                <w:rFonts w:ascii="Arial Narrow" w:hAnsi="Arial Narrow"/>
                <w:color w:val="000000"/>
                <w:sz w:val="16"/>
                <w:szCs w:val="16"/>
                <w:lang w:val="es-ES" w:eastAsia="es-ES"/>
              </w:rPr>
            </w:pPr>
            <w:r w:rsidRPr="007314B6">
              <w:rPr>
                <w:rFonts w:ascii="Arial Narrow" w:hAnsi="Arial Narrow"/>
                <w:color w:val="000000"/>
                <w:sz w:val="16"/>
                <w:szCs w:val="16"/>
                <w:lang w:val="es-ES" w:eastAsia="es-ES"/>
              </w:rPr>
              <w:t>Fundación privada</w:t>
            </w:r>
          </w:p>
        </w:tc>
      </w:tr>
    </w:tbl>
    <w:p w:rsidR="00DD015E" w:rsidRPr="00297CC8" w:rsidRDefault="00AE2D97" w:rsidP="00157C2D">
      <w:pPr>
        <w:pStyle w:val="texto"/>
        <w:spacing w:before="260"/>
        <w:rPr>
          <w:lang w:val="es-ES"/>
        </w:rPr>
      </w:pPr>
      <w:r>
        <w:rPr>
          <w:lang w:val="es-ES"/>
        </w:rPr>
        <w:t>L</w:t>
      </w:r>
      <w:r w:rsidR="00DD015E" w:rsidRPr="00297CC8">
        <w:rPr>
          <w:lang w:val="es-ES"/>
        </w:rPr>
        <w:t>a</w:t>
      </w:r>
      <w:r w:rsidR="00DD015E">
        <w:rPr>
          <w:lang w:val="es-ES"/>
        </w:rPr>
        <w:t xml:space="preserve">s actividades llevadas a cabo por una fundación han sido asumidas por la propia Administración de la Comunidad Foral y en </w:t>
      </w:r>
      <w:r w:rsidR="00206D5E">
        <w:rPr>
          <w:lang w:val="es-ES"/>
        </w:rPr>
        <w:t xml:space="preserve">las dos restantes </w:t>
      </w:r>
      <w:r w:rsidR="00DD015E">
        <w:rPr>
          <w:lang w:val="es-ES"/>
        </w:rPr>
        <w:t>por el se</w:t>
      </w:r>
      <w:r w:rsidR="00DD015E">
        <w:rPr>
          <w:lang w:val="es-ES"/>
        </w:rPr>
        <w:t>c</w:t>
      </w:r>
      <w:r w:rsidR="00DD015E">
        <w:rPr>
          <w:lang w:val="es-ES"/>
        </w:rPr>
        <w:t xml:space="preserve">tor privado. </w:t>
      </w:r>
    </w:p>
    <w:p w:rsidR="0017115B" w:rsidRDefault="0017115B" w:rsidP="00FA50EB">
      <w:pPr>
        <w:pStyle w:val="atitulo2"/>
        <w:spacing w:before="400"/>
      </w:pPr>
      <w:bookmarkStart w:id="46" w:name="_Toc527376678"/>
      <w:r>
        <w:t>V.</w:t>
      </w:r>
      <w:r w:rsidR="00692BE4">
        <w:t>4</w:t>
      </w:r>
      <w:r>
        <w:t>. Cumplimiento de los planes de reordenación</w:t>
      </w:r>
      <w:bookmarkEnd w:id="45"/>
      <w:bookmarkEnd w:id="46"/>
    </w:p>
    <w:p w:rsidR="0017115B" w:rsidRPr="00AD7F66" w:rsidRDefault="0017115B" w:rsidP="00FA50EB">
      <w:pPr>
        <w:pStyle w:val="atitulo3"/>
        <w:spacing w:before="240"/>
        <w:rPr>
          <w:rFonts w:cs="Arial"/>
        </w:rPr>
      </w:pPr>
      <w:bookmarkStart w:id="47" w:name="_Toc521909271"/>
      <w:r w:rsidRPr="00AD7F66">
        <w:rPr>
          <w:rFonts w:cs="Arial"/>
        </w:rPr>
        <w:t>V.</w:t>
      </w:r>
      <w:r w:rsidR="00692BE4">
        <w:rPr>
          <w:rFonts w:cs="Arial"/>
        </w:rPr>
        <w:t>4</w:t>
      </w:r>
      <w:r w:rsidRPr="00AD7F66">
        <w:rPr>
          <w:rFonts w:cs="Arial"/>
        </w:rPr>
        <w:t>.1</w:t>
      </w:r>
      <w:r w:rsidR="00980F55">
        <w:rPr>
          <w:rFonts w:cs="Arial"/>
        </w:rPr>
        <w:t>.</w:t>
      </w:r>
      <w:r w:rsidRPr="00AD7F66">
        <w:rPr>
          <w:rFonts w:cs="Arial"/>
        </w:rPr>
        <w:t xml:space="preserve"> Sector público administrativo y fundacional</w:t>
      </w:r>
      <w:bookmarkEnd w:id="47"/>
    </w:p>
    <w:p w:rsidR="00A56C90" w:rsidRDefault="0017115B" w:rsidP="00D36FAC">
      <w:pPr>
        <w:pStyle w:val="texto"/>
        <w:spacing w:after="180"/>
        <w:rPr>
          <w:lang w:val="es-ES"/>
        </w:rPr>
      </w:pPr>
      <w:r w:rsidRPr="00FC093C">
        <w:rPr>
          <w:lang w:val="es-ES"/>
        </w:rPr>
        <w:t>En el sector público administrativo no consta la existencia de un plan de reordenación, contrariamente a lo</w:t>
      </w:r>
      <w:r w:rsidR="00005918">
        <w:rPr>
          <w:lang w:val="es-ES"/>
        </w:rPr>
        <w:t>s compromisos adoptados y derivados de</w:t>
      </w:r>
      <w:r w:rsidRPr="00FC093C">
        <w:rPr>
          <w:lang w:val="es-ES"/>
        </w:rPr>
        <w:t xml:space="preserve"> los </w:t>
      </w:r>
      <w:r w:rsidR="00E656CF">
        <w:rPr>
          <w:lang w:val="es-ES"/>
        </w:rPr>
        <w:t xml:space="preserve">Acuerdos Marco 1/2010 y 5/2012 que permita verificar </w:t>
      </w:r>
      <w:r w:rsidR="00D74699">
        <w:rPr>
          <w:lang w:val="es-ES"/>
        </w:rPr>
        <w:t xml:space="preserve">la </w:t>
      </w:r>
      <w:r w:rsidR="00E656CF">
        <w:rPr>
          <w:lang w:val="es-ES"/>
        </w:rPr>
        <w:t>consecución de o</w:t>
      </w:r>
      <w:r w:rsidR="00E656CF">
        <w:rPr>
          <w:lang w:val="es-ES"/>
        </w:rPr>
        <w:t>b</w:t>
      </w:r>
      <w:r w:rsidR="00E656CF">
        <w:rPr>
          <w:lang w:val="es-ES"/>
        </w:rPr>
        <w:t xml:space="preserve">jetivos </w:t>
      </w:r>
      <w:r w:rsidR="00D74699">
        <w:rPr>
          <w:lang w:val="es-ES"/>
        </w:rPr>
        <w:t xml:space="preserve">y los </w:t>
      </w:r>
      <w:r w:rsidR="00E656CF">
        <w:rPr>
          <w:lang w:val="es-ES"/>
        </w:rPr>
        <w:t xml:space="preserve">efectos derivados por la supresión de </w:t>
      </w:r>
      <w:r w:rsidR="00A56C90">
        <w:rPr>
          <w:lang w:val="es-ES"/>
        </w:rPr>
        <w:t>las entidades extinguidas.</w:t>
      </w:r>
    </w:p>
    <w:p w:rsidR="00A56C90" w:rsidRDefault="0017115B" w:rsidP="00FC093C">
      <w:pPr>
        <w:pStyle w:val="texto"/>
        <w:rPr>
          <w:lang w:val="es-ES"/>
        </w:rPr>
      </w:pPr>
      <w:r w:rsidRPr="00FC093C">
        <w:rPr>
          <w:lang w:val="es-ES"/>
        </w:rPr>
        <w:t xml:space="preserve">En el sector público fundacional, </w:t>
      </w:r>
      <w:r w:rsidR="00E656CF">
        <w:rPr>
          <w:lang w:val="es-ES"/>
        </w:rPr>
        <w:t xml:space="preserve">se aprobó el Plan de Acción 2013-2015 </w:t>
      </w:r>
      <w:r w:rsidR="00C64C02">
        <w:rPr>
          <w:lang w:val="es-ES"/>
        </w:rPr>
        <w:t xml:space="preserve">en </w:t>
      </w:r>
      <w:r w:rsidR="00E656CF">
        <w:rPr>
          <w:lang w:val="es-ES"/>
        </w:rPr>
        <w:t xml:space="preserve">el que </w:t>
      </w:r>
      <w:r w:rsidR="00C64C02">
        <w:rPr>
          <w:lang w:val="es-ES"/>
        </w:rPr>
        <w:t xml:space="preserve">se </w:t>
      </w:r>
      <w:r w:rsidR="00E656CF">
        <w:rPr>
          <w:lang w:val="es-ES"/>
        </w:rPr>
        <w:t>establecía como objetivo la reducción del número de fundaciones p</w:t>
      </w:r>
      <w:r w:rsidR="00E656CF">
        <w:rPr>
          <w:lang w:val="es-ES"/>
        </w:rPr>
        <w:t>ú</w:t>
      </w:r>
      <w:r w:rsidR="00E656CF">
        <w:rPr>
          <w:lang w:val="es-ES"/>
        </w:rPr>
        <w:t>blicas</w:t>
      </w:r>
      <w:r w:rsidR="00A56C90">
        <w:rPr>
          <w:lang w:val="es-ES"/>
        </w:rPr>
        <w:t xml:space="preserve"> con el </w:t>
      </w:r>
      <w:r w:rsidR="00A56C90" w:rsidRPr="00D84216">
        <w:rPr>
          <w:lang w:val="es-ES"/>
        </w:rPr>
        <w:t>objetivo de mejorar la eficacia y efi</w:t>
      </w:r>
      <w:r w:rsidR="00A56C90">
        <w:rPr>
          <w:lang w:val="es-ES"/>
        </w:rPr>
        <w:t xml:space="preserve">ciencia del sector público. No </w:t>
      </w:r>
      <w:r w:rsidR="00D74699">
        <w:rPr>
          <w:lang w:val="es-ES"/>
        </w:rPr>
        <w:t xml:space="preserve">obstante, no se establecieron </w:t>
      </w:r>
      <w:r w:rsidR="00A56C90">
        <w:rPr>
          <w:lang w:val="es-ES"/>
        </w:rPr>
        <w:t xml:space="preserve">objetivos </w:t>
      </w:r>
      <w:r w:rsidR="00D74699">
        <w:rPr>
          <w:lang w:val="es-ES"/>
        </w:rPr>
        <w:t xml:space="preserve">cuantificables </w:t>
      </w:r>
      <w:r w:rsidR="007F4683">
        <w:rPr>
          <w:lang w:val="es-ES"/>
        </w:rPr>
        <w:t xml:space="preserve">y análisis de </w:t>
      </w:r>
      <w:r w:rsidR="00D74699">
        <w:rPr>
          <w:lang w:val="es-ES"/>
        </w:rPr>
        <w:t xml:space="preserve">sus </w:t>
      </w:r>
      <w:r w:rsidR="007F4683">
        <w:rPr>
          <w:lang w:val="es-ES"/>
        </w:rPr>
        <w:t>e</w:t>
      </w:r>
      <w:r w:rsidR="00A56C90">
        <w:rPr>
          <w:lang w:val="es-ES"/>
        </w:rPr>
        <w:t xml:space="preserve">fectos económicos que permita verificar </w:t>
      </w:r>
      <w:r w:rsidR="00D74699">
        <w:rPr>
          <w:lang w:val="es-ES"/>
        </w:rPr>
        <w:t xml:space="preserve">su </w:t>
      </w:r>
      <w:r w:rsidR="00A56C90">
        <w:rPr>
          <w:lang w:val="es-ES"/>
        </w:rPr>
        <w:t xml:space="preserve">cumplimiento. </w:t>
      </w:r>
    </w:p>
    <w:p w:rsidR="0017115B" w:rsidRPr="00AD7F66" w:rsidRDefault="0017115B" w:rsidP="00E41E59">
      <w:pPr>
        <w:pStyle w:val="atitulo3"/>
        <w:spacing w:before="400" w:after="260"/>
        <w:rPr>
          <w:rFonts w:cs="Arial"/>
        </w:rPr>
      </w:pPr>
      <w:bookmarkStart w:id="48" w:name="_Toc521909272"/>
      <w:r w:rsidRPr="00AD7F66">
        <w:rPr>
          <w:rFonts w:cs="Arial"/>
        </w:rPr>
        <w:lastRenderedPageBreak/>
        <w:t>V.</w:t>
      </w:r>
      <w:r w:rsidR="00692BE4">
        <w:rPr>
          <w:rFonts w:cs="Arial"/>
        </w:rPr>
        <w:t>4</w:t>
      </w:r>
      <w:r w:rsidRPr="00AD7F66">
        <w:rPr>
          <w:rFonts w:cs="Arial"/>
        </w:rPr>
        <w:t>.2</w:t>
      </w:r>
      <w:r w:rsidR="00980F55">
        <w:rPr>
          <w:rFonts w:cs="Arial"/>
        </w:rPr>
        <w:t>.</w:t>
      </w:r>
      <w:r w:rsidRPr="00AD7F66">
        <w:rPr>
          <w:rFonts w:cs="Arial"/>
        </w:rPr>
        <w:t xml:space="preserve"> Sector público empresarial</w:t>
      </w:r>
      <w:bookmarkEnd w:id="48"/>
    </w:p>
    <w:p w:rsidR="0017115B" w:rsidRPr="00FC093C" w:rsidRDefault="00934679" w:rsidP="00934679">
      <w:pPr>
        <w:pStyle w:val="atitulo3"/>
        <w:spacing w:before="240"/>
        <w:rPr>
          <w:rFonts w:cs="Arial"/>
        </w:rPr>
      </w:pPr>
      <w:r>
        <w:rPr>
          <w:rFonts w:cs="Arial"/>
        </w:rPr>
        <w:t xml:space="preserve">V.4.2.1. Primer </w:t>
      </w:r>
      <w:r w:rsidR="0017115B" w:rsidRPr="00FC093C">
        <w:rPr>
          <w:rFonts w:cs="Arial"/>
        </w:rPr>
        <w:t xml:space="preserve">Plan de Ordenación y Reestructuración del </w:t>
      </w:r>
      <w:r w:rsidR="001B343F" w:rsidRPr="00FC093C">
        <w:rPr>
          <w:rFonts w:cs="Arial"/>
        </w:rPr>
        <w:t>sector públ</w:t>
      </w:r>
      <w:r w:rsidR="001B343F" w:rsidRPr="00FC093C">
        <w:rPr>
          <w:rFonts w:cs="Arial"/>
        </w:rPr>
        <w:t>i</w:t>
      </w:r>
      <w:r w:rsidR="001B343F" w:rsidRPr="00FC093C">
        <w:rPr>
          <w:rFonts w:cs="Arial"/>
        </w:rPr>
        <w:t xml:space="preserve">co empresarial </w:t>
      </w:r>
    </w:p>
    <w:p w:rsidR="00F05ADD" w:rsidRDefault="0017115B" w:rsidP="007C033A">
      <w:pPr>
        <w:pStyle w:val="texto"/>
        <w:spacing w:after="160"/>
        <w:rPr>
          <w:lang w:val="es-ES"/>
        </w:rPr>
      </w:pPr>
      <w:r w:rsidRPr="00FC093C">
        <w:rPr>
          <w:lang w:val="es-ES"/>
        </w:rPr>
        <w:t xml:space="preserve">La nueva organización del </w:t>
      </w:r>
      <w:r w:rsidR="00B20E58" w:rsidRPr="00FC093C">
        <w:rPr>
          <w:lang w:val="es-ES"/>
        </w:rPr>
        <w:t>sector público empresarial</w:t>
      </w:r>
      <w:r w:rsidRPr="00FC093C">
        <w:rPr>
          <w:lang w:val="es-ES"/>
        </w:rPr>
        <w:t xml:space="preserve"> de Navarra que s</w:t>
      </w:r>
      <w:r w:rsidR="00D74699">
        <w:rPr>
          <w:lang w:val="es-ES"/>
        </w:rPr>
        <w:t xml:space="preserve">e plantea en el plan, configuró cinco objetivos. </w:t>
      </w:r>
    </w:p>
    <w:p w:rsidR="0017115B" w:rsidRDefault="00D74699" w:rsidP="00FA50EB">
      <w:pPr>
        <w:pStyle w:val="texto"/>
        <w:spacing w:after="260"/>
        <w:rPr>
          <w:lang w:val="es-ES"/>
        </w:rPr>
      </w:pPr>
      <w:r>
        <w:rPr>
          <w:lang w:val="es-ES"/>
        </w:rPr>
        <w:t>De la puesta en práctica de este primer plan se han podido verificar las s</w:t>
      </w:r>
      <w:r>
        <w:rPr>
          <w:lang w:val="es-ES"/>
        </w:rPr>
        <w:t>i</w:t>
      </w:r>
      <w:r>
        <w:rPr>
          <w:lang w:val="es-ES"/>
        </w:rPr>
        <w:t>guientes actuaciones:</w:t>
      </w:r>
    </w:p>
    <w:tbl>
      <w:tblPr>
        <w:tblW w:w="8706" w:type="dxa"/>
        <w:jc w:val="center"/>
        <w:tblLayout w:type="fixed"/>
        <w:tblCellMar>
          <w:left w:w="70" w:type="dxa"/>
          <w:right w:w="70" w:type="dxa"/>
        </w:tblCellMar>
        <w:tblLook w:val="04A0" w:firstRow="1" w:lastRow="0" w:firstColumn="1" w:lastColumn="0" w:noHBand="0" w:noVBand="1"/>
      </w:tblPr>
      <w:tblGrid>
        <w:gridCol w:w="950"/>
        <w:gridCol w:w="6222"/>
        <w:gridCol w:w="1534"/>
      </w:tblGrid>
      <w:tr w:rsidR="00D74699" w:rsidRPr="00D74699" w:rsidTr="00E41E59">
        <w:trPr>
          <w:trHeight w:val="454"/>
          <w:jc w:val="center"/>
        </w:trPr>
        <w:tc>
          <w:tcPr>
            <w:tcW w:w="950" w:type="dxa"/>
            <w:tcBorders>
              <w:top w:val="nil"/>
              <w:left w:val="nil"/>
              <w:bottom w:val="single" w:sz="4" w:space="0" w:color="auto"/>
              <w:right w:val="nil"/>
            </w:tcBorders>
            <w:shd w:val="clear" w:color="auto" w:fill="auto"/>
            <w:noWrap/>
            <w:vAlign w:val="bottom"/>
            <w:hideMark/>
          </w:tcPr>
          <w:p w:rsidR="00D74699" w:rsidRPr="00D74699" w:rsidRDefault="00D74699" w:rsidP="00D74699">
            <w:pPr>
              <w:spacing w:after="0"/>
              <w:ind w:firstLine="0"/>
              <w:jc w:val="left"/>
              <w:rPr>
                <w:rFonts w:ascii="Calibri" w:hAnsi="Calibri"/>
                <w:color w:val="000000"/>
                <w:sz w:val="22"/>
                <w:szCs w:val="22"/>
                <w:lang w:val="es-ES" w:eastAsia="es-ES"/>
              </w:rPr>
            </w:pPr>
          </w:p>
        </w:tc>
        <w:tc>
          <w:tcPr>
            <w:tcW w:w="6222" w:type="dxa"/>
            <w:tcBorders>
              <w:top w:val="nil"/>
              <w:left w:val="nil"/>
              <w:bottom w:val="single" w:sz="4" w:space="0" w:color="auto"/>
              <w:right w:val="nil"/>
            </w:tcBorders>
            <w:shd w:val="clear" w:color="auto" w:fill="auto"/>
            <w:noWrap/>
            <w:vAlign w:val="bottom"/>
            <w:hideMark/>
          </w:tcPr>
          <w:p w:rsidR="00D74699" w:rsidRPr="00D74699" w:rsidRDefault="00D74699" w:rsidP="00D74699">
            <w:pPr>
              <w:spacing w:after="0"/>
              <w:ind w:firstLine="0"/>
              <w:jc w:val="left"/>
              <w:rPr>
                <w:rFonts w:ascii="Calibri" w:hAnsi="Calibri"/>
                <w:color w:val="000000"/>
                <w:sz w:val="22"/>
                <w:szCs w:val="22"/>
                <w:lang w:val="es-ES" w:eastAsia="es-ES"/>
              </w:rPr>
            </w:pPr>
            <w:r w:rsidRPr="00D74699">
              <w:rPr>
                <w:rFonts w:ascii="Calibri" w:hAnsi="Calibri"/>
                <w:color w:val="000000"/>
                <w:sz w:val="22"/>
                <w:szCs w:val="22"/>
                <w:lang w:val="es-ES" w:eastAsia="es-ES"/>
              </w:rPr>
              <w:t> </w:t>
            </w:r>
          </w:p>
        </w:tc>
        <w:tc>
          <w:tcPr>
            <w:tcW w:w="1534" w:type="dxa"/>
            <w:tcBorders>
              <w:top w:val="single" w:sz="4" w:space="0" w:color="auto"/>
              <w:left w:val="nil"/>
              <w:bottom w:val="single" w:sz="4" w:space="0" w:color="auto"/>
              <w:right w:val="nil"/>
            </w:tcBorders>
            <w:shd w:val="clear" w:color="000000" w:fill="8DB3E2"/>
            <w:noWrap/>
            <w:vAlign w:val="center"/>
            <w:hideMark/>
          </w:tcPr>
          <w:p w:rsidR="00D74699" w:rsidRPr="00E64456" w:rsidRDefault="00D74699" w:rsidP="00D74699">
            <w:pPr>
              <w:spacing w:after="0"/>
              <w:ind w:firstLine="0"/>
              <w:jc w:val="center"/>
              <w:rPr>
                <w:rFonts w:ascii="Arial" w:hAnsi="Arial" w:cs="Arial"/>
                <w:color w:val="000000"/>
                <w:sz w:val="15"/>
                <w:szCs w:val="15"/>
                <w:lang w:val="es-ES" w:eastAsia="es-ES"/>
              </w:rPr>
            </w:pPr>
            <w:r w:rsidRPr="00E64456">
              <w:rPr>
                <w:rFonts w:ascii="Arial" w:hAnsi="Arial" w:cs="Arial"/>
                <w:color w:val="000000"/>
                <w:sz w:val="15"/>
                <w:szCs w:val="15"/>
                <w:lang w:val="es-ES" w:eastAsia="es-ES"/>
              </w:rPr>
              <w:t>Implantación medida</w:t>
            </w:r>
          </w:p>
        </w:tc>
      </w:tr>
      <w:tr w:rsidR="00D74699" w:rsidRPr="00D74699" w:rsidTr="00E41E59">
        <w:trPr>
          <w:trHeight w:val="425"/>
          <w:jc w:val="center"/>
        </w:trPr>
        <w:tc>
          <w:tcPr>
            <w:tcW w:w="950" w:type="dxa"/>
            <w:tcBorders>
              <w:top w:val="single" w:sz="4" w:space="0" w:color="auto"/>
              <w:left w:val="nil"/>
              <w:bottom w:val="single" w:sz="2" w:space="0" w:color="auto"/>
              <w:right w:val="nil"/>
            </w:tcBorders>
            <w:shd w:val="clear" w:color="000000" w:fill="8DB4E2"/>
            <w:noWrap/>
            <w:vAlign w:val="center"/>
            <w:hideMark/>
          </w:tcPr>
          <w:p w:rsidR="00D74699" w:rsidRPr="00E64456" w:rsidRDefault="00D74699" w:rsidP="00D74699">
            <w:pPr>
              <w:spacing w:after="0"/>
              <w:ind w:firstLine="0"/>
              <w:jc w:val="left"/>
              <w:rPr>
                <w:rFonts w:ascii="Arial Narrow" w:hAnsi="Arial Narrow" w:cs="Arial"/>
                <w:b/>
                <w:bCs/>
                <w:color w:val="333333"/>
                <w:sz w:val="16"/>
                <w:szCs w:val="16"/>
                <w:lang w:val="es-ES" w:eastAsia="es-ES"/>
              </w:rPr>
            </w:pPr>
            <w:r w:rsidRPr="00E64456">
              <w:rPr>
                <w:rFonts w:ascii="Arial Narrow" w:hAnsi="Arial Narrow" w:cs="Arial"/>
                <w:b/>
                <w:bCs/>
                <w:color w:val="333333"/>
                <w:sz w:val="16"/>
                <w:szCs w:val="16"/>
                <w:lang w:val="es-ES" w:eastAsia="es-ES"/>
              </w:rPr>
              <w:t>Objetivo 1</w:t>
            </w:r>
          </w:p>
        </w:tc>
        <w:tc>
          <w:tcPr>
            <w:tcW w:w="6222" w:type="dxa"/>
            <w:tcBorders>
              <w:top w:val="single" w:sz="4"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left"/>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 Reducción justificada del número de sociedades existentes en busca de una mayor eficacia y eficie</w:t>
            </w:r>
            <w:r w:rsidRPr="00D74699">
              <w:rPr>
                <w:rFonts w:ascii="Arial Narrow" w:hAnsi="Arial Narrow"/>
                <w:color w:val="000000"/>
                <w:sz w:val="16"/>
                <w:szCs w:val="16"/>
                <w:lang w:val="es-ES" w:eastAsia="es-ES"/>
              </w:rPr>
              <w:t>n</w:t>
            </w:r>
            <w:r w:rsidRPr="00D74699">
              <w:rPr>
                <w:rFonts w:ascii="Arial Narrow" w:hAnsi="Arial Narrow"/>
                <w:color w:val="000000"/>
                <w:sz w:val="16"/>
                <w:szCs w:val="16"/>
                <w:lang w:val="es-ES" w:eastAsia="es-ES"/>
              </w:rPr>
              <w:t xml:space="preserve">cia, proponiendo una reducción de las 38 sociedades dependientes de la Corporación a 13 sociedades. </w:t>
            </w:r>
          </w:p>
        </w:tc>
        <w:tc>
          <w:tcPr>
            <w:tcW w:w="1534" w:type="dxa"/>
            <w:tcBorders>
              <w:top w:val="single" w:sz="4"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center"/>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SI</w:t>
            </w:r>
          </w:p>
        </w:tc>
      </w:tr>
      <w:tr w:rsidR="00D74699" w:rsidRPr="00D74699" w:rsidTr="00E41E59">
        <w:trPr>
          <w:trHeight w:val="425"/>
          <w:jc w:val="center"/>
        </w:trPr>
        <w:tc>
          <w:tcPr>
            <w:tcW w:w="950" w:type="dxa"/>
            <w:tcBorders>
              <w:top w:val="single" w:sz="2" w:space="0" w:color="auto"/>
              <w:left w:val="nil"/>
              <w:bottom w:val="single" w:sz="2" w:space="0" w:color="auto"/>
              <w:right w:val="nil"/>
            </w:tcBorders>
            <w:shd w:val="clear" w:color="000000" w:fill="8DB4E2"/>
            <w:noWrap/>
            <w:vAlign w:val="center"/>
            <w:hideMark/>
          </w:tcPr>
          <w:p w:rsidR="00D74699" w:rsidRPr="00E64456" w:rsidRDefault="00D74699" w:rsidP="00D74699">
            <w:pPr>
              <w:spacing w:after="0"/>
              <w:ind w:firstLine="0"/>
              <w:jc w:val="left"/>
              <w:rPr>
                <w:rFonts w:ascii="Arial Narrow" w:hAnsi="Arial Narrow" w:cs="Arial"/>
                <w:b/>
                <w:bCs/>
                <w:color w:val="333333"/>
                <w:sz w:val="16"/>
                <w:szCs w:val="16"/>
                <w:lang w:val="es-ES" w:eastAsia="es-ES"/>
              </w:rPr>
            </w:pPr>
            <w:r w:rsidRPr="00E64456">
              <w:rPr>
                <w:rFonts w:ascii="Arial Narrow" w:hAnsi="Arial Narrow" w:cs="Arial"/>
                <w:b/>
                <w:bCs/>
                <w:color w:val="333333"/>
                <w:sz w:val="16"/>
                <w:szCs w:val="16"/>
                <w:lang w:val="es-ES" w:eastAsia="es-ES"/>
              </w:rPr>
              <w:t>Objetivo 2</w:t>
            </w:r>
          </w:p>
        </w:tc>
        <w:tc>
          <w:tcPr>
            <w:tcW w:w="6222"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left"/>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 xml:space="preserve">· Alinear y agrupar las sociedades necesarias en función de las políticas sectoriales a desarrollar por el Gobierno de Navarra. </w:t>
            </w:r>
          </w:p>
        </w:tc>
        <w:tc>
          <w:tcPr>
            <w:tcW w:w="1534"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center"/>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SI</w:t>
            </w:r>
          </w:p>
        </w:tc>
      </w:tr>
      <w:tr w:rsidR="00D74699" w:rsidRPr="00D74699" w:rsidTr="00E41E59">
        <w:trPr>
          <w:trHeight w:val="425"/>
          <w:jc w:val="center"/>
        </w:trPr>
        <w:tc>
          <w:tcPr>
            <w:tcW w:w="950" w:type="dxa"/>
            <w:tcBorders>
              <w:top w:val="single" w:sz="2" w:space="0" w:color="auto"/>
              <w:left w:val="nil"/>
              <w:bottom w:val="single" w:sz="2" w:space="0" w:color="auto"/>
              <w:right w:val="nil"/>
            </w:tcBorders>
            <w:shd w:val="clear" w:color="000000" w:fill="8DB4E2"/>
            <w:noWrap/>
            <w:vAlign w:val="center"/>
            <w:hideMark/>
          </w:tcPr>
          <w:p w:rsidR="00D74699" w:rsidRPr="00E64456" w:rsidRDefault="00D74699" w:rsidP="00D74699">
            <w:pPr>
              <w:spacing w:after="0"/>
              <w:ind w:firstLine="0"/>
              <w:jc w:val="left"/>
              <w:rPr>
                <w:rFonts w:ascii="Arial Narrow" w:hAnsi="Arial Narrow" w:cs="Arial"/>
                <w:b/>
                <w:bCs/>
                <w:color w:val="333333"/>
                <w:sz w:val="16"/>
                <w:szCs w:val="16"/>
                <w:lang w:val="es-ES" w:eastAsia="es-ES"/>
              </w:rPr>
            </w:pPr>
            <w:r w:rsidRPr="00E64456">
              <w:rPr>
                <w:rFonts w:ascii="Arial Narrow" w:hAnsi="Arial Narrow" w:cs="Arial"/>
                <w:b/>
                <w:bCs/>
                <w:color w:val="333333"/>
                <w:sz w:val="16"/>
                <w:szCs w:val="16"/>
                <w:lang w:val="es-ES" w:eastAsia="es-ES"/>
              </w:rPr>
              <w:t>Objetivo 3</w:t>
            </w:r>
          </w:p>
        </w:tc>
        <w:tc>
          <w:tcPr>
            <w:tcW w:w="6222"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left"/>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 xml:space="preserve">· Acometer un plan sostenido de reducción de costes en el sector público empresarial, a corto y largo plazo. </w:t>
            </w:r>
          </w:p>
        </w:tc>
        <w:tc>
          <w:tcPr>
            <w:tcW w:w="1534"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center"/>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SI</w:t>
            </w:r>
          </w:p>
        </w:tc>
      </w:tr>
      <w:tr w:rsidR="00D74699" w:rsidRPr="00D74699" w:rsidTr="00E41E59">
        <w:trPr>
          <w:trHeight w:val="425"/>
          <w:jc w:val="center"/>
        </w:trPr>
        <w:tc>
          <w:tcPr>
            <w:tcW w:w="950" w:type="dxa"/>
            <w:tcBorders>
              <w:top w:val="single" w:sz="2" w:space="0" w:color="auto"/>
              <w:left w:val="nil"/>
              <w:bottom w:val="single" w:sz="2" w:space="0" w:color="auto"/>
              <w:right w:val="nil"/>
            </w:tcBorders>
            <w:shd w:val="clear" w:color="000000" w:fill="8DB4E2"/>
            <w:noWrap/>
            <w:vAlign w:val="center"/>
            <w:hideMark/>
          </w:tcPr>
          <w:p w:rsidR="00D74699" w:rsidRPr="00E64456" w:rsidRDefault="00D74699" w:rsidP="00D74699">
            <w:pPr>
              <w:spacing w:after="0"/>
              <w:ind w:firstLine="0"/>
              <w:jc w:val="left"/>
              <w:rPr>
                <w:rFonts w:ascii="Arial Narrow" w:hAnsi="Arial Narrow" w:cs="Arial"/>
                <w:b/>
                <w:bCs/>
                <w:color w:val="333333"/>
                <w:sz w:val="16"/>
                <w:szCs w:val="16"/>
                <w:lang w:val="es-ES" w:eastAsia="es-ES"/>
              </w:rPr>
            </w:pPr>
            <w:r w:rsidRPr="00E64456">
              <w:rPr>
                <w:rFonts w:ascii="Arial Narrow" w:hAnsi="Arial Narrow" w:cs="Arial"/>
                <w:b/>
                <w:bCs/>
                <w:color w:val="333333"/>
                <w:sz w:val="16"/>
                <w:szCs w:val="16"/>
                <w:lang w:val="es-ES" w:eastAsia="es-ES"/>
              </w:rPr>
              <w:t>Objetivo 4</w:t>
            </w:r>
          </w:p>
        </w:tc>
        <w:tc>
          <w:tcPr>
            <w:tcW w:w="6222"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left"/>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 Optimizar y homogeneizar desde CPEN el funcionamiento transversal del conjunto de sociedades públicas resultantes tras la reestructuración.</w:t>
            </w:r>
          </w:p>
        </w:tc>
        <w:tc>
          <w:tcPr>
            <w:tcW w:w="1534" w:type="dxa"/>
            <w:tcBorders>
              <w:top w:val="single" w:sz="2" w:space="0" w:color="auto"/>
              <w:left w:val="nil"/>
              <w:bottom w:val="single" w:sz="2" w:space="0" w:color="auto"/>
              <w:right w:val="nil"/>
            </w:tcBorders>
            <w:shd w:val="clear" w:color="auto" w:fill="auto"/>
            <w:noWrap/>
            <w:vAlign w:val="center"/>
            <w:hideMark/>
          </w:tcPr>
          <w:p w:rsidR="00D74699" w:rsidRPr="00D74699" w:rsidRDefault="00D74699" w:rsidP="00D74699">
            <w:pPr>
              <w:spacing w:after="0"/>
              <w:ind w:firstLine="0"/>
              <w:jc w:val="center"/>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SI</w:t>
            </w:r>
          </w:p>
        </w:tc>
      </w:tr>
      <w:tr w:rsidR="00D74699" w:rsidRPr="00D74699" w:rsidTr="00E41E59">
        <w:trPr>
          <w:trHeight w:val="425"/>
          <w:jc w:val="center"/>
        </w:trPr>
        <w:tc>
          <w:tcPr>
            <w:tcW w:w="950" w:type="dxa"/>
            <w:tcBorders>
              <w:top w:val="single" w:sz="2" w:space="0" w:color="auto"/>
              <w:left w:val="nil"/>
              <w:bottom w:val="single" w:sz="4" w:space="0" w:color="auto"/>
              <w:right w:val="nil"/>
            </w:tcBorders>
            <w:shd w:val="clear" w:color="000000" w:fill="8DB4E2"/>
            <w:noWrap/>
            <w:vAlign w:val="center"/>
            <w:hideMark/>
          </w:tcPr>
          <w:p w:rsidR="00D74699" w:rsidRPr="00E64456" w:rsidRDefault="00D74699" w:rsidP="00D74699">
            <w:pPr>
              <w:spacing w:after="0"/>
              <w:ind w:firstLine="0"/>
              <w:jc w:val="left"/>
              <w:rPr>
                <w:rFonts w:ascii="Arial Narrow" w:hAnsi="Arial Narrow" w:cs="Arial"/>
                <w:b/>
                <w:bCs/>
                <w:color w:val="333333"/>
                <w:sz w:val="16"/>
                <w:szCs w:val="16"/>
                <w:lang w:val="es-ES" w:eastAsia="es-ES"/>
              </w:rPr>
            </w:pPr>
            <w:r w:rsidRPr="00E64456">
              <w:rPr>
                <w:rFonts w:ascii="Arial Narrow" w:hAnsi="Arial Narrow" w:cs="Arial"/>
                <w:b/>
                <w:bCs/>
                <w:color w:val="333333"/>
                <w:sz w:val="16"/>
                <w:szCs w:val="16"/>
                <w:lang w:val="es-ES" w:eastAsia="es-ES"/>
              </w:rPr>
              <w:t>Objetivo 5</w:t>
            </w:r>
          </w:p>
        </w:tc>
        <w:tc>
          <w:tcPr>
            <w:tcW w:w="6222" w:type="dxa"/>
            <w:tcBorders>
              <w:top w:val="single" w:sz="2" w:space="0" w:color="auto"/>
              <w:left w:val="nil"/>
              <w:bottom w:val="single" w:sz="4" w:space="0" w:color="auto"/>
              <w:right w:val="nil"/>
            </w:tcBorders>
            <w:shd w:val="clear" w:color="auto" w:fill="auto"/>
            <w:noWrap/>
            <w:vAlign w:val="center"/>
            <w:hideMark/>
          </w:tcPr>
          <w:p w:rsidR="00D74699" w:rsidRPr="00D74699" w:rsidRDefault="00D74699" w:rsidP="00D74699">
            <w:pPr>
              <w:spacing w:after="0"/>
              <w:ind w:firstLine="0"/>
              <w:jc w:val="left"/>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 Reducir, centralizar y coordinar los recursos y operaciones vinculadas a la gestión de empresas públ</w:t>
            </w:r>
            <w:r w:rsidRPr="00D74699">
              <w:rPr>
                <w:rFonts w:ascii="Arial Narrow" w:hAnsi="Arial Narrow"/>
                <w:color w:val="000000"/>
                <w:sz w:val="16"/>
                <w:szCs w:val="16"/>
                <w:lang w:val="es-ES" w:eastAsia="es-ES"/>
              </w:rPr>
              <w:t>i</w:t>
            </w:r>
            <w:r w:rsidRPr="00D74699">
              <w:rPr>
                <w:rFonts w:ascii="Arial Narrow" w:hAnsi="Arial Narrow"/>
                <w:color w:val="000000"/>
                <w:sz w:val="16"/>
                <w:szCs w:val="16"/>
                <w:lang w:val="es-ES" w:eastAsia="es-ES"/>
              </w:rPr>
              <w:t>cas.</w:t>
            </w:r>
          </w:p>
        </w:tc>
        <w:tc>
          <w:tcPr>
            <w:tcW w:w="1534" w:type="dxa"/>
            <w:tcBorders>
              <w:top w:val="single" w:sz="2" w:space="0" w:color="auto"/>
              <w:left w:val="nil"/>
              <w:bottom w:val="single" w:sz="4" w:space="0" w:color="auto"/>
              <w:right w:val="nil"/>
            </w:tcBorders>
            <w:shd w:val="clear" w:color="auto" w:fill="auto"/>
            <w:noWrap/>
            <w:vAlign w:val="center"/>
            <w:hideMark/>
          </w:tcPr>
          <w:p w:rsidR="00D74699" w:rsidRPr="00D74699" w:rsidRDefault="00D74699" w:rsidP="00D74699">
            <w:pPr>
              <w:spacing w:after="0"/>
              <w:ind w:firstLine="0"/>
              <w:jc w:val="center"/>
              <w:rPr>
                <w:rFonts w:ascii="Arial Narrow" w:hAnsi="Arial Narrow"/>
                <w:color w:val="000000"/>
                <w:sz w:val="16"/>
                <w:szCs w:val="16"/>
                <w:lang w:val="es-ES" w:eastAsia="es-ES"/>
              </w:rPr>
            </w:pPr>
            <w:r w:rsidRPr="00D74699">
              <w:rPr>
                <w:rFonts w:ascii="Arial Narrow" w:hAnsi="Arial Narrow"/>
                <w:color w:val="000000"/>
                <w:sz w:val="16"/>
                <w:szCs w:val="16"/>
                <w:lang w:val="es-ES" w:eastAsia="es-ES"/>
              </w:rPr>
              <w:t>SI</w:t>
            </w:r>
          </w:p>
        </w:tc>
      </w:tr>
    </w:tbl>
    <w:p w:rsidR="00CE38E4" w:rsidRPr="00AE32E5" w:rsidRDefault="0017115B" w:rsidP="007C033A">
      <w:pPr>
        <w:pStyle w:val="texto"/>
        <w:spacing w:before="260" w:after="160"/>
        <w:rPr>
          <w:lang w:val="es-ES"/>
        </w:rPr>
      </w:pPr>
      <w:r w:rsidRPr="00AE32E5">
        <w:rPr>
          <w:lang w:val="es-ES"/>
        </w:rPr>
        <w:t xml:space="preserve">La estrategia de ahorro de costes para el periodo 2010-2013 fija un objetivo  </w:t>
      </w:r>
      <w:r w:rsidR="00F47695" w:rsidRPr="00AE32E5">
        <w:rPr>
          <w:lang w:val="es-ES"/>
        </w:rPr>
        <w:t xml:space="preserve">de </w:t>
      </w:r>
      <w:r w:rsidR="0056162A" w:rsidRPr="00AE32E5">
        <w:rPr>
          <w:lang w:val="es-ES"/>
        </w:rPr>
        <w:t xml:space="preserve">menor </w:t>
      </w:r>
      <w:r w:rsidR="00F47695" w:rsidRPr="00AE32E5">
        <w:rPr>
          <w:lang w:val="es-ES"/>
        </w:rPr>
        <w:t xml:space="preserve">gasto en torno a 28 </w:t>
      </w:r>
      <w:r w:rsidR="00CE38E4" w:rsidRPr="00AE32E5">
        <w:rPr>
          <w:lang w:val="es-ES"/>
        </w:rPr>
        <w:t xml:space="preserve">millones de euros. </w:t>
      </w:r>
    </w:p>
    <w:p w:rsidR="00DD21F4" w:rsidRDefault="00DD21F4" w:rsidP="007C033A">
      <w:pPr>
        <w:pStyle w:val="texto"/>
        <w:spacing w:after="160"/>
        <w:rPr>
          <w:lang w:val="es-ES"/>
        </w:rPr>
      </w:pPr>
      <w:r>
        <w:rPr>
          <w:lang w:val="es-ES"/>
        </w:rPr>
        <w:t xml:space="preserve">Los </w:t>
      </w:r>
      <w:r w:rsidR="00080B3D">
        <w:rPr>
          <w:lang w:val="es-ES"/>
        </w:rPr>
        <w:t xml:space="preserve">resultados derivados de la ejecución de las distintas medidas han sido </w:t>
      </w:r>
      <w:r>
        <w:rPr>
          <w:lang w:val="es-ES"/>
        </w:rPr>
        <w:t>los siguientes:</w:t>
      </w:r>
    </w:p>
    <w:p w:rsidR="0017115B" w:rsidRPr="00FC093C" w:rsidRDefault="0017115B" w:rsidP="00AC6BF0">
      <w:pPr>
        <w:pStyle w:val="texto"/>
        <w:numPr>
          <w:ilvl w:val="0"/>
          <w:numId w:val="24"/>
        </w:numPr>
        <w:spacing w:after="260"/>
        <w:ind w:left="1003" w:hanging="357"/>
        <w:rPr>
          <w:lang w:val="es-ES"/>
        </w:rPr>
      </w:pPr>
      <w:r w:rsidRPr="00FC093C">
        <w:rPr>
          <w:lang w:val="es-ES"/>
        </w:rPr>
        <w:t>Proceso de re</w:t>
      </w:r>
      <w:r w:rsidR="00C64C02">
        <w:rPr>
          <w:lang w:val="es-ES"/>
        </w:rPr>
        <w:t xml:space="preserve">ordenación </w:t>
      </w:r>
      <w:r w:rsidRPr="00FC093C">
        <w:rPr>
          <w:lang w:val="es-ES"/>
        </w:rPr>
        <w:t xml:space="preserve">societaria </w:t>
      </w:r>
      <w:r w:rsidR="00C64C02">
        <w:rPr>
          <w:lang w:val="es-ES"/>
        </w:rPr>
        <w:t>y efectos estructurales:</w:t>
      </w:r>
    </w:p>
    <w:tbl>
      <w:tblPr>
        <w:tblW w:w="874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80"/>
        <w:gridCol w:w="1040"/>
        <w:gridCol w:w="1120"/>
        <w:gridCol w:w="1105"/>
        <w:gridCol w:w="1200"/>
      </w:tblGrid>
      <w:tr w:rsidR="0017115B" w:rsidRPr="0041674D" w:rsidTr="00ED5C9A">
        <w:trPr>
          <w:trHeight w:val="312"/>
          <w:jc w:val="center"/>
        </w:trPr>
        <w:tc>
          <w:tcPr>
            <w:tcW w:w="4280" w:type="dxa"/>
            <w:tcBorders>
              <w:bottom w:val="single" w:sz="4" w:space="0" w:color="auto"/>
            </w:tcBorders>
            <w:shd w:val="clear" w:color="000000" w:fill="8DB4E2"/>
            <w:noWrap/>
            <w:vAlign w:val="center"/>
            <w:hideMark/>
          </w:tcPr>
          <w:p w:rsidR="0017115B" w:rsidRPr="0041674D" w:rsidRDefault="0017115B" w:rsidP="00FA1C94">
            <w:pPr>
              <w:spacing w:after="0"/>
              <w:ind w:firstLine="0"/>
              <w:jc w:val="left"/>
              <w:rPr>
                <w:rFonts w:ascii="Arial" w:hAnsi="Arial" w:cs="Arial"/>
                <w:color w:val="000000"/>
                <w:sz w:val="17"/>
                <w:szCs w:val="17"/>
                <w:lang w:val="es-ES" w:eastAsia="es-ES"/>
              </w:rPr>
            </w:pPr>
          </w:p>
        </w:tc>
        <w:tc>
          <w:tcPr>
            <w:tcW w:w="1040" w:type="dxa"/>
            <w:tcBorders>
              <w:bottom w:val="single" w:sz="4" w:space="0" w:color="auto"/>
            </w:tcBorders>
            <w:shd w:val="clear" w:color="000000" w:fill="8DB4E2"/>
            <w:noWrap/>
            <w:vAlign w:val="center"/>
            <w:hideMark/>
          </w:tcPr>
          <w:p w:rsidR="0017115B" w:rsidRPr="0041674D" w:rsidRDefault="0017115B" w:rsidP="00E70EC9">
            <w:pPr>
              <w:spacing w:after="0"/>
              <w:ind w:firstLine="0"/>
              <w:jc w:val="right"/>
              <w:rPr>
                <w:rFonts w:ascii="Arial" w:hAnsi="Arial" w:cs="Arial"/>
                <w:color w:val="000000"/>
                <w:sz w:val="17"/>
                <w:szCs w:val="17"/>
                <w:lang w:val="es-ES" w:eastAsia="es-ES"/>
              </w:rPr>
            </w:pPr>
            <w:r w:rsidRPr="0041674D">
              <w:rPr>
                <w:rFonts w:ascii="Arial" w:hAnsi="Arial" w:cs="Arial"/>
                <w:color w:val="000000"/>
                <w:sz w:val="17"/>
                <w:szCs w:val="17"/>
                <w:lang w:val="es-ES" w:eastAsia="es-ES"/>
              </w:rPr>
              <w:t>2010</w:t>
            </w:r>
          </w:p>
        </w:tc>
        <w:tc>
          <w:tcPr>
            <w:tcW w:w="1120" w:type="dxa"/>
            <w:tcBorders>
              <w:bottom w:val="single" w:sz="4" w:space="0" w:color="auto"/>
            </w:tcBorders>
            <w:shd w:val="clear" w:color="000000" w:fill="8DB4E2"/>
            <w:noWrap/>
            <w:vAlign w:val="center"/>
            <w:hideMark/>
          </w:tcPr>
          <w:p w:rsidR="0017115B" w:rsidRPr="0041674D" w:rsidRDefault="0017115B" w:rsidP="00E70EC9">
            <w:pPr>
              <w:spacing w:after="0"/>
              <w:ind w:firstLine="0"/>
              <w:jc w:val="right"/>
              <w:rPr>
                <w:rFonts w:ascii="Arial" w:hAnsi="Arial" w:cs="Arial"/>
                <w:color w:val="000000"/>
                <w:sz w:val="17"/>
                <w:szCs w:val="17"/>
                <w:lang w:val="es-ES" w:eastAsia="es-ES"/>
              </w:rPr>
            </w:pPr>
            <w:r w:rsidRPr="0041674D">
              <w:rPr>
                <w:rFonts w:ascii="Arial" w:hAnsi="Arial" w:cs="Arial"/>
                <w:color w:val="000000"/>
                <w:sz w:val="17"/>
                <w:szCs w:val="17"/>
                <w:lang w:val="es-ES" w:eastAsia="es-ES"/>
              </w:rPr>
              <w:t>2013</w:t>
            </w:r>
          </w:p>
        </w:tc>
        <w:tc>
          <w:tcPr>
            <w:tcW w:w="1105" w:type="dxa"/>
            <w:tcBorders>
              <w:bottom w:val="single" w:sz="4" w:space="0" w:color="auto"/>
            </w:tcBorders>
            <w:shd w:val="clear" w:color="000000" w:fill="8DB4E2"/>
            <w:noWrap/>
            <w:vAlign w:val="center"/>
            <w:hideMark/>
          </w:tcPr>
          <w:p w:rsidR="0017115B" w:rsidRPr="0041674D" w:rsidRDefault="0017115B" w:rsidP="00E70EC9">
            <w:pPr>
              <w:spacing w:after="0"/>
              <w:ind w:firstLine="0"/>
              <w:jc w:val="right"/>
              <w:rPr>
                <w:rFonts w:ascii="Arial" w:hAnsi="Arial" w:cs="Arial"/>
                <w:color w:val="000000"/>
                <w:sz w:val="17"/>
                <w:szCs w:val="17"/>
                <w:lang w:val="es-ES" w:eastAsia="es-ES"/>
              </w:rPr>
            </w:pPr>
            <w:r w:rsidRPr="0041674D">
              <w:rPr>
                <w:rFonts w:ascii="Arial" w:hAnsi="Arial" w:cs="Arial"/>
                <w:color w:val="000000"/>
                <w:sz w:val="17"/>
                <w:szCs w:val="17"/>
                <w:lang w:val="es-ES" w:eastAsia="es-ES"/>
              </w:rPr>
              <w:t xml:space="preserve">Variación </w:t>
            </w:r>
          </w:p>
        </w:tc>
        <w:tc>
          <w:tcPr>
            <w:tcW w:w="1200" w:type="dxa"/>
            <w:tcBorders>
              <w:bottom w:val="single" w:sz="4" w:space="0" w:color="auto"/>
            </w:tcBorders>
            <w:shd w:val="clear" w:color="000000" w:fill="8DB4E2"/>
            <w:noWrap/>
            <w:vAlign w:val="center"/>
            <w:hideMark/>
          </w:tcPr>
          <w:p w:rsidR="0017115B" w:rsidRPr="0041674D" w:rsidRDefault="0017115B" w:rsidP="00E70EC9">
            <w:pPr>
              <w:spacing w:after="0"/>
              <w:ind w:firstLine="0"/>
              <w:jc w:val="right"/>
              <w:rPr>
                <w:rFonts w:ascii="Arial" w:hAnsi="Arial" w:cs="Arial"/>
                <w:color w:val="000000"/>
                <w:sz w:val="17"/>
                <w:szCs w:val="17"/>
                <w:lang w:val="es-ES" w:eastAsia="es-ES"/>
              </w:rPr>
            </w:pPr>
            <w:r w:rsidRPr="0041674D">
              <w:rPr>
                <w:rFonts w:ascii="Arial" w:hAnsi="Arial" w:cs="Arial"/>
                <w:color w:val="000000"/>
                <w:sz w:val="17"/>
                <w:szCs w:val="17"/>
                <w:lang w:val="es-ES" w:eastAsia="es-ES"/>
              </w:rPr>
              <w:t>% Variación</w:t>
            </w:r>
          </w:p>
        </w:tc>
      </w:tr>
      <w:tr w:rsidR="0017115B" w:rsidRPr="0041674D" w:rsidTr="00ED5C9A">
        <w:trPr>
          <w:trHeight w:val="255"/>
          <w:jc w:val="center"/>
        </w:trPr>
        <w:tc>
          <w:tcPr>
            <w:tcW w:w="4280" w:type="dxa"/>
            <w:tcBorders>
              <w:bottom w:val="single" w:sz="2" w:space="0" w:color="auto"/>
            </w:tcBorders>
            <w:shd w:val="clear" w:color="auto" w:fill="auto"/>
            <w:noWrap/>
            <w:vAlign w:val="center"/>
            <w:hideMark/>
          </w:tcPr>
          <w:p w:rsidR="0017115B" w:rsidRPr="0041674D" w:rsidRDefault="0017115B" w:rsidP="00FA1C94">
            <w:pPr>
              <w:spacing w:after="0"/>
              <w:ind w:firstLine="0"/>
              <w:jc w:val="lef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Número de sociedades</w:t>
            </w:r>
          </w:p>
        </w:tc>
        <w:tc>
          <w:tcPr>
            <w:tcW w:w="1040" w:type="dxa"/>
            <w:tcBorders>
              <w:bottom w:val="single" w:sz="2" w:space="0" w:color="auto"/>
            </w:tcBorders>
            <w:shd w:val="clear" w:color="auto" w:fill="auto"/>
            <w:noWrap/>
            <w:vAlign w:val="center"/>
            <w:hideMark/>
          </w:tcPr>
          <w:p w:rsidR="0017115B" w:rsidRPr="0041674D" w:rsidRDefault="0017115B"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3</w:t>
            </w:r>
            <w:r w:rsidR="00DD21F4" w:rsidRPr="0041674D">
              <w:rPr>
                <w:rFonts w:ascii="Arial Narrow" w:hAnsi="Arial Narrow"/>
                <w:color w:val="000000"/>
                <w:sz w:val="18"/>
                <w:szCs w:val="18"/>
                <w:lang w:val="es-ES" w:eastAsia="es-ES"/>
              </w:rPr>
              <w:t>9</w:t>
            </w:r>
          </w:p>
        </w:tc>
        <w:tc>
          <w:tcPr>
            <w:tcW w:w="1120" w:type="dxa"/>
            <w:tcBorders>
              <w:bottom w:val="single" w:sz="2" w:space="0" w:color="auto"/>
            </w:tcBorders>
            <w:shd w:val="clear" w:color="auto" w:fill="auto"/>
            <w:noWrap/>
            <w:vAlign w:val="center"/>
            <w:hideMark/>
          </w:tcPr>
          <w:p w:rsidR="0017115B" w:rsidRPr="0041674D" w:rsidRDefault="0017115B" w:rsidP="00E70EC9">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1</w:t>
            </w:r>
            <w:r w:rsidR="00DD21F4" w:rsidRPr="0041674D">
              <w:rPr>
                <w:rFonts w:ascii="Arial Narrow" w:hAnsi="Arial Narrow"/>
                <w:sz w:val="18"/>
                <w:szCs w:val="18"/>
                <w:lang w:val="es-ES" w:eastAsia="es-ES"/>
              </w:rPr>
              <w:t>7</w:t>
            </w:r>
            <w:r w:rsidR="00CE38E4">
              <w:rPr>
                <w:rStyle w:val="Refdenotaalpie"/>
                <w:rFonts w:ascii="Arial Narrow" w:hAnsi="Arial Narrow"/>
                <w:sz w:val="18"/>
                <w:szCs w:val="18"/>
                <w:lang w:val="es-ES" w:eastAsia="es-ES"/>
              </w:rPr>
              <w:footnoteReference w:id="17"/>
            </w:r>
          </w:p>
        </w:tc>
        <w:tc>
          <w:tcPr>
            <w:tcW w:w="1105" w:type="dxa"/>
            <w:tcBorders>
              <w:bottom w:val="single" w:sz="2" w:space="0" w:color="auto"/>
            </w:tcBorders>
            <w:shd w:val="clear" w:color="auto" w:fill="auto"/>
            <w:vAlign w:val="center"/>
            <w:hideMark/>
          </w:tcPr>
          <w:p w:rsidR="0017115B" w:rsidRPr="0041674D" w:rsidRDefault="0017115B" w:rsidP="00E70EC9">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-2</w:t>
            </w:r>
            <w:r w:rsidR="00DD21F4" w:rsidRPr="0041674D">
              <w:rPr>
                <w:rFonts w:ascii="Arial Narrow" w:hAnsi="Arial Narrow"/>
                <w:sz w:val="18"/>
                <w:szCs w:val="18"/>
                <w:lang w:val="es-ES" w:eastAsia="es-ES"/>
              </w:rPr>
              <w:t>2</w:t>
            </w:r>
          </w:p>
        </w:tc>
        <w:tc>
          <w:tcPr>
            <w:tcW w:w="1200" w:type="dxa"/>
            <w:tcBorders>
              <w:bottom w:val="single" w:sz="2" w:space="0" w:color="auto"/>
            </w:tcBorders>
            <w:shd w:val="clear" w:color="auto" w:fill="auto"/>
            <w:vAlign w:val="center"/>
            <w:hideMark/>
          </w:tcPr>
          <w:p w:rsidR="0017115B" w:rsidRPr="0041674D" w:rsidRDefault="00DD21F4" w:rsidP="00E70EC9">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-5</w:t>
            </w:r>
            <w:r w:rsidR="0017115B" w:rsidRPr="0041674D">
              <w:rPr>
                <w:rFonts w:ascii="Arial Narrow" w:hAnsi="Arial Narrow"/>
                <w:sz w:val="18"/>
                <w:szCs w:val="18"/>
                <w:lang w:val="es-ES" w:eastAsia="es-ES"/>
              </w:rPr>
              <w:t>6</w:t>
            </w:r>
          </w:p>
        </w:tc>
      </w:tr>
      <w:tr w:rsidR="0017115B" w:rsidRPr="0041674D" w:rsidTr="00ED5C9A">
        <w:trPr>
          <w:trHeight w:val="255"/>
          <w:jc w:val="center"/>
        </w:trPr>
        <w:tc>
          <w:tcPr>
            <w:tcW w:w="4280" w:type="dxa"/>
            <w:tcBorders>
              <w:top w:val="single" w:sz="2" w:space="0" w:color="auto"/>
              <w:bottom w:val="single" w:sz="2" w:space="0" w:color="auto"/>
            </w:tcBorders>
            <w:shd w:val="clear" w:color="auto" w:fill="auto"/>
            <w:noWrap/>
            <w:vAlign w:val="center"/>
            <w:hideMark/>
          </w:tcPr>
          <w:p w:rsidR="0017115B" w:rsidRPr="0041674D" w:rsidRDefault="0017115B" w:rsidP="00FA1C94">
            <w:pPr>
              <w:spacing w:after="0"/>
              <w:ind w:firstLine="0"/>
              <w:jc w:val="lef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Número de miembros Consejos de Administración</w:t>
            </w:r>
          </w:p>
        </w:tc>
        <w:tc>
          <w:tcPr>
            <w:tcW w:w="1040" w:type="dxa"/>
            <w:tcBorders>
              <w:top w:val="single" w:sz="2" w:space="0" w:color="auto"/>
              <w:bottom w:val="single" w:sz="2" w:space="0" w:color="auto"/>
            </w:tcBorders>
            <w:shd w:val="clear" w:color="auto" w:fill="auto"/>
            <w:noWrap/>
            <w:vAlign w:val="center"/>
            <w:hideMark/>
          </w:tcPr>
          <w:p w:rsidR="0017115B" w:rsidRPr="0041674D" w:rsidRDefault="000359BC"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334</w:t>
            </w:r>
          </w:p>
        </w:tc>
        <w:tc>
          <w:tcPr>
            <w:tcW w:w="1120" w:type="dxa"/>
            <w:tcBorders>
              <w:top w:val="single" w:sz="2" w:space="0" w:color="auto"/>
              <w:bottom w:val="single" w:sz="2" w:space="0" w:color="auto"/>
            </w:tcBorders>
            <w:shd w:val="clear" w:color="auto" w:fill="auto"/>
            <w:noWrap/>
            <w:vAlign w:val="center"/>
            <w:hideMark/>
          </w:tcPr>
          <w:p w:rsidR="0017115B" w:rsidRPr="0041674D" w:rsidRDefault="0017115B"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184</w:t>
            </w:r>
          </w:p>
        </w:tc>
        <w:tc>
          <w:tcPr>
            <w:tcW w:w="1105" w:type="dxa"/>
            <w:tcBorders>
              <w:top w:val="single" w:sz="2" w:space="0" w:color="auto"/>
              <w:bottom w:val="single" w:sz="2" w:space="0" w:color="auto"/>
            </w:tcBorders>
            <w:shd w:val="clear" w:color="auto" w:fill="auto"/>
            <w:vAlign w:val="center"/>
            <w:hideMark/>
          </w:tcPr>
          <w:p w:rsidR="0017115B" w:rsidRPr="0041674D" w:rsidRDefault="0017115B" w:rsidP="00C32493">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-1</w:t>
            </w:r>
            <w:r w:rsidR="00C32493" w:rsidRPr="0041674D">
              <w:rPr>
                <w:rFonts w:ascii="Arial Narrow" w:hAnsi="Arial Narrow"/>
                <w:color w:val="000000"/>
                <w:sz w:val="18"/>
                <w:szCs w:val="18"/>
                <w:lang w:val="es-ES" w:eastAsia="es-ES"/>
              </w:rPr>
              <w:t>50</w:t>
            </w:r>
          </w:p>
        </w:tc>
        <w:tc>
          <w:tcPr>
            <w:tcW w:w="1200" w:type="dxa"/>
            <w:tcBorders>
              <w:top w:val="single" w:sz="2" w:space="0" w:color="auto"/>
              <w:bottom w:val="single" w:sz="2" w:space="0" w:color="auto"/>
            </w:tcBorders>
            <w:shd w:val="clear" w:color="auto" w:fill="auto"/>
            <w:vAlign w:val="center"/>
            <w:hideMark/>
          </w:tcPr>
          <w:p w:rsidR="0017115B" w:rsidRPr="0041674D" w:rsidRDefault="0017115B"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-45</w:t>
            </w:r>
          </w:p>
        </w:tc>
      </w:tr>
      <w:tr w:rsidR="0017115B" w:rsidRPr="0041674D" w:rsidTr="00ED5C9A">
        <w:trPr>
          <w:trHeight w:val="255"/>
          <w:jc w:val="center"/>
        </w:trPr>
        <w:tc>
          <w:tcPr>
            <w:tcW w:w="4280" w:type="dxa"/>
            <w:tcBorders>
              <w:top w:val="single" w:sz="2" w:space="0" w:color="auto"/>
              <w:bottom w:val="single" w:sz="2" w:space="0" w:color="auto"/>
            </w:tcBorders>
            <w:shd w:val="clear" w:color="auto" w:fill="auto"/>
            <w:noWrap/>
            <w:vAlign w:val="center"/>
            <w:hideMark/>
          </w:tcPr>
          <w:p w:rsidR="0017115B" w:rsidRPr="0041674D" w:rsidRDefault="0017115B" w:rsidP="00FA1C94">
            <w:pPr>
              <w:spacing w:after="0"/>
              <w:ind w:firstLine="0"/>
              <w:jc w:val="lef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Número de gerentes</w:t>
            </w:r>
          </w:p>
        </w:tc>
        <w:tc>
          <w:tcPr>
            <w:tcW w:w="1040" w:type="dxa"/>
            <w:tcBorders>
              <w:top w:val="single" w:sz="2" w:space="0" w:color="auto"/>
              <w:bottom w:val="single" w:sz="2" w:space="0" w:color="auto"/>
            </w:tcBorders>
            <w:shd w:val="clear" w:color="auto" w:fill="auto"/>
            <w:noWrap/>
            <w:vAlign w:val="center"/>
            <w:hideMark/>
          </w:tcPr>
          <w:p w:rsidR="0017115B" w:rsidRPr="0041674D" w:rsidRDefault="0017115B"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30</w:t>
            </w:r>
          </w:p>
        </w:tc>
        <w:tc>
          <w:tcPr>
            <w:tcW w:w="1120" w:type="dxa"/>
            <w:tcBorders>
              <w:top w:val="single" w:sz="2" w:space="0" w:color="auto"/>
              <w:bottom w:val="single" w:sz="2" w:space="0" w:color="auto"/>
            </w:tcBorders>
            <w:shd w:val="clear" w:color="auto" w:fill="auto"/>
            <w:noWrap/>
            <w:vAlign w:val="center"/>
            <w:hideMark/>
          </w:tcPr>
          <w:p w:rsidR="0017115B" w:rsidRPr="0041674D" w:rsidRDefault="000359BC"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14</w:t>
            </w:r>
          </w:p>
        </w:tc>
        <w:tc>
          <w:tcPr>
            <w:tcW w:w="1105" w:type="dxa"/>
            <w:tcBorders>
              <w:top w:val="single" w:sz="2" w:space="0" w:color="auto"/>
              <w:bottom w:val="single" w:sz="2" w:space="0" w:color="auto"/>
            </w:tcBorders>
            <w:shd w:val="clear" w:color="auto" w:fill="auto"/>
            <w:vAlign w:val="center"/>
            <w:hideMark/>
          </w:tcPr>
          <w:p w:rsidR="0017115B" w:rsidRPr="0041674D" w:rsidRDefault="00C32493" w:rsidP="00E70EC9">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-16</w:t>
            </w:r>
          </w:p>
        </w:tc>
        <w:tc>
          <w:tcPr>
            <w:tcW w:w="1200" w:type="dxa"/>
            <w:tcBorders>
              <w:top w:val="single" w:sz="2" w:space="0" w:color="auto"/>
              <w:bottom w:val="single" w:sz="2" w:space="0" w:color="auto"/>
            </w:tcBorders>
            <w:shd w:val="clear" w:color="auto" w:fill="auto"/>
            <w:vAlign w:val="center"/>
            <w:hideMark/>
          </w:tcPr>
          <w:p w:rsidR="0017115B" w:rsidRPr="0041674D" w:rsidRDefault="0017115B" w:rsidP="00C32493">
            <w:pPr>
              <w:spacing w:after="0"/>
              <w:ind w:firstLine="0"/>
              <w:jc w:val="right"/>
              <w:rPr>
                <w:rFonts w:ascii="Arial Narrow" w:hAnsi="Arial Narrow"/>
                <w:color w:val="000000"/>
                <w:sz w:val="18"/>
                <w:szCs w:val="18"/>
                <w:lang w:val="es-ES" w:eastAsia="es-ES"/>
              </w:rPr>
            </w:pPr>
            <w:r w:rsidRPr="0041674D">
              <w:rPr>
                <w:rFonts w:ascii="Arial Narrow" w:hAnsi="Arial Narrow"/>
                <w:color w:val="000000"/>
                <w:sz w:val="18"/>
                <w:szCs w:val="18"/>
                <w:lang w:val="es-ES" w:eastAsia="es-ES"/>
              </w:rPr>
              <w:t>-</w:t>
            </w:r>
            <w:r w:rsidR="00C32493" w:rsidRPr="0041674D">
              <w:rPr>
                <w:rFonts w:ascii="Arial Narrow" w:hAnsi="Arial Narrow"/>
                <w:color w:val="000000"/>
                <w:sz w:val="18"/>
                <w:szCs w:val="18"/>
                <w:lang w:val="es-ES" w:eastAsia="es-ES"/>
              </w:rPr>
              <w:t>53</w:t>
            </w:r>
          </w:p>
        </w:tc>
      </w:tr>
      <w:tr w:rsidR="0047317F" w:rsidRPr="0041674D" w:rsidTr="00ED5C9A">
        <w:trPr>
          <w:trHeight w:val="255"/>
          <w:jc w:val="center"/>
        </w:trPr>
        <w:tc>
          <w:tcPr>
            <w:tcW w:w="4280" w:type="dxa"/>
            <w:tcBorders>
              <w:top w:val="single" w:sz="2" w:space="0" w:color="auto"/>
              <w:bottom w:val="single" w:sz="2" w:space="0" w:color="auto"/>
            </w:tcBorders>
            <w:shd w:val="clear" w:color="auto" w:fill="auto"/>
            <w:noWrap/>
            <w:vAlign w:val="center"/>
            <w:hideMark/>
          </w:tcPr>
          <w:p w:rsidR="0017115B" w:rsidRPr="0041674D" w:rsidRDefault="0017115B" w:rsidP="00FA1C94">
            <w:pPr>
              <w:spacing w:after="0"/>
              <w:ind w:firstLine="0"/>
              <w:jc w:val="left"/>
              <w:rPr>
                <w:rFonts w:ascii="Arial Narrow" w:hAnsi="Arial Narrow"/>
                <w:sz w:val="18"/>
                <w:szCs w:val="18"/>
                <w:lang w:val="es-ES" w:eastAsia="es-ES"/>
              </w:rPr>
            </w:pPr>
            <w:r w:rsidRPr="0041674D">
              <w:rPr>
                <w:rFonts w:ascii="Arial Narrow" w:hAnsi="Arial Narrow"/>
                <w:sz w:val="18"/>
                <w:szCs w:val="18"/>
                <w:lang w:val="es-ES" w:eastAsia="es-ES"/>
              </w:rPr>
              <w:t>N</w:t>
            </w:r>
            <w:r w:rsidR="00DD21F4" w:rsidRPr="0041674D">
              <w:rPr>
                <w:rFonts w:ascii="Arial Narrow" w:hAnsi="Arial Narrow"/>
                <w:sz w:val="18"/>
                <w:szCs w:val="18"/>
                <w:lang w:val="es-ES" w:eastAsia="es-ES"/>
              </w:rPr>
              <w:t>úmero medio de trabajadores</w:t>
            </w:r>
          </w:p>
        </w:tc>
        <w:tc>
          <w:tcPr>
            <w:tcW w:w="1040" w:type="dxa"/>
            <w:tcBorders>
              <w:top w:val="single" w:sz="2" w:space="0" w:color="auto"/>
              <w:bottom w:val="single" w:sz="2" w:space="0" w:color="auto"/>
            </w:tcBorders>
            <w:shd w:val="clear" w:color="auto" w:fill="auto"/>
            <w:noWrap/>
            <w:vAlign w:val="center"/>
            <w:hideMark/>
          </w:tcPr>
          <w:p w:rsidR="0017115B" w:rsidRPr="0041674D" w:rsidRDefault="00C32493" w:rsidP="00C32493">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1.283</w:t>
            </w:r>
          </w:p>
        </w:tc>
        <w:tc>
          <w:tcPr>
            <w:tcW w:w="1120" w:type="dxa"/>
            <w:tcBorders>
              <w:top w:val="single" w:sz="2" w:space="0" w:color="auto"/>
              <w:bottom w:val="single" w:sz="2" w:space="0" w:color="auto"/>
            </w:tcBorders>
            <w:shd w:val="clear" w:color="auto" w:fill="auto"/>
            <w:noWrap/>
            <w:vAlign w:val="center"/>
            <w:hideMark/>
          </w:tcPr>
          <w:p w:rsidR="0017115B" w:rsidRPr="0041674D" w:rsidRDefault="0047317F" w:rsidP="0056162A">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1.</w:t>
            </w:r>
            <w:r w:rsidR="0056162A" w:rsidRPr="0041674D">
              <w:rPr>
                <w:rFonts w:ascii="Arial Narrow" w:hAnsi="Arial Narrow"/>
                <w:sz w:val="18"/>
                <w:szCs w:val="18"/>
                <w:lang w:val="es-ES" w:eastAsia="es-ES"/>
              </w:rPr>
              <w:t>04</w:t>
            </w:r>
            <w:r w:rsidR="00C32493" w:rsidRPr="0041674D">
              <w:rPr>
                <w:rFonts w:ascii="Arial Narrow" w:hAnsi="Arial Narrow"/>
                <w:sz w:val="18"/>
                <w:szCs w:val="18"/>
                <w:lang w:val="es-ES" w:eastAsia="es-ES"/>
              </w:rPr>
              <w:t>6</w:t>
            </w:r>
          </w:p>
        </w:tc>
        <w:tc>
          <w:tcPr>
            <w:tcW w:w="1105" w:type="dxa"/>
            <w:tcBorders>
              <w:top w:val="single" w:sz="2" w:space="0" w:color="auto"/>
              <w:bottom w:val="single" w:sz="2" w:space="0" w:color="auto"/>
            </w:tcBorders>
            <w:shd w:val="clear" w:color="auto" w:fill="auto"/>
            <w:vAlign w:val="center"/>
            <w:hideMark/>
          </w:tcPr>
          <w:p w:rsidR="0017115B" w:rsidRPr="0041674D" w:rsidRDefault="0017115B" w:rsidP="00C32493">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w:t>
            </w:r>
            <w:r w:rsidR="00C32493" w:rsidRPr="0041674D">
              <w:rPr>
                <w:rFonts w:ascii="Arial Narrow" w:hAnsi="Arial Narrow"/>
                <w:sz w:val="18"/>
                <w:szCs w:val="18"/>
                <w:lang w:val="es-ES" w:eastAsia="es-ES"/>
              </w:rPr>
              <w:t>237</w:t>
            </w:r>
          </w:p>
        </w:tc>
        <w:tc>
          <w:tcPr>
            <w:tcW w:w="1200" w:type="dxa"/>
            <w:tcBorders>
              <w:top w:val="single" w:sz="2" w:space="0" w:color="auto"/>
              <w:bottom w:val="single" w:sz="2" w:space="0" w:color="auto"/>
            </w:tcBorders>
            <w:shd w:val="clear" w:color="auto" w:fill="auto"/>
            <w:vAlign w:val="center"/>
            <w:hideMark/>
          </w:tcPr>
          <w:p w:rsidR="0017115B" w:rsidRPr="0041674D" w:rsidRDefault="0047317F" w:rsidP="00C32493">
            <w:pPr>
              <w:spacing w:after="0"/>
              <w:ind w:firstLine="0"/>
              <w:jc w:val="right"/>
              <w:rPr>
                <w:rFonts w:ascii="Arial Narrow" w:hAnsi="Arial Narrow"/>
                <w:sz w:val="18"/>
                <w:szCs w:val="18"/>
                <w:lang w:val="es-ES" w:eastAsia="es-ES"/>
              </w:rPr>
            </w:pPr>
            <w:r w:rsidRPr="0041674D">
              <w:rPr>
                <w:rFonts w:ascii="Arial Narrow" w:hAnsi="Arial Narrow"/>
                <w:sz w:val="18"/>
                <w:szCs w:val="18"/>
                <w:lang w:val="es-ES" w:eastAsia="es-ES"/>
              </w:rPr>
              <w:t>-</w:t>
            </w:r>
            <w:r w:rsidR="0056162A" w:rsidRPr="0041674D">
              <w:rPr>
                <w:rFonts w:ascii="Arial Narrow" w:hAnsi="Arial Narrow"/>
                <w:sz w:val="18"/>
                <w:szCs w:val="18"/>
                <w:lang w:val="es-ES" w:eastAsia="es-ES"/>
              </w:rPr>
              <w:t>1</w:t>
            </w:r>
            <w:r w:rsidR="00C32493" w:rsidRPr="0041674D">
              <w:rPr>
                <w:rFonts w:ascii="Arial Narrow" w:hAnsi="Arial Narrow"/>
                <w:sz w:val="18"/>
                <w:szCs w:val="18"/>
                <w:lang w:val="es-ES" w:eastAsia="es-ES"/>
              </w:rPr>
              <w:t>8</w:t>
            </w:r>
          </w:p>
        </w:tc>
      </w:tr>
    </w:tbl>
    <w:p w:rsidR="0017115B" w:rsidRDefault="0017115B" w:rsidP="00374B34">
      <w:pPr>
        <w:pStyle w:val="texto"/>
        <w:numPr>
          <w:ilvl w:val="0"/>
          <w:numId w:val="24"/>
        </w:numPr>
        <w:spacing w:before="300"/>
        <w:ind w:left="1003" w:hanging="357"/>
        <w:rPr>
          <w:lang w:val="es-ES"/>
        </w:rPr>
      </w:pPr>
      <w:r w:rsidRPr="00DD21F4">
        <w:rPr>
          <w:lang w:val="es-ES"/>
        </w:rPr>
        <w:t xml:space="preserve">Proceso de reducción de </w:t>
      </w:r>
      <w:r w:rsidR="00D74699">
        <w:rPr>
          <w:lang w:val="es-ES"/>
        </w:rPr>
        <w:t xml:space="preserve">costes de personal y operativos </w:t>
      </w:r>
    </w:p>
    <w:p w:rsidR="002E30FE" w:rsidRPr="002E30FE" w:rsidRDefault="00ED5C9A" w:rsidP="00ED5C9A">
      <w:pPr>
        <w:pStyle w:val="texto"/>
        <w:spacing w:after="100"/>
        <w:ind w:left="3164"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A94873">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72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2"/>
        <w:gridCol w:w="1034"/>
        <w:gridCol w:w="686"/>
        <w:gridCol w:w="700"/>
        <w:gridCol w:w="1497"/>
        <w:gridCol w:w="1400"/>
      </w:tblGrid>
      <w:tr w:rsidR="00DD21F4" w:rsidRPr="00E70EC9" w:rsidTr="002B0D33">
        <w:trPr>
          <w:trHeight w:val="312"/>
          <w:jc w:val="center"/>
        </w:trPr>
        <w:tc>
          <w:tcPr>
            <w:tcW w:w="3412" w:type="dxa"/>
            <w:shd w:val="clear" w:color="000000" w:fill="8DB4E2"/>
            <w:noWrap/>
            <w:vAlign w:val="center"/>
            <w:hideMark/>
          </w:tcPr>
          <w:p w:rsidR="00DD21F4" w:rsidRPr="00E70EC9" w:rsidRDefault="00DD21F4" w:rsidP="00DD21F4">
            <w:pPr>
              <w:spacing w:after="0"/>
              <w:ind w:firstLine="0"/>
              <w:jc w:val="left"/>
              <w:rPr>
                <w:rFonts w:ascii="Arial" w:hAnsi="Arial" w:cs="Arial"/>
                <w:sz w:val="17"/>
                <w:szCs w:val="17"/>
                <w:lang w:val="es-ES" w:eastAsia="es-ES"/>
              </w:rPr>
            </w:pPr>
            <w:r w:rsidRPr="00E70EC9">
              <w:rPr>
                <w:rFonts w:ascii="Arial" w:hAnsi="Arial" w:cs="Arial"/>
                <w:sz w:val="17"/>
                <w:szCs w:val="17"/>
                <w:lang w:val="es-ES" w:eastAsia="es-ES"/>
              </w:rPr>
              <w:t> </w:t>
            </w:r>
          </w:p>
        </w:tc>
        <w:tc>
          <w:tcPr>
            <w:tcW w:w="1034" w:type="dxa"/>
            <w:shd w:val="clear" w:color="000000" w:fill="8DB4E2"/>
            <w:noWrap/>
            <w:vAlign w:val="center"/>
            <w:hideMark/>
          </w:tcPr>
          <w:p w:rsidR="00DD21F4" w:rsidRPr="00E70EC9" w:rsidRDefault="00DD21F4" w:rsidP="00E70EC9">
            <w:pPr>
              <w:spacing w:after="0"/>
              <w:ind w:firstLine="0"/>
              <w:jc w:val="right"/>
              <w:rPr>
                <w:rFonts w:ascii="Arial" w:hAnsi="Arial" w:cs="Arial"/>
                <w:sz w:val="17"/>
                <w:szCs w:val="17"/>
                <w:lang w:val="es-ES" w:eastAsia="es-ES"/>
              </w:rPr>
            </w:pPr>
            <w:r w:rsidRPr="00E70EC9">
              <w:rPr>
                <w:rFonts w:ascii="Arial" w:hAnsi="Arial" w:cs="Arial"/>
                <w:sz w:val="17"/>
                <w:szCs w:val="17"/>
                <w:lang w:val="es-ES" w:eastAsia="es-ES"/>
              </w:rPr>
              <w:t>2011</w:t>
            </w:r>
          </w:p>
        </w:tc>
        <w:tc>
          <w:tcPr>
            <w:tcW w:w="686" w:type="dxa"/>
            <w:shd w:val="clear" w:color="000000" w:fill="8DB4E2"/>
            <w:noWrap/>
            <w:vAlign w:val="center"/>
            <w:hideMark/>
          </w:tcPr>
          <w:p w:rsidR="00DD21F4" w:rsidRPr="00E70EC9" w:rsidRDefault="00DD21F4" w:rsidP="00E70EC9">
            <w:pPr>
              <w:spacing w:after="0"/>
              <w:ind w:firstLine="0"/>
              <w:jc w:val="right"/>
              <w:rPr>
                <w:rFonts w:ascii="Arial" w:hAnsi="Arial" w:cs="Arial"/>
                <w:sz w:val="17"/>
                <w:szCs w:val="17"/>
                <w:lang w:val="es-ES" w:eastAsia="es-ES"/>
              </w:rPr>
            </w:pPr>
            <w:r w:rsidRPr="00E70EC9">
              <w:rPr>
                <w:rFonts w:ascii="Arial" w:hAnsi="Arial" w:cs="Arial"/>
                <w:sz w:val="17"/>
                <w:szCs w:val="17"/>
                <w:lang w:val="es-ES" w:eastAsia="es-ES"/>
              </w:rPr>
              <w:t>2012</w:t>
            </w:r>
          </w:p>
        </w:tc>
        <w:tc>
          <w:tcPr>
            <w:tcW w:w="700" w:type="dxa"/>
            <w:shd w:val="clear" w:color="000000" w:fill="8DB4E2"/>
            <w:noWrap/>
            <w:vAlign w:val="center"/>
            <w:hideMark/>
          </w:tcPr>
          <w:p w:rsidR="00DD21F4" w:rsidRPr="00E70EC9" w:rsidRDefault="00DD21F4" w:rsidP="00E70EC9">
            <w:pPr>
              <w:spacing w:after="0"/>
              <w:ind w:firstLine="0"/>
              <w:jc w:val="right"/>
              <w:rPr>
                <w:rFonts w:ascii="Arial" w:hAnsi="Arial" w:cs="Arial"/>
                <w:sz w:val="17"/>
                <w:szCs w:val="17"/>
                <w:lang w:val="es-ES" w:eastAsia="es-ES"/>
              </w:rPr>
            </w:pPr>
            <w:r w:rsidRPr="00E70EC9">
              <w:rPr>
                <w:rFonts w:ascii="Arial" w:hAnsi="Arial" w:cs="Arial"/>
                <w:sz w:val="17"/>
                <w:szCs w:val="17"/>
                <w:lang w:val="es-ES" w:eastAsia="es-ES"/>
              </w:rPr>
              <w:t xml:space="preserve">Total </w:t>
            </w:r>
          </w:p>
        </w:tc>
        <w:tc>
          <w:tcPr>
            <w:tcW w:w="1497" w:type="dxa"/>
            <w:shd w:val="clear" w:color="000000" w:fill="8DB4E2"/>
            <w:noWrap/>
            <w:vAlign w:val="center"/>
            <w:hideMark/>
          </w:tcPr>
          <w:p w:rsidR="00DD21F4" w:rsidRPr="00E70EC9" w:rsidRDefault="00DD21F4" w:rsidP="00E70EC9">
            <w:pPr>
              <w:spacing w:after="0"/>
              <w:ind w:firstLine="0"/>
              <w:jc w:val="right"/>
              <w:rPr>
                <w:rFonts w:ascii="Arial" w:hAnsi="Arial" w:cs="Arial"/>
                <w:sz w:val="17"/>
                <w:szCs w:val="17"/>
                <w:lang w:val="es-ES" w:eastAsia="es-ES"/>
              </w:rPr>
            </w:pPr>
            <w:r w:rsidRPr="00E70EC9">
              <w:rPr>
                <w:rFonts w:ascii="Arial" w:hAnsi="Arial" w:cs="Arial"/>
                <w:sz w:val="17"/>
                <w:szCs w:val="17"/>
                <w:lang w:val="es-ES" w:eastAsia="es-ES"/>
              </w:rPr>
              <w:t>Objetivo previsto</w:t>
            </w:r>
          </w:p>
        </w:tc>
        <w:tc>
          <w:tcPr>
            <w:tcW w:w="1400" w:type="dxa"/>
            <w:shd w:val="clear" w:color="000000" w:fill="8DB4E2"/>
            <w:noWrap/>
            <w:vAlign w:val="center"/>
            <w:hideMark/>
          </w:tcPr>
          <w:p w:rsidR="00DD21F4" w:rsidRPr="00E70EC9" w:rsidRDefault="00DD21F4" w:rsidP="0081353A">
            <w:pPr>
              <w:spacing w:after="0"/>
              <w:ind w:firstLine="0"/>
              <w:jc w:val="right"/>
              <w:rPr>
                <w:rFonts w:ascii="Arial" w:hAnsi="Arial" w:cs="Arial"/>
                <w:sz w:val="17"/>
                <w:szCs w:val="17"/>
                <w:lang w:val="es-ES" w:eastAsia="es-ES"/>
              </w:rPr>
            </w:pPr>
            <w:r w:rsidRPr="00E70EC9">
              <w:rPr>
                <w:rFonts w:ascii="Arial" w:hAnsi="Arial" w:cs="Arial"/>
                <w:sz w:val="17"/>
                <w:szCs w:val="17"/>
                <w:lang w:val="es-ES" w:eastAsia="es-ES"/>
              </w:rPr>
              <w:t xml:space="preserve">% </w:t>
            </w:r>
            <w:r w:rsidR="0081353A">
              <w:rPr>
                <w:rFonts w:ascii="Arial" w:hAnsi="Arial" w:cs="Arial"/>
                <w:sz w:val="17"/>
                <w:szCs w:val="17"/>
                <w:lang w:val="es-ES" w:eastAsia="es-ES"/>
              </w:rPr>
              <w:t>C</w:t>
            </w:r>
            <w:r w:rsidRPr="00E70EC9">
              <w:rPr>
                <w:rFonts w:ascii="Arial" w:hAnsi="Arial" w:cs="Arial"/>
                <w:sz w:val="17"/>
                <w:szCs w:val="17"/>
                <w:lang w:val="es-ES" w:eastAsia="es-ES"/>
              </w:rPr>
              <w:t>umplimiento</w:t>
            </w:r>
          </w:p>
        </w:tc>
      </w:tr>
      <w:tr w:rsidR="00DD21F4" w:rsidRPr="00E70EC9" w:rsidTr="002B0D33">
        <w:trPr>
          <w:trHeight w:val="255"/>
          <w:jc w:val="center"/>
        </w:trPr>
        <w:tc>
          <w:tcPr>
            <w:tcW w:w="3412" w:type="dxa"/>
            <w:shd w:val="clear" w:color="auto" w:fill="auto"/>
            <w:noWrap/>
            <w:vAlign w:val="center"/>
            <w:hideMark/>
          </w:tcPr>
          <w:p w:rsidR="00DD21F4" w:rsidRPr="00E70EC9" w:rsidRDefault="00DD21F4" w:rsidP="0046297B">
            <w:pPr>
              <w:spacing w:after="0"/>
              <w:ind w:firstLine="0"/>
              <w:jc w:val="left"/>
              <w:rPr>
                <w:rFonts w:ascii="Arial Narrow" w:hAnsi="Arial Narrow" w:cs="Tahoma"/>
                <w:sz w:val="18"/>
                <w:szCs w:val="18"/>
                <w:lang w:val="es-ES" w:eastAsia="es-ES"/>
              </w:rPr>
            </w:pPr>
            <w:r w:rsidRPr="00E70EC9">
              <w:rPr>
                <w:rFonts w:ascii="Arial Narrow" w:hAnsi="Arial Narrow" w:cs="Tahoma"/>
                <w:sz w:val="18"/>
                <w:szCs w:val="18"/>
                <w:lang w:val="es-ES" w:eastAsia="es-ES"/>
              </w:rPr>
              <w:t xml:space="preserve">Ahorros específicos </w:t>
            </w:r>
            <w:r w:rsidR="00C64C02">
              <w:rPr>
                <w:rFonts w:ascii="Arial Narrow" w:hAnsi="Arial Narrow" w:cs="Tahoma"/>
                <w:sz w:val="18"/>
                <w:szCs w:val="18"/>
                <w:lang w:val="es-ES" w:eastAsia="es-ES"/>
              </w:rPr>
              <w:t xml:space="preserve"> I </w:t>
            </w:r>
            <w:r w:rsidRPr="00E70EC9">
              <w:rPr>
                <w:rFonts w:ascii="Arial Narrow" w:hAnsi="Arial Narrow" w:cs="Tahoma"/>
                <w:sz w:val="18"/>
                <w:szCs w:val="18"/>
                <w:lang w:val="es-ES" w:eastAsia="es-ES"/>
              </w:rPr>
              <w:t>Plan</w:t>
            </w:r>
            <w:r w:rsidR="00C64C02">
              <w:rPr>
                <w:rFonts w:ascii="Arial Narrow" w:hAnsi="Arial Narrow" w:cs="Tahoma"/>
                <w:sz w:val="18"/>
                <w:szCs w:val="18"/>
                <w:lang w:val="es-ES" w:eastAsia="es-ES"/>
              </w:rPr>
              <w:t xml:space="preserve"> </w:t>
            </w:r>
            <w:r w:rsidRPr="00E70EC9">
              <w:rPr>
                <w:rFonts w:ascii="Arial Narrow" w:hAnsi="Arial Narrow" w:cs="Tahoma"/>
                <w:sz w:val="18"/>
                <w:szCs w:val="18"/>
                <w:lang w:val="es-ES" w:eastAsia="es-ES"/>
              </w:rPr>
              <w:t xml:space="preserve">de Reordenación </w:t>
            </w:r>
          </w:p>
        </w:tc>
        <w:tc>
          <w:tcPr>
            <w:tcW w:w="1034" w:type="dxa"/>
            <w:shd w:val="clear" w:color="auto" w:fill="auto"/>
            <w:noWrap/>
            <w:vAlign w:val="center"/>
            <w:hideMark/>
          </w:tcPr>
          <w:p w:rsidR="00DD21F4" w:rsidRPr="00E70EC9" w:rsidRDefault="00DD21F4" w:rsidP="00E70EC9">
            <w:pPr>
              <w:spacing w:after="0"/>
              <w:ind w:firstLine="0"/>
              <w:jc w:val="right"/>
              <w:rPr>
                <w:rFonts w:ascii="Arial Narrow" w:hAnsi="Arial Narrow" w:cs="Tahoma"/>
                <w:sz w:val="18"/>
                <w:szCs w:val="18"/>
                <w:lang w:val="es-ES" w:eastAsia="es-ES"/>
              </w:rPr>
            </w:pPr>
            <w:r w:rsidRPr="00E70EC9">
              <w:rPr>
                <w:rFonts w:ascii="Arial Narrow" w:hAnsi="Arial Narrow" w:cs="Tahoma"/>
                <w:sz w:val="18"/>
                <w:szCs w:val="18"/>
                <w:lang w:val="es-ES" w:eastAsia="es-ES"/>
              </w:rPr>
              <w:t>5.714</w:t>
            </w:r>
          </w:p>
        </w:tc>
        <w:tc>
          <w:tcPr>
            <w:tcW w:w="686" w:type="dxa"/>
            <w:shd w:val="clear" w:color="auto" w:fill="auto"/>
            <w:noWrap/>
            <w:vAlign w:val="center"/>
            <w:hideMark/>
          </w:tcPr>
          <w:p w:rsidR="00DD21F4" w:rsidRPr="00E70EC9" w:rsidRDefault="00DD21F4" w:rsidP="00E70EC9">
            <w:pPr>
              <w:spacing w:after="0"/>
              <w:ind w:firstLine="0"/>
              <w:jc w:val="right"/>
              <w:rPr>
                <w:rFonts w:ascii="Arial Narrow" w:hAnsi="Arial Narrow" w:cs="Tahoma"/>
                <w:sz w:val="18"/>
                <w:szCs w:val="18"/>
                <w:lang w:val="es-ES" w:eastAsia="es-ES"/>
              </w:rPr>
            </w:pPr>
            <w:r w:rsidRPr="00E70EC9">
              <w:rPr>
                <w:rFonts w:ascii="Arial Narrow" w:hAnsi="Arial Narrow" w:cs="Tahoma"/>
                <w:sz w:val="18"/>
                <w:szCs w:val="18"/>
                <w:lang w:val="es-ES" w:eastAsia="es-ES"/>
              </w:rPr>
              <w:t>10.723</w:t>
            </w:r>
          </w:p>
        </w:tc>
        <w:tc>
          <w:tcPr>
            <w:tcW w:w="700" w:type="dxa"/>
            <w:shd w:val="clear" w:color="auto" w:fill="auto"/>
            <w:noWrap/>
            <w:vAlign w:val="center"/>
            <w:hideMark/>
          </w:tcPr>
          <w:p w:rsidR="00DD21F4" w:rsidRPr="00E70EC9" w:rsidRDefault="00DD21F4" w:rsidP="00E70EC9">
            <w:pPr>
              <w:spacing w:after="0"/>
              <w:ind w:firstLine="0"/>
              <w:jc w:val="right"/>
              <w:rPr>
                <w:rFonts w:ascii="Arial Narrow" w:hAnsi="Arial Narrow" w:cs="Tahoma"/>
                <w:sz w:val="18"/>
                <w:szCs w:val="18"/>
                <w:lang w:val="es-ES" w:eastAsia="es-ES"/>
              </w:rPr>
            </w:pPr>
            <w:r w:rsidRPr="00E70EC9">
              <w:rPr>
                <w:rFonts w:ascii="Arial Narrow" w:hAnsi="Arial Narrow" w:cs="Tahoma"/>
                <w:sz w:val="18"/>
                <w:szCs w:val="18"/>
                <w:lang w:val="es-ES" w:eastAsia="es-ES"/>
              </w:rPr>
              <w:t>16.437</w:t>
            </w:r>
          </w:p>
        </w:tc>
        <w:tc>
          <w:tcPr>
            <w:tcW w:w="1497" w:type="dxa"/>
            <w:shd w:val="clear" w:color="auto" w:fill="auto"/>
            <w:noWrap/>
            <w:vAlign w:val="center"/>
            <w:hideMark/>
          </w:tcPr>
          <w:p w:rsidR="00DD21F4" w:rsidRPr="00E70EC9" w:rsidRDefault="00DD21F4" w:rsidP="00E70EC9">
            <w:pPr>
              <w:spacing w:after="0"/>
              <w:ind w:firstLine="0"/>
              <w:jc w:val="right"/>
              <w:rPr>
                <w:rFonts w:ascii="Arial Narrow" w:hAnsi="Arial Narrow" w:cs="Tahoma"/>
                <w:sz w:val="18"/>
                <w:szCs w:val="18"/>
                <w:lang w:val="es-ES" w:eastAsia="es-ES"/>
              </w:rPr>
            </w:pPr>
            <w:r w:rsidRPr="00E70EC9">
              <w:rPr>
                <w:rFonts w:ascii="Arial Narrow" w:hAnsi="Arial Narrow" w:cs="Tahoma"/>
                <w:sz w:val="18"/>
                <w:szCs w:val="18"/>
                <w:lang w:val="es-ES" w:eastAsia="es-ES"/>
              </w:rPr>
              <w:t>27.879</w:t>
            </w:r>
          </w:p>
        </w:tc>
        <w:tc>
          <w:tcPr>
            <w:tcW w:w="1400" w:type="dxa"/>
            <w:shd w:val="clear" w:color="auto" w:fill="auto"/>
            <w:noWrap/>
            <w:vAlign w:val="center"/>
            <w:hideMark/>
          </w:tcPr>
          <w:p w:rsidR="00DD21F4" w:rsidRPr="00E70EC9" w:rsidRDefault="00DD21F4" w:rsidP="0046297B">
            <w:pPr>
              <w:spacing w:after="0"/>
              <w:ind w:firstLine="0"/>
              <w:jc w:val="right"/>
              <w:rPr>
                <w:rFonts w:ascii="Arial Narrow" w:hAnsi="Arial Narrow" w:cs="Tahoma"/>
                <w:sz w:val="18"/>
                <w:szCs w:val="18"/>
                <w:lang w:val="es-ES" w:eastAsia="es-ES"/>
              </w:rPr>
            </w:pPr>
            <w:r w:rsidRPr="00E70EC9">
              <w:rPr>
                <w:rFonts w:ascii="Arial Narrow" w:hAnsi="Arial Narrow" w:cs="Tahoma"/>
                <w:sz w:val="18"/>
                <w:szCs w:val="18"/>
                <w:lang w:val="es-ES" w:eastAsia="es-ES"/>
              </w:rPr>
              <w:t>59</w:t>
            </w:r>
          </w:p>
        </w:tc>
      </w:tr>
    </w:tbl>
    <w:p w:rsidR="00934679" w:rsidRPr="00FC093C" w:rsidRDefault="00934679" w:rsidP="00D4035E">
      <w:pPr>
        <w:pStyle w:val="atitulo3"/>
        <w:spacing w:before="280" w:after="200"/>
        <w:rPr>
          <w:rFonts w:cs="Arial"/>
        </w:rPr>
      </w:pPr>
      <w:r>
        <w:rPr>
          <w:rFonts w:cs="Arial"/>
        </w:rPr>
        <w:lastRenderedPageBreak/>
        <w:t xml:space="preserve">V.4.2.2. Segundo </w:t>
      </w:r>
      <w:r w:rsidRPr="00FC093C">
        <w:rPr>
          <w:rFonts w:cs="Arial"/>
        </w:rPr>
        <w:t xml:space="preserve">Plan de Ordenación y Reestructuración del </w:t>
      </w:r>
      <w:r w:rsidR="001B343F" w:rsidRPr="00FC093C">
        <w:rPr>
          <w:rFonts w:cs="Arial"/>
        </w:rPr>
        <w:t>sector p</w:t>
      </w:r>
      <w:r w:rsidR="001B343F" w:rsidRPr="00FC093C">
        <w:rPr>
          <w:rFonts w:cs="Arial"/>
        </w:rPr>
        <w:t>ú</w:t>
      </w:r>
      <w:r w:rsidR="001B343F" w:rsidRPr="00FC093C">
        <w:rPr>
          <w:rFonts w:cs="Arial"/>
        </w:rPr>
        <w:t xml:space="preserve">blico empresarial </w:t>
      </w:r>
    </w:p>
    <w:p w:rsidR="00206D5E" w:rsidRDefault="00D74699" w:rsidP="006E3417">
      <w:pPr>
        <w:pStyle w:val="texto"/>
        <w:tabs>
          <w:tab w:val="clear" w:pos="2835"/>
          <w:tab w:val="clear" w:pos="3969"/>
          <w:tab w:val="clear" w:pos="5103"/>
          <w:tab w:val="clear" w:pos="6237"/>
          <w:tab w:val="clear" w:pos="7371"/>
        </w:tabs>
        <w:spacing w:after="260" w:line="240" w:lineRule="atLeast"/>
        <w:rPr>
          <w:szCs w:val="26"/>
        </w:rPr>
      </w:pPr>
      <w:r>
        <w:rPr>
          <w:szCs w:val="26"/>
        </w:rPr>
        <w:t>Los objetivos previstos se agrupan en cinc</w:t>
      </w:r>
      <w:r w:rsidR="00DD22D2">
        <w:rPr>
          <w:szCs w:val="26"/>
        </w:rPr>
        <w:t>o pilares, en los que se han pr</w:t>
      </w:r>
      <w:r w:rsidR="00DD22D2">
        <w:rPr>
          <w:szCs w:val="26"/>
        </w:rPr>
        <w:t>e</w:t>
      </w:r>
      <w:r w:rsidR="00DD22D2">
        <w:rPr>
          <w:szCs w:val="26"/>
        </w:rPr>
        <w:t xml:space="preserve">visto distintas medidas para su consecución. El resultado de las verificaciones realizadas es el siguiente: </w:t>
      </w:r>
    </w:p>
    <w:tbl>
      <w:tblPr>
        <w:tblW w:w="8716" w:type="dxa"/>
        <w:jc w:val="center"/>
        <w:tblCellMar>
          <w:left w:w="70" w:type="dxa"/>
          <w:right w:w="70" w:type="dxa"/>
        </w:tblCellMar>
        <w:tblLook w:val="04A0" w:firstRow="1" w:lastRow="0" w:firstColumn="1" w:lastColumn="0" w:noHBand="0" w:noVBand="1"/>
      </w:tblPr>
      <w:tblGrid>
        <w:gridCol w:w="1840"/>
        <w:gridCol w:w="5189"/>
        <w:gridCol w:w="1687"/>
      </w:tblGrid>
      <w:tr w:rsidR="00FC5CFB" w:rsidRPr="00DD22D2" w:rsidTr="00991CC0">
        <w:trPr>
          <w:trHeight w:val="284"/>
          <w:jc w:val="center"/>
        </w:trPr>
        <w:tc>
          <w:tcPr>
            <w:tcW w:w="1840" w:type="dxa"/>
            <w:tcBorders>
              <w:top w:val="single" w:sz="4" w:space="0" w:color="auto"/>
              <w:left w:val="nil"/>
              <w:bottom w:val="single" w:sz="2" w:space="0" w:color="auto"/>
              <w:right w:val="nil"/>
            </w:tcBorders>
            <w:shd w:val="clear" w:color="auto" w:fill="8DB3E2" w:themeFill="text2" w:themeFillTint="66"/>
            <w:noWrap/>
            <w:vAlign w:val="center"/>
          </w:tcPr>
          <w:p w:rsidR="00FC5CFB" w:rsidRPr="00206D5E" w:rsidRDefault="00FC5CFB" w:rsidP="00B20E58">
            <w:pPr>
              <w:spacing w:after="0"/>
              <w:ind w:firstLine="0"/>
              <w:jc w:val="left"/>
              <w:rPr>
                <w:rFonts w:ascii="Arial" w:hAnsi="Arial" w:cs="Arial"/>
                <w:color w:val="333333"/>
                <w:sz w:val="15"/>
                <w:szCs w:val="15"/>
                <w:lang w:val="es-ES" w:eastAsia="es-ES"/>
              </w:rPr>
            </w:pPr>
            <w:r w:rsidRPr="00206D5E">
              <w:rPr>
                <w:rFonts w:ascii="Arial" w:hAnsi="Arial" w:cs="Arial"/>
                <w:color w:val="333333"/>
                <w:sz w:val="15"/>
                <w:szCs w:val="15"/>
                <w:lang w:val="es-ES" w:eastAsia="es-ES"/>
              </w:rPr>
              <w:t>Pilar 1</w:t>
            </w:r>
          </w:p>
        </w:tc>
        <w:tc>
          <w:tcPr>
            <w:tcW w:w="5189" w:type="dxa"/>
            <w:tcBorders>
              <w:top w:val="single" w:sz="4" w:space="0" w:color="auto"/>
              <w:left w:val="nil"/>
              <w:bottom w:val="single" w:sz="2" w:space="0" w:color="auto"/>
              <w:right w:val="nil"/>
            </w:tcBorders>
            <w:shd w:val="clear" w:color="auto" w:fill="8DB3E2" w:themeFill="text2" w:themeFillTint="66"/>
            <w:noWrap/>
            <w:vAlign w:val="center"/>
          </w:tcPr>
          <w:p w:rsidR="00FC5CFB" w:rsidRPr="00DD22D2" w:rsidRDefault="00FC5CFB" w:rsidP="00D968EF">
            <w:pPr>
              <w:spacing w:after="0"/>
              <w:ind w:firstLine="0"/>
              <w:jc w:val="left"/>
              <w:rPr>
                <w:rFonts w:ascii="Arial Narrow" w:hAnsi="Arial Narrow"/>
                <w:color w:val="000000"/>
                <w:sz w:val="16"/>
                <w:szCs w:val="16"/>
                <w:lang w:val="es-ES" w:eastAsia="es-ES"/>
              </w:rPr>
            </w:pPr>
            <w:r w:rsidRPr="00206D5E">
              <w:rPr>
                <w:rFonts w:ascii="Arial" w:hAnsi="Arial" w:cs="Arial"/>
                <w:color w:val="333333"/>
                <w:sz w:val="15"/>
                <w:szCs w:val="15"/>
                <w:lang w:val="es-ES" w:eastAsia="es-ES"/>
              </w:rPr>
              <w:t>Reestructurar para generar valor y mejorar EBITDA  (Beneficio antes de intereses</w:t>
            </w:r>
            <w:r w:rsidR="00D968EF">
              <w:rPr>
                <w:rFonts w:ascii="Arial" w:hAnsi="Arial" w:cs="Arial"/>
                <w:color w:val="333333"/>
                <w:sz w:val="15"/>
                <w:szCs w:val="15"/>
                <w:lang w:val="es-ES" w:eastAsia="es-ES"/>
              </w:rPr>
              <w:t>, depreciación, amortización</w:t>
            </w:r>
            <w:r w:rsidRPr="00206D5E">
              <w:rPr>
                <w:rFonts w:ascii="Arial" w:hAnsi="Arial" w:cs="Arial"/>
                <w:color w:val="333333"/>
                <w:sz w:val="15"/>
                <w:szCs w:val="15"/>
                <w:lang w:val="es-ES" w:eastAsia="es-ES"/>
              </w:rPr>
              <w:t xml:space="preserve"> e impuestos)</w:t>
            </w:r>
          </w:p>
        </w:tc>
        <w:tc>
          <w:tcPr>
            <w:tcW w:w="1687" w:type="dxa"/>
            <w:tcBorders>
              <w:top w:val="single" w:sz="4" w:space="0" w:color="auto"/>
              <w:left w:val="nil"/>
              <w:bottom w:val="single" w:sz="2" w:space="0" w:color="auto"/>
              <w:right w:val="nil"/>
            </w:tcBorders>
            <w:shd w:val="clear" w:color="auto" w:fill="8DB3E2" w:themeFill="text2" w:themeFillTint="66"/>
            <w:vAlign w:val="center"/>
          </w:tcPr>
          <w:p w:rsidR="00FC5CFB" w:rsidRPr="00DD22D2" w:rsidRDefault="00AE2D97" w:rsidP="00DD22D2">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Implantación medida</w:t>
            </w:r>
          </w:p>
        </w:tc>
      </w:tr>
      <w:tr w:rsidR="00FC5CFB" w:rsidRPr="00DD22D2" w:rsidTr="00991CC0">
        <w:trPr>
          <w:trHeight w:val="255"/>
          <w:jc w:val="center"/>
        </w:trPr>
        <w:tc>
          <w:tcPr>
            <w:tcW w:w="1840" w:type="dxa"/>
            <w:tcBorders>
              <w:top w:val="single" w:sz="4"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Empresarial</w:t>
            </w:r>
          </w:p>
        </w:tc>
        <w:tc>
          <w:tcPr>
            <w:tcW w:w="5189" w:type="dxa"/>
            <w:tcBorders>
              <w:top w:val="single" w:sz="4"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Integración de SODENA y CEIN bajo una misma unidad de gestión</w:t>
            </w:r>
          </w:p>
        </w:tc>
        <w:tc>
          <w:tcPr>
            <w:tcW w:w="1687" w:type="dxa"/>
            <w:tcBorders>
              <w:top w:val="single" w:sz="4" w:space="0" w:color="auto"/>
              <w:left w:val="nil"/>
              <w:bottom w:val="single" w:sz="2"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Primario</w:t>
            </w:r>
          </w:p>
        </w:tc>
        <w:tc>
          <w:tcPr>
            <w:tcW w:w="5189"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A través de INTIA</w:t>
            </w:r>
          </w:p>
        </w:tc>
        <w:tc>
          <w:tcPr>
            <w:tcW w:w="1687" w:type="dxa"/>
            <w:tcBorders>
              <w:top w:val="single" w:sz="2" w:space="0" w:color="auto"/>
              <w:left w:val="nil"/>
              <w:bottom w:val="single" w:sz="2" w:space="0" w:color="auto"/>
              <w:right w:val="nil"/>
            </w:tcBorders>
            <w:shd w:val="clear" w:color="auto" w:fill="auto"/>
            <w:vAlign w:val="center"/>
          </w:tcPr>
          <w:p w:rsidR="00FC5CFB" w:rsidRPr="00DD22D2" w:rsidRDefault="00FC5CFB" w:rsidP="00DD22D2">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Medioambiental</w:t>
            </w:r>
          </w:p>
        </w:tc>
        <w:tc>
          <w:tcPr>
            <w:tcW w:w="5189" w:type="dxa"/>
            <w:tcBorders>
              <w:top w:val="single" w:sz="2" w:space="0" w:color="auto"/>
              <w:left w:val="nil"/>
              <w:bottom w:val="single" w:sz="2" w:space="0" w:color="auto"/>
              <w:right w:val="nil"/>
            </w:tcBorders>
            <w:shd w:val="clear" w:color="auto" w:fill="auto"/>
            <w:noWrap/>
            <w:vAlign w:val="center"/>
            <w:hideMark/>
          </w:tcPr>
          <w:p w:rsidR="00FC5CFB" w:rsidRPr="00DD22D2" w:rsidRDefault="00102BB7" w:rsidP="00102BB7">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Integración </w:t>
            </w:r>
            <w:r w:rsidR="00FC5CFB" w:rsidRPr="00DD22D2">
              <w:rPr>
                <w:rFonts w:ascii="Arial Narrow" w:hAnsi="Arial Narrow"/>
                <w:color w:val="000000"/>
                <w:sz w:val="16"/>
                <w:szCs w:val="16"/>
                <w:lang w:val="es-ES" w:eastAsia="es-ES"/>
              </w:rPr>
              <w:t>NILSA y GAN</w:t>
            </w:r>
            <w:r>
              <w:rPr>
                <w:rFonts w:ascii="Arial Narrow" w:hAnsi="Arial Narrow"/>
                <w:color w:val="000000"/>
                <w:sz w:val="16"/>
                <w:szCs w:val="16"/>
                <w:lang w:val="es-ES" w:eastAsia="es-ES"/>
              </w:rPr>
              <w:t xml:space="preserve"> bajo una misma unidad de gestión</w:t>
            </w:r>
          </w:p>
        </w:tc>
        <w:tc>
          <w:tcPr>
            <w:tcW w:w="1687" w:type="dxa"/>
            <w:tcBorders>
              <w:top w:val="single" w:sz="2" w:space="0" w:color="auto"/>
              <w:left w:val="nil"/>
              <w:bottom w:val="single" w:sz="2" w:space="0" w:color="auto"/>
              <w:right w:val="nil"/>
            </w:tcBorders>
            <w:shd w:val="clear" w:color="auto" w:fill="auto"/>
            <w:vAlign w:val="center"/>
          </w:tcPr>
          <w:p w:rsidR="00FC5CFB" w:rsidRPr="00DD22D2" w:rsidRDefault="00102BB7" w:rsidP="001D14DC">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de activos inmobili</w:t>
            </w:r>
            <w:r w:rsidRPr="00DD22D2">
              <w:rPr>
                <w:rFonts w:ascii="Arial Narrow" w:hAnsi="Arial Narrow"/>
                <w:color w:val="000000"/>
                <w:sz w:val="16"/>
                <w:szCs w:val="16"/>
                <w:lang w:val="es-ES" w:eastAsia="es-ES"/>
              </w:rPr>
              <w:t>a</w:t>
            </w:r>
            <w:r w:rsidRPr="00DD22D2">
              <w:rPr>
                <w:rFonts w:ascii="Arial Narrow" w:hAnsi="Arial Narrow"/>
                <w:color w:val="000000"/>
                <w:sz w:val="16"/>
                <w:szCs w:val="16"/>
                <w:lang w:val="es-ES" w:eastAsia="es-ES"/>
              </w:rPr>
              <w:t>rios y políticas de vivienda</w:t>
            </w:r>
          </w:p>
        </w:tc>
        <w:tc>
          <w:tcPr>
            <w:tcW w:w="5189"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Fusión de NASUVINSA y ANL</w:t>
            </w:r>
          </w:p>
        </w:tc>
        <w:tc>
          <w:tcPr>
            <w:tcW w:w="1687" w:type="dxa"/>
            <w:tcBorders>
              <w:top w:val="single" w:sz="2" w:space="0" w:color="auto"/>
              <w:left w:val="nil"/>
              <w:bottom w:val="single" w:sz="2"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de ocio y cultura</w:t>
            </w:r>
          </w:p>
        </w:tc>
        <w:tc>
          <w:tcPr>
            <w:tcW w:w="5189"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Fusión de NDO y ENECSA</w:t>
            </w:r>
          </w:p>
        </w:tc>
        <w:tc>
          <w:tcPr>
            <w:tcW w:w="1687" w:type="dxa"/>
            <w:tcBorders>
              <w:top w:val="single" w:sz="2" w:space="0" w:color="auto"/>
              <w:left w:val="nil"/>
              <w:bottom w:val="single" w:sz="2"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Sector tecnológico</w:t>
            </w:r>
          </w:p>
        </w:tc>
        <w:tc>
          <w:tcPr>
            <w:tcW w:w="5189" w:type="dxa"/>
            <w:tcBorders>
              <w:top w:val="single" w:sz="2"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Se realizará por las empresas TRACASA y NASERTIC que mantienen su estructura diferenciada</w:t>
            </w:r>
          </w:p>
        </w:tc>
        <w:tc>
          <w:tcPr>
            <w:tcW w:w="1687" w:type="dxa"/>
            <w:tcBorders>
              <w:top w:val="single" w:sz="2" w:space="0" w:color="auto"/>
              <w:left w:val="nil"/>
              <w:bottom w:val="single" w:sz="2"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4"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r w:rsidRPr="00DD22D2">
              <w:rPr>
                <w:color w:val="000000"/>
                <w:lang w:val="es-ES" w:eastAsia="es-ES"/>
              </w:rPr>
              <w:t> </w:t>
            </w:r>
          </w:p>
        </w:tc>
        <w:tc>
          <w:tcPr>
            <w:tcW w:w="5189" w:type="dxa"/>
            <w:tcBorders>
              <w:top w:val="single" w:sz="2" w:space="0" w:color="auto"/>
              <w:left w:val="nil"/>
              <w:bottom w:val="single" w:sz="4" w:space="0" w:color="auto"/>
              <w:right w:val="nil"/>
            </w:tcBorders>
            <w:shd w:val="clear" w:color="auto" w:fill="auto"/>
            <w:noWrap/>
            <w:vAlign w:val="center"/>
            <w:hideMark/>
          </w:tcPr>
          <w:p w:rsidR="00FC5CFB" w:rsidRPr="00DD22D2" w:rsidRDefault="00FC5CFB" w:rsidP="00207099">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Externalizaci</w:t>
            </w:r>
            <w:r>
              <w:rPr>
                <w:rFonts w:ascii="Arial Narrow" w:hAnsi="Arial Narrow"/>
                <w:color w:val="000000"/>
                <w:sz w:val="16"/>
                <w:szCs w:val="16"/>
                <w:lang w:val="es-ES" w:eastAsia="es-ES"/>
              </w:rPr>
              <w:t xml:space="preserve">ón de la gestión del Circuito de </w:t>
            </w:r>
            <w:r w:rsidRPr="00DD22D2">
              <w:rPr>
                <w:rFonts w:ascii="Arial Narrow" w:hAnsi="Arial Narrow"/>
                <w:color w:val="000000"/>
                <w:sz w:val="16"/>
                <w:szCs w:val="16"/>
                <w:lang w:val="es-ES" w:eastAsia="es-ES"/>
              </w:rPr>
              <w:t xml:space="preserve"> </w:t>
            </w:r>
            <w:r>
              <w:rPr>
                <w:rFonts w:ascii="Arial Narrow" w:hAnsi="Arial Narrow"/>
                <w:color w:val="000000"/>
                <w:sz w:val="16"/>
                <w:szCs w:val="16"/>
                <w:lang w:val="es-ES" w:eastAsia="es-ES"/>
              </w:rPr>
              <w:t>Los Arcos</w:t>
            </w:r>
          </w:p>
        </w:tc>
        <w:tc>
          <w:tcPr>
            <w:tcW w:w="1687" w:type="dxa"/>
            <w:tcBorders>
              <w:top w:val="single" w:sz="2" w:space="0" w:color="auto"/>
              <w:left w:val="nil"/>
              <w:bottom w:val="single" w:sz="4"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595FBB" w:rsidTr="00991CC0">
        <w:trPr>
          <w:trHeight w:val="315"/>
          <w:jc w:val="center"/>
        </w:trPr>
        <w:tc>
          <w:tcPr>
            <w:tcW w:w="1840"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Pilar 2</w:t>
            </w:r>
          </w:p>
        </w:tc>
        <w:tc>
          <w:tcPr>
            <w:tcW w:w="5189"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Mejorar EBITDA optimizando la gestión de los costes operativos</w:t>
            </w:r>
          </w:p>
        </w:tc>
        <w:tc>
          <w:tcPr>
            <w:tcW w:w="1687" w:type="dxa"/>
            <w:tcBorders>
              <w:top w:val="single" w:sz="4" w:space="0" w:color="auto"/>
              <w:left w:val="nil"/>
              <w:bottom w:val="single" w:sz="4" w:space="0" w:color="auto"/>
              <w:right w:val="nil"/>
            </w:tcBorders>
            <w:shd w:val="clear" w:color="000000" w:fill="8DB4E2"/>
            <w:vAlign w:val="center"/>
            <w:hideMark/>
          </w:tcPr>
          <w:p w:rsidR="00FC5CFB" w:rsidRPr="00595FBB" w:rsidRDefault="00FC5CFB" w:rsidP="00DD22D2">
            <w:pPr>
              <w:spacing w:after="0"/>
              <w:ind w:firstLine="0"/>
              <w:jc w:val="center"/>
              <w:rPr>
                <w:rFonts w:ascii="Arial Narrow" w:hAnsi="Arial Narrow"/>
                <w:color w:val="000000"/>
                <w:sz w:val="15"/>
                <w:szCs w:val="15"/>
                <w:lang w:val="es-ES" w:eastAsia="es-ES"/>
              </w:rPr>
            </w:pPr>
            <w:r w:rsidRPr="00595FBB">
              <w:rPr>
                <w:rFonts w:ascii="Arial Narrow" w:hAnsi="Arial Narrow"/>
                <w:color w:val="000000"/>
                <w:sz w:val="15"/>
                <w:szCs w:val="15"/>
                <w:lang w:val="es-ES" w:eastAsia="es-ES"/>
              </w:rPr>
              <w:t> </w:t>
            </w:r>
          </w:p>
        </w:tc>
      </w:tr>
      <w:tr w:rsidR="00FC5CFB" w:rsidRPr="00DD22D2" w:rsidTr="00991CC0">
        <w:trPr>
          <w:trHeight w:val="255"/>
          <w:jc w:val="center"/>
        </w:trPr>
        <w:tc>
          <w:tcPr>
            <w:tcW w:w="1840" w:type="dxa"/>
            <w:tcBorders>
              <w:top w:val="single" w:sz="4" w:space="0" w:color="auto"/>
              <w:left w:val="nil"/>
              <w:bottom w:val="single" w:sz="4"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r w:rsidRPr="00DD22D2">
              <w:rPr>
                <w:color w:val="000000"/>
                <w:lang w:val="es-ES" w:eastAsia="es-ES"/>
              </w:rPr>
              <w:t> </w:t>
            </w:r>
          </w:p>
        </w:tc>
        <w:tc>
          <w:tcPr>
            <w:tcW w:w="5189" w:type="dxa"/>
            <w:tcBorders>
              <w:top w:val="single" w:sz="4" w:space="0" w:color="auto"/>
              <w:left w:val="nil"/>
              <w:bottom w:val="single" w:sz="4"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Desarrollo de un método de análisis y gestión de costes</w:t>
            </w:r>
          </w:p>
        </w:tc>
        <w:tc>
          <w:tcPr>
            <w:tcW w:w="1687" w:type="dxa"/>
            <w:tcBorders>
              <w:top w:val="single" w:sz="4" w:space="0" w:color="auto"/>
              <w:left w:val="nil"/>
              <w:bottom w:val="single" w:sz="4"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595FBB" w:rsidTr="00991CC0">
        <w:trPr>
          <w:trHeight w:val="315"/>
          <w:jc w:val="center"/>
        </w:trPr>
        <w:tc>
          <w:tcPr>
            <w:tcW w:w="1840"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Pilar 3</w:t>
            </w:r>
          </w:p>
        </w:tc>
        <w:tc>
          <w:tcPr>
            <w:tcW w:w="5189"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 xml:space="preserve">Venta de activos inmobiliarios y obtener liquidez </w:t>
            </w:r>
          </w:p>
        </w:tc>
        <w:tc>
          <w:tcPr>
            <w:tcW w:w="1687" w:type="dxa"/>
            <w:tcBorders>
              <w:top w:val="single" w:sz="4" w:space="0" w:color="auto"/>
              <w:left w:val="nil"/>
              <w:bottom w:val="single" w:sz="4" w:space="0" w:color="auto"/>
              <w:right w:val="nil"/>
            </w:tcBorders>
            <w:shd w:val="clear" w:color="000000" w:fill="8DB4E2"/>
            <w:vAlign w:val="center"/>
            <w:hideMark/>
          </w:tcPr>
          <w:p w:rsidR="00FC5CFB" w:rsidRPr="00595FBB" w:rsidRDefault="00FC5CFB" w:rsidP="00DD22D2">
            <w:pPr>
              <w:spacing w:after="0"/>
              <w:ind w:firstLine="0"/>
              <w:jc w:val="center"/>
              <w:rPr>
                <w:rFonts w:ascii="Arial Narrow" w:hAnsi="Arial Narrow"/>
                <w:color w:val="000000"/>
                <w:sz w:val="15"/>
                <w:szCs w:val="15"/>
                <w:lang w:val="es-ES" w:eastAsia="es-ES"/>
              </w:rPr>
            </w:pPr>
            <w:r w:rsidRPr="00595FBB">
              <w:rPr>
                <w:rFonts w:ascii="Arial Narrow" w:hAnsi="Arial Narrow"/>
                <w:color w:val="000000"/>
                <w:sz w:val="15"/>
                <w:szCs w:val="15"/>
                <w:lang w:val="es-ES" w:eastAsia="es-ES"/>
              </w:rPr>
              <w:t> </w:t>
            </w:r>
          </w:p>
        </w:tc>
      </w:tr>
      <w:tr w:rsidR="00FC5CFB" w:rsidRPr="00DD22D2" w:rsidTr="00991CC0">
        <w:trPr>
          <w:trHeight w:val="255"/>
          <w:jc w:val="center"/>
        </w:trPr>
        <w:tc>
          <w:tcPr>
            <w:tcW w:w="1840" w:type="dxa"/>
            <w:tcBorders>
              <w:top w:val="single" w:sz="4" w:space="0" w:color="auto"/>
              <w:left w:val="nil"/>
              <w:bottom w:val="single" w:sz="4"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r w:rsidRPr="00DD22D2">
              <w:rPr>
                <w:color w:val="000000"/>
                <w:lang w:val="es-ES" w:eastAsia="es-ES"/>
              </w:rPr>
              <w:t> </w:t>
            </w:r>
          </w:p>
        </w:tc>
        <w:tc>
          <w:tcPr>
            <w:tcW w:w="5189" w:type="dxa"/>
            <w:tcBorders>
              <w:top w:val="single" w:sz="4" w:space="0" w:color="auto"/>
              <w:left w:val="nil"/>
              <w:bottom w:val="single" w:sz="4"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Desarrollo de un plan de venta de inmuebles que no generaban ningún tipo de liquidez</w:t>
            </w:r>
          </w:p>
        </w:tc>
        <w:tc>
          <w:tcPr>
            <w:tcW w:w="1687" w:type="dxa"/>
            <w:tcBorders>
              <w:top w:val="single" w:sz="4" w:space="0" w:color="auto"/>
              <w:left w:val="nil"/>
              <w:bottom w:val="single" w:sz="4"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595FBB" w:rsidTr="00991CC0">
        <w:trPr>
          <w:trHeight w:val="315"/>
          <w:jc w:val="center"/>
        </w:trPr>
        <w:tc>
          <w:tcPr>
            <w:tcW w:w="1840"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Pilar 4</w:t>
            </w:r>
          </w:p>
        </w:tc>
        <w:tc>
          <w:tcPr>
            <w:tcW w:w="5189"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333333"/>
                <w:sz w:val="15"/>
                <w:szCs w:val="15"/>
                <w:lang w:val="es-ES" w:eastAsia="es-ES"/>
              </w:rPr>
            </w:pPr>
            <w:r w:rsidRPr="00595FBB">
              <w:rPr>
                <w:rFonts w:ascii="Arial" w:hAnsi="Arial" w:cs="Arial"/>
                <w:color w:val="333333"/>
                <w:sz w:val="15"/>
                <w:szCs w:val="15"/>
                <w:lang w:val="es-ES" w:eastAsia="es-ES"/>
              </w:rPr>
              <w:t>Reestructuración de la deuda, venta  de participadas y  otros activos para obtener más liquidez</w:t>
            </w:r>
          </w:p>
        </w:tc>
        <w:tc>
          <w:tcPr>
            <w:tcW w:w="1687" w:type="dxa"/>
            <w:tcBorders>
              <w:top w:val="single" w:sz="4" w:space="0" w:color="auto"/>
              <w:left w:val="nil"/>
              <w:bottom w:val="single" w:sz="4" w:space="0" w:color="auto"/>
              <w:right w:val="nil"/>
            </w:tcBorders>
            <w:shd w:val="clear" w:color="000000" w:fill="8DB4E2"/>
            <w:vAlign w:val="center"/>
            <w:hideMark/>
          </w:tcPr>
          <w:p w:rsidR="00FC5CFB" w:rsidRPr="00595FBB" w:rsidRDefault="00FC5CFB" w:rsidP="00DD22D2">
            <w:pPr>
              <w:spacing w:after="0"/>
              <w:ind w:firstLine="0"/>
              <w:jc w:val="center"/>
              <w:rPr>
                <w:rFonts w:ascii="Arial Narrow" w:hAnsi="Arial Narrow"/>
                <w:color w:val="000000"/>
                <w:sz w:val="15"/>
                <w:szCs w:val="15"/>
                <w:lang w:val="es-ES" w:eastAsia="es-ES"/>
              </w:rPr>
            </w:pPr>
            <w:r w:rsidRPr="00595FBB">
              <w:rPr>
                <w:rFonts w:ascii="Arial Narrow" w:hAnsi="Arial Narrow"/>
                <w:color w:val="000000"/>
                <w:sz w:val="15"/>
                <w:szCs w:val="15"/>
                <w:lang w:val="es-ES" w:eastAsia="es-ES"/>
              </w:rPr>
              <w:t> </w:t>
            </w:r>
          </w:p>
        </w:tc>
      </w:tr>
      <w:tr w:rsidR="00FC5CFB" w:rsidRPr="00DD22D2" w:rsidTr="00991CC0">
        <w:trPr>
          <w:trHeight w:val="255"/>
          <w:jc w:val="center"/>
        </w:trPr>
        <w:tc>
          <w:tcPr>
            <w:tcW w:w="1840" w:type="dxa"/>
            <w:tcBorders>
              <w:top w:val="single" w:sz="4" w:space="0" w:color="auto"/>
              <w:left w:val="nil"/>
              <w:bottom w:val="single" w:sz="2"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p>
        </w:tc>
        <w:tc>
          <w:tcPr>
            <w:tcW w:w="5189" w:type="dxa"/>
            <w:tcBorders>
              <w:top w:val="single" w:sz="4" w:space="0" w:color="auto"/>
              <w:left w:val="nil"/>
              <w:bottom w:val="single" w:sz="2"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Análisis de las sociedades en las que manera directa e indirecta participan las empr</w:t>
            </w:r>
            <w:r w:rsidRPr="00DD22D2">
              <w:rPr>
                <w:rFonts w:ascii="Arial Narrow" w:hAnsi="Arial Narrow"/>
                <w:color w:val="000000"/>
                <w:sz w:val="16"/>
                <w:szCs w:val="16"/>
                <w:lang w:val="es-ES" w:eastAsia="es-ES"/>
              </w:rPr>
              <w:t>e</w:t>
            </w:r>
            <w:r w:rsidRPr="00DD22D2">
              <w:rPr>
                <w:rFonts w:ascii="Arial Narrow" w:hAnsi="Arial Narrow"/>
                <w:color w:val="000000"/>
                <w:sz w:val="16"/>
                <w:szCs w:val="16"/>
                <w:lang w:val="es-ES" w:eastAsia="es-ES"/>
              </w:rPr>
              <w:t>sas en la Corporación</w:t>
            </w:r>
          </w:p>
        </w:tc>
        <w:tc>
          <w:tcPr>
            <w:tcW w:w="1687" w:type="dxa"/>
            <w:tcBorders>
              <w:top w:val="single" w:sz="4" w:space="0" w:color="auto"/>
              <w:left w:val="nil"/>
              <w:bottom w:val="single" w:sz="2"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DD22D2" w:rsidTr="00991CC0">
        <w:trPr>
          <w:trHeight w:val="255"/>
          <w:jc w:val="center"/>
        </w:trPr>
        <w:tc>
          <w:tcPr>
            <w:tcW w:w="1840" w:type="dxa"/>
            <w:tcBorders>
              <w:top w:val="single" w:sz="2" w:space="0" w:color="auto"/>
              <w:left w:val="nil"/>
              <w:bottom w:val="single" w:sz="4"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r w:rsidRPr="00DD22D2">
              <w:rPr>
                <w:color w:val="000000"/>
                <w:lang w:val="es-ES" w:eastAsia="es-ES"/>
              </w:rPr>
              <w:t> </w:t>
            </w:r>
          </w:p>
        </w:tc>
        <w:tc>
          <w:tcPr>
            <w:tcW w:w="5189" w:type="dxa"/>
            <w:tcBorders>
              <w:top w:val="single" w:sz="2" w:space="0" w:color="auto"/>
              <w:left w:val="nil"/>
              <w:bottom w:val="single" w:sz="4" w:space="0" w:color="auto"/>
              <w:right w:val="nil"/>
            </w:tcBorders>
            <w:shd w:val="clear" w:color="auto" w:fill="auto"/>
            <w:noWrap/>
            <w:vAlign w:val="center"/>
            <w:hideMark/>
          </w:tcPr>
          <w:p w:rsidR="00FC5CFB" w:rsidRPr="00DD22D2" w:rsidRDefault="00FC5CFB" w:rsidP="00DD22D2">
            <w:pPr>
              <w:spacing w:after="0"/>
              <w:ind w:firstLine="0"/>
              <w:jc w:val="left"/>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El objetivo es la venta de sociedades participadas para reducir la deuda</w:t>
            </w:r>
          </w:p>
        </w:tc>
        <w:tc>
          <w:tcPr>
            <w:tcW w:w="1687" w:type="dxa"/>
            <w:tcBorders>
              <w:top w:val="single" w:sz="2" w:space="0" w:color="auto"/>
              <w:left w:val="nil"/>
              <w:bottom w:val="single" w:sz="4"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r w:rsidR="00FC5CFB" w:rsidRPr="00595FBB" w:rsidTr="00991CC0">
        <w:trPr>
          <w:trHeight w:val="315"/>
          <w:jc w:val="center"/>
        </w:trPr>
        <w:tc>
          <w:tcPr>
            <w:tcW w:w="1840"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000000"/>
                <w:sz w:val="15"/>
                <w:szCs w:val="15"/>
                <w:lang w:val="es-ES" w:eastAsia="es-ES"/>
              </w:rPr>
            </w:pPr>
            <w:r w:rsidRPr="00595FBB">
              <w:rPr>
                <w:rFonts w:ascii="Arial" w:hAnsi="Arial" w:cs="Arial"/>
                <w:color w:val="000000"/>
                <w:sz w:val="15"/>
                <w:szCs w:val="15"/>
                <w:lang w:val="es-ES" w:eastAsia="es-ES"/>
              </w:rPr>
              <w:t>Pilar 5</w:t>
            </w:r>
          </w:p>
        </w:tc>
        <w:tc>
          <w:tcPr>
            <w:tcW w:w="5189" w:type="dxa"/>
            <w:tcBorders>
              <w:top w:val="single" w:sz="4" w:space="0" w:color="auto"/>
              <w:left w:val="nil"/>
              <w:bottom w:val="single" w:sz="4" w:space="0" w:color="auto"/>
              <w:right w:val="nil"/>
            </w:tcBorders>
            <w:shd w:val="clear" w:color="000000" w:fill="8DB4E2"/>
            <w:noWrap/>
            <w:vAlign w:val="center"/>
            <w:hideMark/>
          </w:tcPr>
          <w:p w:rsidR="00FC5CFB" w:rsidRPr="00595FBB" w:rsidRDefault="00FC5CFB" w:rsidP="00DD22D2">
            <w:pPr>
              <w:spacing w:after="0"/>
              <w:ind w:firstLine="0"/>
              <w:jc w:val="left"/>
              <w:rPr>
                <w:rFonts w:ascii="Arial" w:hAnsi="Arial" w:cs="Arial"/>
                <w:color w:val="000000"/>
                <w:sz w:val="15"/>
                <w:szCs w:val="15"/>
                <w:lang w:val="es-ES" w:eastAsia="es-ES"/>
              </w:rPr>
            </w:pPr>
            <w:r w:rsidRPr="00595FBB">
              <w:rPr>
                <w:rFonts w:ascii="Arial" w:hAnsi="Arial" w:cs="Arial"/>
                <w:color w:val="000000"/>
                <w:sz w:val="15"/>
                <w:szCs w:val="15"/>
                <w:lang w:val="es-ES" w:eastAsia="es-ES"/>
              </w:rPr>
              <w:t>Cambio organizativo y cultural</w:t>
            </w:r>
          </w:p>
        </w:tc>
        <w:tc>
          <w:tcPr>
            <w:tcW w:w="1687" w:type="dxa"/>
            <w:tcBorders>
              <w:top w:val="single" w:sz="4" w:space="0" w:color="auto"/>
              <w:left w:val="nil"/>
              <w:bottom w:val="single" w:sz="4" w:space="0" w:color="auto"/>
              <w:right w:val="nil"/>
            </w:tcBorders>
            <w:shd w:val="clear" w:color="000000" w:fill="8DB4E2"/>
            <w:vAlign w:val="center"/>
            <w:hideMark/>
          </w:tcPr>
          <w:p w:rsidR="00FC5CFB" w:rsidRPr="00595FBB" w:rsidRDefault="00FC5CFB" w:rsidP="00DD22D2">
            <w:pPr>
              <w:spacing w:after="0"/>
              <w:ind w:firstLine="0"/>
              <w:jc w:val="center"/>
              <w:rPr>
                <w:rFonts w:ascii="Arial Narrow" w:hAnsi="Arial Narrow"/>
                <w:color w:val="000000"/>
                <w:sz w:val="15"/>
                <w:szCs w:val="15"/>
                <w:lang w:val="es-ES" w:eastAsia="es-ES"/>
              </w:rPr>
            </w:pPr>
            <w:r w:rsidRPr="00595FBB">
              <w:rPr>
                <w:rFonts w:ascii="Arial Narrow" w:hAnsi="Arial Narrow"/>
                <w:color w:val="000000"/>
                <w:sz w:val="15"/>
                <w:szCs w:val="15"/>
                <w:lang w:val="es-ES" w:eastAsia="es-ES"/>
              </w:rPr>
              <w:t> </w:t>
            </w:r>
          </w:p>
        </w:tc>
      </w:tr>
      <w:tr w:rsidR="00FC5CFB" w:rsidRPr="00DD22D2" w:rsidTr="00991CC0">
        <w:trPr>
          <w:trHeight w:val="255"/>
          <w:jc w:val="center"/>
        </w:trPr>
        <w:tc>
          <w:tcPr>
            <w:tcW w:w="1840" w:type="dxa"/>
            <w:tcBorders>
              <w:top w:val="single" w:sz="4" w:space="0" w:color="auto"/>
              <w:left w:val="nil"/>
              <w:bottom w:val="single" w:sz="4" w:space="0" w:color="auto"/>
              <w:right w:val="nil"/>
            </w:tcBorders>
            <w:shd w:val="clear" w:color="auto" w:fill="auto"/>
            <w:noWrap/>
            <w:vAlign w:val="bottom"/>
            <w:hideMark/>
          </w:tcPr>
          <w:p w:rsidR="00FC5CFB" w:rsidRPr="00DD22D2" w:rsidRDefault="00FC5CFB" w:rsidP="00DD22D2">
            <w:pPr>
              <w:spacing w:after="0"/>
              <w:ind w:firstLine="0"/>
              <w:jc w:val="left"/>
              <w:rPr>
                <w:color w:val="000000"/>
                <w:lang w:val="es-ES" w:eastAsia="es-ES"/>
              </w:rPr>
            </w:pPr>
            <w:r w:rsidRPr="00DD22D2">
              <w:rPr>
                <w:color w:val="000000"/>
                <w:lang w:val="es-ES" w:eastAsia="es-ES"/>
              </w:rPr>
              <w:t> </w:t>
            </w:r>
          </w:p>
        </w:tc>
        <w:tc>
          <w:tcPr>
            <w:tcW w:w="5189" w:type="dxa"/>
            <w:tcBorders>
              <w:top w:val="single" w:sz="4" w:space="0" w:color="auto"/>
              <w:left w:val="nil"/>
              <w:bottom w:val="single" w:sz="4" w:space="0" w:color="auto"/>
              <w:right w:val="nil"/>
            </w:tcBorders>
            <w:shd w:val="clear" w:color="auto" w:fill="auto"/>
            <w:vAlign w:val="bottom"/>
            <w:hideMark/>
          </w:tcPr>
          <w:p w:rsidR="00FC5CFB" w:rsidRPr="00DD22D2" w:rsidRDefault="00FC5CFB" w:rsidP="00DD22D2">
            <w:pPr>
              <w:spacing w:after="0"/>
              <w:ind w:firstLine="0"/>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Establecimiento de criterios y directrices en orden a una mejor organización y optim</w:t>
            </w:r>
            <w:r w:rsidRPr="00DD22D2">
              <w:rPr>
                <w:rFonts w:ascii="Arial Narrow" w:hAnsi="Arial Narrow"/>
                <w:color w:val="000000"/>
                <w:sz w:val="16"/>
                <w:szCs w:val="16"/>
                <w:lang w:val="es-ES" w:eastAsia="es-ES"/>
              </w:rPr>
              <w:t>i</w:t>
            </w:r>
            <w:r w:rsidRPr="00DD22D2">
              <w:rPr>
                <w:rFonts w:ascii="Arial Narrow" w:hAnsi="Arial Narrow"/>
                <w:color w:val="000000"/>
                <w:sz w:val="16"/>
                <w:szCs w:val="16"/>
                <w:lang w:val="es-ES" w:eastAsia="es-ES"/>
              </w:rPr>
              <w:t>zación de los recursos, así como la homogeneización de escalas salariales y cond</w:t>
            </w:r>
            <w:r w:rsidRPr="00DD22D2">
              <w:rPr>
                <w:rFonts w:ascii="Arial Narrow" w:hAnsi="Arial Narrow"/>
                <w:color w:val="000000"/>
                <w:sz w:val="16"/>
                <w:szCs w:val="16"/>
                <w:lang w:val="es-ES" w:eastAsia="es-ES"/>
              </w:rPr>
              <w:t>i</w:t>
            </w:r>
            <w:r w:rsidRPr="00DD22D2">
              <w:rPr>
                <w:rFonts w:ascii="Arial Narrow" w:hAnsi="Arial Narrow"/>
                <w:color w:val="000000"/>
                <w:sz w:val="16"/>
                <w:szCs w:val="16"/>
                <w:lang w:val="es-ES" w:eastAsia="es-ES"/>
              </w:rPr>
              <w:t>ciones de trabajo y la retribución a los gerentes por objetivos</w:t>
            </w:r>
          </w:p>
        </w:tc>
        <w:tc>
          <w:tcPr>
            <w:tcW w:w="1687" w:type="dxa"/>
            <w:tcBorders>
              <w:top w:val="single" w:sz="4" w:space="0" w:color="auto"/>
              <w:left w:val="nil"/>
              <w:bottom w:val="single" w:sz="4" w:space="0" w:color="auto"/>
              <w:right w:val="nil"/>
            </w:tcBorders>
            <w:shd w:val="clear" w:color="auto" w:fill="auto"/>
            <w:vAlign w:val="center"/>
            <w:hideMark/>
          </w:tcPr>
          <w:p w:rsidR="00FC5CFB" w:rsidRPr="00DD22D2" w:rsidRDefault="00FC5CFB" w:rsidP="00DD22D2">
            <w:pPr>
              <w:spacing w:after="0"/>
              <w:ind w:firstLine="0"/>
              <w:jc w:val="center"/>
              <w:rPr>
                <w:rFonts w:ascii="Arial Narrow" w:hAnsi="Arial Narrow"/>
                <w:color w:val="000000"/>
                <w:sz w:val="16"/>
                <w:szCs w:val="16"/>
                <w:lang w:val="es-ES" w:eastAsia="es-ES"/>
              </w:rPr>
            </w:pPr>
            <w:r w:rsidRPr="00DD22D2">
              <w:rPr>
                <w:rFonts w:ascii="Arial Narrow" w:hAnsi="Arial Narrow"/>
                <w:color w:val="000000"/>
                <w:sz w:val="16"/>
                <w:szCs w:val="16"/>
                <w:lang w:val="es-ES" w:eastAsia="es-ES"/>
              </w:rPr>
              <w:t>SI</w:t>
            </w:r>
          </w:p>
        </w:tc>
      </w:tr>
    </w:tbl>
    <w:p w:rsidR="00934679" w:rsidRDefault="00934679" w:rsidP="00C0581A">
      <w:pPr>
        <w:pStyle w:val="texto"/>
        <w:spacing w:before="260" w:after="160"/>
        <w:rPr>
          <w:lang w:val="es-ES"/>
        </w:rPr>
      </w:pPr>
      <w:r>
        <w:rPr>
          <w:lang w:val="es-ES"/>
        </w:rPr>
        <w:t>De la revisión efectuada, señalamos los siguientes aspectos:</w:t>
      </w:r>
    </w:p>
    <w:p w:rsidR="00934679" w:rsidRPr="00934679" w:rsidRDefault="00934679" w:rsidP="00337A06">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rsidRPr="00934679">
        <w:rPr>
          <w:rFonts w:cs="Arial"/>
        </w:rPr>
        <w:t>Los datos estructurales y sus variaciones definitivas se reflejan en el s</w:t>
      </w:r>
      <w:r w:rsidRPr="00934679">
        <w:rPr>
          <w:rFonts w:cs="Arial"/>
        </w:rPr>
        <w:t>i</w:t>
      </w:r>
      <w:r w:rsidRPr="00934679">
        <w:rPr>
          <w:rFonts w:cs="Arial"/>
        </w:rPr>
        <w:t>guiente cuadro</w:t>
      </w:r>
      <w:r w:rsidR="00743804">
        <w:rPr>
          <w:rFonts w:cs="Arial"/>
        </w:rPr>
        <w:t>:</w:t>
      </w:r>
    </w:p>
    <w:tbl>
      <w:tblPr>
        <w:tblW w:w="8673" w:type="dxa"/>
        <w:jc w:val="center"/>
        <w:tblInd w:w="-1137" w:type="dxa"/>
        <w:tblCellMar>
          <w:left w:w="70" w:type="dxa"/>
          <w:right w:w="70" w:type="dxa"/>
        </w:tblCellMar>
        <w:tblLook w:val="04A0" w:firstRow="1" w:lastRow="0" w:firstColumn="1" w:lastColumn="0" w:noHBand="0" w:noVBand="1"/>
      </w:tblPr>
      <w:tblGrid>
        <w:gridCol w:w="4410"/>
        <w:gridCol w:w="519"/>
        <w:gridCol w:w="863"/>
        <w:gridCol w:w="1680"/>
        <w:gridCol w:w="1201"/>
      </w:tblGrid>
      <w:tr w:rsidR="00934679" w:rsidRPr="007343D0" w:rsidTr="00AE3FDF">
        <w:trPr>
          <w:trHeight w:val="312"/>
          <w:jc w:val="center"/>
        </w:trPr>
        <w:tc>
          <w:tcPr>
            <w:tcW w:w="4410" w:type="dxa"/>
            <w:tcBorders>
              <w:top w:val="single" w:sz="4" w:space="0" w:color="auto"/>
              <w:left w:val="nil"/>
              <w:bottom w:val="single" w:sz="4" w:space="0" w:color="auto"/>
              <w:right w:val="nil"/>
            </w:tcBorders>
            <w:shd w:val="clear" w:color="000000" w:fill="8DB3E2"/>
            <w:noWrap/>
            <w:vAlign w:val="center"/>
            <w:hideMark/>
          </w:tcPr>
          <w:p w:rsidR="00934679" w:rsidRPr="007343D0" w:rsidRDefault="00934679" w:rsidP="00934679">
            <w:pPr>
              <w:spacing w:after="0"/>
              <w:ind w:firstLine="0"/>
              <w:jc w:val="left"/>
              <w:rPr>
                <w:rFonts w:ascii="Arial" w:hAnsi="Arial" w:cs="Arial"/>
                <w:sz w:val="16"/>
                <w:szCs w:val="16"/>
                <w:lang w:val="es-ES" w:eastAsia="es-ES"/>
              </w:rPr>
            </w:pPr>
            <w:r w:rsidRPr="007343D0">
              <w:rPr>
                <w:rFonts w:ascii="Arial" w:hAnsi="Arial" w:cs="Arial"/>
                <w:sz w:val="16"/>
                <w:szCs w:val="16"/>
                <w:lang w:val="es-ES" w:eastAsia="es-ES"/>
              </w:rPr>
              <w:t> </w:t>
            </w:r>
          </w:p>
        </w:tc>
        <w:tc>
          <w:tcPr>
            <w:tcW w:w="519" w:type="dxa"/>
            <w:tcBorders>
              <w:top w:val="single" w:sz="4" w:space="0" w:color="auto"/>
              <w:left w:val="nil"/>
              <w:bottom w:val="single" w:sz="4" w:space="0" w:color="auto"/>
              <w:right w:val="nil"/>
            </w:tcBorders>
            <w:shd w:val="clear" w:color="000000" w:fill="8DB3E2"/>
            <w:vAlign w:val="center"/>
            <w:hideMark/>
          </w:tcPr>
          <w:p w:rsidR="00934679" w:rsidRPr="007343D0" w:rsidRDefault="00934679" w:rsidP="001F6CBB">
            <w:pPr>
              <w:spacing w:after="0"/>
              <w:ind w:firstLine="0"/>
              <w:jc w:val="right"/>
              <w:rPr>
                <w:rFonts w:ascii="Arial" w:hAnsi="Arial" w:cs="Arial"/>
                <w:sz w:val="16"/>
                <w:szCs w:val="16"/>
                <w:lang w:val="es-ES" w:eastAsia="es-ES"/>
              </w:rPr>
            </w:pPr>
            <w:r w:rsidRPr="007343D0">
              <w:rPr>
                <w:rFonts w:ascii="Arial" w:hAnsi="Arial" w:cs="Arial"/>
                <w:sz w:val="16"/>
                <w:szCs w:val="16"/>
                <w:lang w:val="es-ES" w:eastAsia="es-ES"/>
              </w:rPr>
              <w:t>2010</w:t>
            </w:r>
          </w:p>
        </w:tc>
        <w:tc>
          <w:tcPr>
            <w:tcW w:w="863" w:type="dxa"/>
            <w:tcBorders>
              <w:top w:val="single" w:sz="4" w:space="0" w:color="auto"/>
              <w:left w:val="nil"/>
              <w:bottom w:val="single" w:sz="4" w:space="0" w:color="auto"/>
              <w:right w:val="nil"/>
            </w:tcBorders>
            <w:shd w:val="clear" w:color="000000" w:fill="8DB3E2"/>
            <w:vAlign w:val="center"/>
            <w:hideMark/>
          </w:tcPr>
          <w:p w:rsidR="00934679" w:rsidRPr="007343D0" w:rsidRDefault="00934679" w:rsidP="001F6CBB">
            <w:pPr>
              <w:spacing w:after="0"/>
              <w:ind w:firstLine="0"/>
              <w:jc w:val="right"/>
              <w:rPr>
                <w:rFonts w:ascii="Arial" w:hAnsi="Arial" w:cs="Arial"/>
                <w:sz w:val="16"/>
                <w:szCs w:val="16"/>
                <w:lang w:val="es-ES" w:eastAsia="es-ES"/>
              </w:rPr>
            </w:pPr>
            <w:r w:rsidRPr="007343D0">
              <w:rPr>
                <w:rFonts w:ascii="Arial" w:hAnsi="Arial" w:cs="Arial"/>
                <w:sz w:val="16"/>
                <w:szCs w:val="16"/>
                <w:lang w:val="es-ES" w:eastAsia="es-ES"/>
              </w:rPr>
              <w:t>2016</w:t>
            </w:r>
          </w:p>
        </w:tc>
        <w:tc>
          <w:tcPr>
            <w:tcW w:w="1680" w:type="dxa"/>
            <w:tcBorders>
              <w:top w:val="single" w:sz="4" w:space="0" w:color="auto"/>
              <w:left w:val="nil"/>
              <w:bottom w:val="single" w:sz="4" w:space="0" w:color="auto"/>
              <w:right w:val="nil"/>
            </w:tcBorders>
            <w:shd w:val="clear" w:color="000000" w:fill="8DB3E2"/>
            <w:vAlign w:val="center"/>
            <w:hideMark/>
          </w:tcPr>
          <w:p w:rsidR="00934679" w:rsidRPr="007343D0" w:rsidRDefault="00934679" w:rsidP="001F6CBB">
            <w:pPr>
              <w:spacing w:after="0"/>
              <w:ind w:firstLine="0"/>
              <w:jc w:val="right"/>
              <w:rPr>
                <w:rFonts w:ascii="Arial" w:hAnsi="Arial" w:cs="Arial"/>
                <w:sz w:val="16"/>
                <w:szCs w:val="16"/>
                <w:lang w:val="es-ES" w:eastAsia="es-ES"/>
              </w:rPr>
            </w:pPr>
            <w:r w:rsidRPr="007343D0">
              <w:rPr>
                <w:rFonts w:ascii="Arial" w:hAnsi="Arial" w:cs="Arial"/>
                <w:sz w:val="16"/>
                <w:szCs w:val="16"/>
                <w:lang w:val="es-ES" w:eastAsia="es-ES"/>
              </w:rPr>
              <w:t>Variación 2016/10</w:t>
            </w:r>
          </w:p>
        </w:tc>
        <w:tc>
          <w:tcPr>
            <w:tcW w:w="1201" w:type="dxa"/>
            <w:tcBorders>
              <w:top w:val="single" w:sz="4" w:space="0" w:color="auto"/>
              <w:left w:val="nil"/>
              <w:bottom w:val="single" w:sz="4" w:space="0" w:color="auto"/>
              <w:right w:val="nil"/>
            </w:tcBorders>
            <w:shd w:val="clear" w:color="000000" w:fill="8DB3E2"/>
            <w:vAlign w:val="center"/>
            <w:hideMark/>
          </w:tcPr>
          <w:p w:rsidR="00934679" w:rsidRPr="007343D0" w:rsidRDefault="00934679" w:rsidP="001F6CBB">
            <w:pPr>
              <w:spacing w:after="0"/>
              <w:ind w:firstLine="0"/>
              <w:jc w:val="right"/>
              <w:rPr>
                <w:rFonts w:ascii="Arial" w:hAnsi="Arial" w:cs="Arial"/>
                <w:sz w:val="16"/>
                <w:szCs w:val="16"/>
                <w:lang w:val="es-ES" w:eastAsia="es-ES"/>
              </w:rPr>
            </w:pPr>
            <w:r w:rsidRPr="007343D0">
              <w:rPr>
                <w:rFonts w:ascii="Arial" w:hAnsi="Arial" w:cs="Arial"/>
                <w:sz w:val="16"/>
                <w:szCs w:val="16"/>
                <w:lang w:val="es-ES" w:eastAsia="es-ES"/>
              </w:rPr>
              <w:t>% Variación</w:t>
            </w:r>
          </w:p>
        </w:tc>
      </w:tr>
      <w:tr w:rsidR="00934679" w:rsidRPr="007343D0" w:rsidTr="00AE3FDF">
        <w:trPr>
          <w:trHeight w:val="255"/>
          <w:jc w:val="center"/>
        </w:trPr>
        <w:tc>
          <w:tcPr>
            <w:tcW w:w="4410" w:type="dxa"/>
            <w:tcBorders>
              <w:top w:val="single" w:sz="4" w:space="0" w:color="auto"/>
              <w:left w:val="nil"/>
              <w:bottom w:val="single" w:sz="2" w:space="0" w:color="auto"/>
              <w:right w:val="nil"/>
            </w:tcBorders>
            <w:shd w:val="clear" w:color="auto" w:fill="auto"/>
            <w:noWrap/>
            <w:vAlign w:val="center"/>
            <w:hideMark/>
          </w:tcPr>
          <w:p w:rsidR="00934679" w:rsidRPr="007343D0" w:rsidRDefault="00934679" w:rsidP="00934679">
            <w:pPr>
              <w:spacing w:after="0"/>
              <w:ind w:firstLine="0"/>
              <w:jc w:val="left"/>
              <w:rPr>
                <w:rFonts w:ascii="Arial Narrow" w:hAnsi="Arial Narrow" w:cs="Tahoma"/>
                <w:sz w:val="17"/>
                <w:szCs w:val="17"/>
                <w:lang w:val="es-ES" w:eastAsia="es-ES"/>
              </w:rPr>
            </w:pPr>
            <w:r w:rsidRPr="007343D0">
              <w:rPr>
                <w:rFonts w:ascii="Arial Narrow" w:hAnsi="Arial Narrow" w:cs="Tahoma"/>
                <w:sz w:val="17"/>
                <w:szCs w:val="17"/>
                <w:lang w:val="es-ES" w:eastAsia="es-ES"/>
              </w:rPr>
              <w:t>Número de sociedades</w:t>
            </w:r>
          </w:p>
        </w:tc>
        <w:tc>
          <w:tcPr>
            <w:tcW w:w="519" w:type="dxa"/>
            <w:tcBorders>
              <w:top w:val="single" w:sz="4"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39</w:t>
            </w:r>
          </w:p>
        </w:tc>
        <w:tc>
          <w:tcPr>
            <w:tcW w:w="863" w:type="dxa"/>
            <w:tcBorders>
              <w:top w:val="single" w:sz="4"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17</w:t>
            </w:r>
          </w:p>
        </w:tc>
        <w:tc>
          <w:tcPr>
            <w:tcW w:w="1680" w:type="dxa"/>
            <w:tcBorders>
              <w:top w:val="single" w:sz="4"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-22</w:t>
            </w:r>
          </w:p>
        </w:tc>
        <w:tc>
          <w:tcPr>
            <w:tcW w:w="1201" w:type="dxa"/>
            <w:tcBorders>
              <w:top w:val="single" w:sz="4" w:space="0" w:color="auto"/>
              <w:left w:val="nil"/>
              <w:bottom w:val="single" w:sz="2" w:space="0" w:color="auto"/>
              <w:right w:val="nil"/>
            </w:tcBorders>
            <w:shd w:val="clear" w:color="auto" w:fill="auto"/>
            <w:noWrap/>
            <w:vAlign w:val="center"/>
            <w:hideMark/>
          </w:tcPr>
          <w:p w:rsidR="00934679" w:rsidRPr="007343D0" w:rsidRDefault="00934679" w:rsidP="00BA1AF4">
            <w:pPr>
              <w:spacing w:after="0"/>
              <w:ind w:right="217"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-56</w:t>
            </w:r>
          </w:p>
        </w:tc>
      </w:tr>
      <w:tr w:rsidR="00934679" w:rsidRPr="007343D0" w:rsidTr="00AE3FDF">
        <w:trPr>
          <w:trHeight w:val="255"/>
          <w:jc w:val="center"/>
        </w:trPr>
        <w:tc>
          <w:tcPr>
            <w:tcW w:w="4410"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934679">
            <w:pPr>
              <w:spacing w:after="0"/>
              <w:ind w:firstLine="0"/>
              <w:jc w:val="left"/>
              <w:rPr>
                <w:rFonts w:ascii="Arial Narrow" w:hAnsi="Arial Narrow" w:cs="Tahoma"/>
                <w:sz w:val="17"/>
                <w:szCs w:val="17"/>
                <w:lang w:val="es-ES" w:eastAsia="es-ES"/>
              </w:rPr>
            </w:pPr>
            <w:r w:rsidRPr="007343D0">
              <w:rPr>
                <w:rFonts w:ascii="Arial Narrow" w:hAnsi="Arial Narrow" w:cs="Tahoma"/>
                <w:sz w:val="17"/>
                <w:szCs w:val="17"/>
                <w:lang w:val="es-ES" w:eastAsia="es-ES"/>
              </w:rPr>
              <w:t>Número de miembros en Consejos de Administración</w:t>
            </w:r>
          </w:p>
        </w:tc>
        <w:tc>
          <w:tcPr>
            <w:tcW w:w="519"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334</w:t>
            </w:r>
          </w:p>
        </w:tc>
        <w:tc>
          <w:tcPr>
            <w:tcW w:w="863"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97</w:t>
            </w:r>
          </w:p>
        </w:tc>
        <w:tc>
          <w:tcPr>
            <w:tcW w:w="1680"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-237</w:t>
            </w:r>
          </w:p>
        </w:tc>
        <w:tc>
          <w:tcPr>
            <w:tcW w:w="1201"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BA1AF4">
            <w:pPr>
              <w:spacing w:after="0"/>
              <w:ind w:right="217"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-71</w:t>
            </w:r>
          </w:p>
        </w:tc>
      </w:tr>
      <w:tr w:rsidR="00934679" w:rsidRPr="007343D0" w:rsidTr="00AE3FDF">
        <w:trPr>
          <w:trHeight w:val="255"/>
          <w:jc w:val="center"/>
        </w:trPr>
        <w:tc>
          <w:tcPr>
            <w:tcW w:w="4410"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934679">
            <w:pPr>
              <w:spacing w:after="0"/>
              <w:ind w:firstLine="0"/>
              <w:jc w:val="left"/>
              <w:rPr>
                <w:rFonts w:ascii="Arial Narrow" w:hAnsi="Arial Narrow" w:cs="Tahoma"/>
                <w:sz w:val="17"/>
                <w:szCs w:val="17"/>
                <w:lang w:val="es-ES" w:eastAsia="es-ES"/>
              </w:rPr>
            </w:pPr>
            <w:r w:rsidRPr="007343D0">
              <w:rPr>
                <w:rFonts w:ascii="Arial Narrow" w:hAnsi="Arial Narrow" w:cs="Tahoma"/>
                <w:sz w:val="17"/>
                <w:szCs w:val="17"/>
                <w:lang w:val="es-ES" w:eastAsia="es-ES"/>
              </w:rPr>
              <w:t>Número de Gerentes</w:t>
            </w:r>
          </w:p>
        </w:tc>
        <w:tc>
          <w:tcPr>
            <w:tcW w:w="519"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30</w:t>
            </w:r>
          </w:p>
        </w:tc>
        <w:tc>
          <w:tcPr>
            <w:tcW w:w="863"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10</w:t>
            </w:r>
          </w:p>
        </w:tc>
        <w:tc>
          <w:tcPr>
            <w:tcW w:w="1680"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-20</w:t>
            </w:r>
          </w:p>
        </w:tc>
        <w:tc>
          <w:tcPr>
            <w:tcW w:w="1201" w:type="dxa"/>
            <w:tcBorders>
              <w:top w:val="single" w:sz="2" w:space="0" w:color="auto"/>
              <w:left w:val="nil"/>
              <w:bottom w:val="single" w:sz="2" w:space="0" w:color="auto"/>
              <w:right w:val="nil"/>
            </w:tcBorders>
            <w:shd w:val="clear" w:color="auto" w:fill="auto"/>
            <w:noWrap/>
            <w:vAlign w:val="center"/>
            <w:hideMark/>
          </w:tcPr>
          <w:p w:rsidR="00934679" w:rsidRPr="007343D0" w:rsidRDefault="00934679" w:rsidP="00BA1AF4">
            <w:pPr>
              <w:spacing w:after="0"/>
              <w:ind w:right="217"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-67</w:t>
            </w:r>
          </w:p>
        </w:tc>
      </w:tr>
      <w:tr w:rsidR="00934679" w:rsidRPr="007343D0" w:rsidTr="00AE3FDF">
        <w:trPr>
          <w:trHeight w:val="255"/>
          <w:jc w:val="center"/>
        </w:trPr>
        <w:tc>
          <w:tcPr>
            <w:tcW w:w="4410" w:type="dxa"/>
            <w:tcBorders>
              <w:top w:val="single" w:sz="2" w:space="0" w:color="auto"/>
              <w:left w:val="nil"/>
              <w:bottom w:val="single" w:sz="4" w:space="0" w:color="auto"/>
              <w:right w:val="nil"/>
            </w:tcBorders>
            <w:shd w:val="clear" w:color="auto" w:fill="auto"/>
            <w:noWrap/>
            <w:vAlign w:val="center"/>
            <w:hideMark/>
          </w:tcPr>
          <w:p w:rsidR="00934679" w:rsidRPr="007343D0" w:rsidRDefault="00934679" w:rsidP="00934679">
            <w:pPr>
              <w:spacing w:after="0"/>
              <w:ind w:firstLine="0"/>
              <w:jc w:val="left"/>
              <w:rPr>
                <w:rFonts w:ascii="Arial Narrow" w:hAnsi="Arial Narrow" w:cs="Tahoma"/>
                <w:sz w:val="17"/>
                <w:szCs w:val="17"/>
                <w:lang w:val="es-ES" w:eastAsia="es-ES"/>
              </w:rPr>
            </w:pPr>
            <w:r w:rsidRPr="007343D0">
              <w:rPr>
                <w:rFonts w:ascii="Arial Narrow" w:hAnsi="Arial Narrow" w:cs="Tahoma"/>
                <w:sz w:val="17"/>
                <w:szCs w:val="17"/>
                <w:lang w:val="es-ES" w:eastAsia="es-ES"/>
              </w:rPr>
              <w:t>Número medio de trabajadores</w:t>
            </w:r>
          </w:p>
        </w:tc>
        <w:tc>
          <w:tcPr>
            <w:tcW w:w="519" w:type="dxa"/>
            <w:tcBorders>
              <w:top w:val="single" w:sz="2" w:space="0" w:color="auto"/>
              <w:left w:val="nil"/>
              <w:bottom w:val="single" w:sz="4"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1.283</w:t>
            </w:r>
          </w:p>
        </w:tc>
        <w:tc>
          <w:tcPr>
            <w:tcW w:w="863" w:type="dxa"/>
            <w:tcBorders>
              <w:top w:val="single" w:sz="2" w:space="0" w:color="auto"/>
              <w:left w:val="nil"/>
              <w:bottom w:val="single" w:sz="4"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1.059</w:t>
            </w:r>
          </w:p>
        </w:tc>
        <w:tc>
          <w:tcPr>
            <w:tcW w:w="1680" w:type="dxa"/>
            <w:tcBorders>
              <w:top w:val="single" w:sz="2" w:space="0" w:color="auto"/>
              <w:left w:val="nil"/>
              <w:bottom w:val="single" w:sz="4" w:space="0" w:color="auto"/>
              <w:right w:val="nil"/>
            </w:tcBorders>
            <w:shd w:val="clear" w:color="auto" w:fill="auto"/>
            <w:noWrap/>
            <w:vAlign w:val="center"/>
            <w:hideMark/>
          </w:tcPr>
          <w:p w:rsidR="00934679" w:rsidRPr="007343D0" w:rsidRDefault="00934679" w:rsidP="001F6CBB">
            <w:pPr>
              <w:spacing w:after="0"/>
              <w:ind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-224</w:t>
            </w:r>
          </w:p>
        </w:tc>
        <w:tc>
          <w:tcPr>
            <w:tcW w:w="1201" w:type="dxa"/>
            <w:tcBorders>
              <w:top w:val="single" w:sz="2" w:space="0" w:color="auto"/>
              <w:left w:val="nil"/>
              <w:bottom w:val="single" w:sz="4" w:space="0" w:color="auto"/>
              <w:right w:val="nil"/>
            </w:tcBorders>
            <w:shd w:val="clear" w:color="auto" w:fill="auto"/>
            <w:noWrap/>
            <w:vAlign w:val="center"/>
            <w:hideMark/>
          </w:tcPr>
          <w:p w:rsidR="00934679" w:rsidRPr="007343D0" w:rsidRDefault="00934679" w:rsidP="00BA1AF4">
            <w:pPr>
              <w:spacing w:after="0"/>
              <w:ind w:right="217" w:firstLine="0"/>
              <w:jc w:val="right"/>
              <w:rPr>
                <w:rFonts w:ascii="Arial Narrow" w:hAnsi="Arial Narrow" w:cs="Tahoma"/>
                <w:sz w:val="17"/>
                <w:szCs w:val="17"/>
                <w:lang w:val="es-ES" w:eastAsia="es-ES"/>
              </w:rPr>
            </w:pPr>
            <w:r w:rsidRPr="007343D0">
              <w:rPr>
                <w:rFonts w:ascii="Arial Narrow" w:hAnsi="Arial Narrow" w:cs="Tahoma"/>
                <w:sz w:val="17"/>
                <w:szCs w:val="17"/>
                <w:lang w:val="es-ES" w:eastAsia="es-ES"/>
              </w:rPr>
              <w:t>-17</w:t>
            </w:r>
          </w:p>
        </w:tc>
      </w:tr>
    </w:tbl>
    <w:p w:rsidR="00934679" w:rsidRDefault="00934679" w:rsidP="00C0581A">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before="280" w:after="120"/>
        <w:ind w:left="0" w:firstLine="289"/>
        <w:rPr>
          <w:rFonts w:cs="Arial"/>
        </w:rPr>
      </w:pPr>
      <w:r w:rsidRPr="00934679">
        <w:rPr>
          <w:rFonts w:cs="Arial"/>
        </w:rPr>
        <w:t xml:space="preserve">Los datos económicos de este segundo plan que se desprenden del análisis que hemos realizado en el apartado V.2 del informe, y que afectan al conjunto de medidas adoptadas en los cinco pilares es el siguiente: </w:t>
      </w:r>
    </w:p>
    <w:p w:rsidR="002E30FE" w:rsidRPr="002E30FE" w:rsidRDefault="00191895" w:rsidP="00191895">
      <w:pPr>
        <w:pStyle w:val="texto"/>
        <w:spacing w:after="100"/>
        <w:ind w:left="1588"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467AA9">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67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012"/>
        <w:gridCol w:w="646"/>
        <w:gridCol w:w="594"/>
        <w:gridCol w:w="603"/>
        <w:gridCol w:w="567"/>
        <w:gridCol w:w="2268"/>
        <w:gridCol w:w="1083"/>
      </w:tblGrid>
      <w:tr w:rsidR="00934679" w:rsidRPr="00A2639F" w:rsidTr="00920E4A">
        <w:trPr>
          <w:trHeight w:val="312"/>
          <w:jc w:val="center"/>
        </w:trPr>
        <w:tc>
          <w:tcPr>
            <w:tcW w:w="3012" w:type="dxa"/>
            <w:tcBorders>
              <w:bottom w:val="single" w:sz="4" w:space="0" w:color="auto"/>
            </w:tcBorders>
            <w:shd w:val="clear" w:color="auto" w:fill="8DB3E2" w:themeFill="text2" w:themeFillTint="66"/>
            <w:noWrap/>
            <w:vAlign w:val="center"/>
            <w:hideMark/>
          </w:tcPr>
          <w:p w:rsidR="00934679" w:rsidRPr="00A2639F" w:rsidRDefault="00934679" w:rsidP="00934679">
            <w:pPr>
              <w:spacing w:after="0"/>
              <w:ind w:firstLine="0"/>
              <w:jc w:val="left"/>
              <w:rPr>
                <w:rFonts w:ascii="Arial" w:hAnsi="Arial" w:cs="Arial"/>
                <w:color w:val="000000"/>
                <w:sz w:val="16"/>
                <w:szCs w:val="16"/>
                <w:lang w:val="es-ES" w:eastAsia="es-ES"/>
              </w:rPr>
            </w:pPr>
            <w:r w:rsidRPr="00A2639F">
              <w:rPr>
                <w:rFonts w:ascii="Arial" w:hAnsi="Arial" w:cs="Arial"/>
                <w:color w:val="000000"/>
                <w:sz w:val="16"/>
                <w:szCs w:val="16"/>
                <w:lang w:val="es-ES" w:eastAsia="es-ES"/>
              </w:rPr>
              <w:t> </w:t>
            </w:r>
          </w:p>
        </w:tc>
        <w:tc>
          <w:tcPr>
            <w:tcW w:w="646" w:type="dxa"/>
            <w:tcBorders>
              <w:bottom w:val="single" w:sz="4" w:space="0" w:color="auto"/>
            </w:tcBorders>
            <w:shd w:val="clear" w:color="auto" w:fill="8DB3E2" w:themeFill="text2" w:themeFillTint="66"/>
            <w:noWrap/>
            <w:vAlign w:val="center"/>
            <w:hideMark/>
          </w:tcPr>
          <w:p w:rsidR="00934679" w:rsidRPr="00A2639F" w:rsidRDefault="00934679" w:rsidP="00934679">
            <w:pPr>
              <w:spacing w:after="0"/>
              <w:ind w:firstLine="0"/>
              <w:jc w:val="right"/>
              <w:rPr>
                <w:rFonts w:ascii="Arial" w:hAnsi="Arial" w:cs="Arial"/>
                <w:color w:val="000000"/>
                <w:sz w:val="16"/>
                <w:szCs w:val="16"/>
                <w:lang w:val="es-ES" w:eastAsia="es-ES"/>
              </w:rPr>
            </w:pPr>
            <w:r w:rsidRPr="00A2639F">
              <w:rPr>
                <w:rFonts w:ascii="Arial" w:hAnsi="Arial" w:cs="Arial"/>
                <w:color w:val="000000"/>
                <w:sz w:val="16"/>
                <w:szCs w:val="16"/>
                <w:lang w:val="es-ES" w:eastAsia="es-ES"/>
              </w:rPr>
              <w:t>2013</w:t>
            </w:r>
          </w:p>
        </w:tc>
        <w:tc>
          <w:tcPr>
            <w:tcW w:w="594" w:type="dxa"/>
            <w:tcBorders>
              <w:bottom w:val="single" w:sz="4" w:space="0" w:color="auto"/>
            </w:tcBorders>
            <w:shd w:val="clear" w:color="auto" w:fill="8DB3E2" w:themeFill="text2" w:themeFillTint="66"/>
            <w:noWrap/>
            <w:vAlign w:val="center"/>
            <w:hideMark/>
          </w:tcPr>
          <w:p w:rsidR="00934679" w:rsidRPr="00A2639F" w:rsidRDefault="00934679" w:rsidP="00934679">
            <w:pPr>
              <w:spacing w:after="0"/>
              <w:ind w:firstLine="0"/>
              <w:jc w:val="right"/>
              <w:rPr>
                <w:rFonts w:ascii="Arial" w:hAnsi="Arial" w:cs="Arial"/>
                <w:color w:val="000000"/>
                <w:sz w:val="16"/>
                <w:szCs w:val="16"/>
                <w:lang w:val="es-ES" w:eastAsia="es-ES"/>
              </w:rPr>
            </w:pPr>
            <w:r w:rsidRPr="00A2639F">
              <w:rPr>
                <w:rFonts w:ascii="Arial" w:hAnsi="Arial" w:cs="Arial"/>
                <w:color w:val="000000"/>
                <w:sz w:val="16"/>
                <w:szCs w:val="16"/>
                <w:lang w:val="es-ES" w:eastAsia="es-ES"/>
              </w:rPr>
              <w:t>2014</w:t>
            </w:r>
          </w:p>
        </w:tc>
        <w:tc>
          <w:tcPr>
            <w:tcW w:w="603" w:type="dxa"/>
            <w:tcBorders>
              <w:bottom w:val="single" w:sz="4" w:space="0" w:color="auto"/>
            </w:tcBorders>
            <w:shd w:val="clear" w:color="auto" w:fill="8DB3E2" w:themeFill="text2" w:themeFillTint="66"/>
            <w:noWrap/>
            <w:vAlign w:val="center"/>
            <w:hideMark/>
          </w:tcPr>
          <w:p w:rsidR="00934679" w:rsidRPr="00A2639F" w:rsidRDefault="00934679" w:rsidP="00934679">
            <w:pPr>
              <w:spacing w:after="0"/>
              <w:ind w:firstLine="0"/>
              <w:jc w:val="right"/>
              <w:rPr>
                <w:rFonts w:ascii="Arial" w:hAnsi="Arial" w:cs="Arial"/>
                <w:color w:val="000000"/>
                <w:sz w:val="16"/>
                <w:szCs w:val="16"/>
                <w:lang w:val="es-ES" w:eastAsia="es-ES"/>
              </w:rPr>
            </w:pPr>
            <w:r w:rsidRPr="00A2639F">
              <w:rPr>
                <w:rFonts w:ascii="Arial" w:hAnsi="Arial" w:cs="Arial"/>
                <w:color w:val="000000"/>
                <w:sz w:val="16"/>
                <w:szCs w:val="16"/>
                <w:lang w:val="es-ES" w:eastAsia="es-ES"/>
              </w:rPr>
              <w:t>2015</w:t>
            </w:r>
          </w:p>
        </w:tc>
        <w:tc>
          <w:tcPr>
            <w:tcW w:w="567" w:type="dxa"/>
            <w:tcBorders>
              <w:bottom w:val="single" w:sz="4" w:space="0" w:color="auto"/>
            </w:tcBorders>
            <w:shd w:val="clear" w:color="auto" w:fill="8DB3E2" w:themeFill="text2" w:themeFillTint="66"/>
            <w:noWrap/>
            <w:vAlign w:val="center"/>
            <w:hideMark/>
          </w:tcPr>
          <w:p w:rsidR="00934679" w:rsidRPr="00A2639F" w:rsidRDefault="00934679" w:rsidP="00934679">
            <w:pPr>
              <w:spacing w:after="0"/>
              <w:ind w:firstLine="0"/>
              <w:jc w:val="right"/>
              <w:rPr>
                <w:rFonts w:ascii="Arial" w:hAnsi="Arial" w:cs="Arial"/>
                <w:color w:val="000000"/>
                <w:sz w:val="16"/>
                <w:szCs w:val="16"/>
                <w:lang w:val="es-ES" w:eastAsia="es-ES"/>
              </w:rPr>
            </w:pPr>
            <w:r w:rsidRPr="00A2639F">
              <w:rPr>
                <w:rFonts w:ascii="Arial" w:hAnsi="Arial" w:cs="Arial"/>
                <w:color w:val="000000"/>
                <w:sz w:val="16"/>
                <w:szCs w:val="16"/>
                <w:lang w:val="es-ES" w:eastAsia="es-ES"/>
              </w:rPr>
              <w:t xml:space="preserve">Total </w:t>
            </w:r>
          </w:p>
        </w:tc>
        <w:tc>
          <w:tcPr>
            <w:tcW w:w="2268" w:type="dxa"/>
            <w:tcBorders>
              <w:bottom w:val="single" w:sz="4" w:space="0" w:color="auto"/>
            </w:tcBorders>
            <w:shd w:val="clear" w:color="auto" w:fill="8DB3E2" w:themeFill="text2" w:themeFillTint="66"/>
            <w:noWrap/>
            <w:vAlign w:val="center"/>
            <w:hideMark/>
          </w:tcPr>
          <w:p w:rsidR="00934679" w:rsidRDefault="00934679" w:rsidP="00934679">
            <w:pPr>
              <w:spacing w:after="0"/>
              <w:ind w:firstLine="0"/>
              <w:jc w:val="center"/>
              <w:rPr>
                <w:rFonts w:ascii="Arial" w:hAnsi="Arial" w:cs="Arial"/>
                <w:color w:val="000000"/>
                <w:sz w:val="16"/>
                <w:szCs w:val="16"/>
                <w:lang w:val="es-ES" w:eastAsia="es-ES"/>
              </w:rPr>
            </w:pPr>
            <w:r w:rsidRPr="00A2639F">
              <w:rPr>
                <w:rFonts w:ascii="Arial" w:hAnsi="Arial" w:cs="Arial"/>
                <w:color w:val="000000"/>
                <w:sz w:val="16"/>
                <w:szCs w:val="16"/>
                <w:lang w:val="es-ES" w:eastAsia="es-ES"/>
              </w:rPr>
              <w:t>Objetivo</w:t>
            </w:r>
            <w:r>
              <w:rPr>
                <w:rFonts w:ascii="Arial" w:hAnsi="Arial" w:cs="Arial"/>
                <w:color w:val="000000"/>
                <w:sz w:val="16"/>
                <w:szCs w:val="16"/>
                <w:lang w:val="es-ES" w:eastAsia="es-ES"/>
              </w:rPr>
              <w:t xml:space="preserve"> p</w:t>
            </w:r>
            <w:r w:rsidRPr="00A2639F">
              <w:rPr>
                <w:rFonts w:ascii="Arial" w:hAnsi="Arial" w:cs="Arial"/>
                <w:color w:val="000000"/>
                <w:sz w:val="16"/>
                <w:szCs w:val="16"/>
                <w:lang w:val="es-ES" w:eastAsia="es-ES"/>
              </w:rPr>
              <w:t>revisto</w:t>
            </w:r>
            <w:r>
              <w:rPr>
                <w:rFonts w:ascii="Arial" w:hAnsi="Arial" w:cs="Arial"/>
                <w:color w:val="000000"/>
                <w:sz w:val="16"/>
                <w:szCs w:val="16"/>
                <w:lang w:val="es-ES" w:eastAsia="es-ES"/>
              </w:rPr>
              <w:t xml:space="preserve"> </w:t>
            </w:r>
          </w:p>
          <w:p w:rsidR="00934679" w:rsidRPr="00A2639F" w:rsidRDefault="00934679" w:rsidP="00934679">
            <w:pPr>
              <w:spacing w:after="0"/>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 xml:space="preserve"> en los cinco pilares</w:t>
            </w:r>
          </w:p>
        </w:tc>
        <w:tc>
          <w:tcPr>
            <w:tcW w:w="982" w:type="dxa"/>
            <w:tcBorders>
              <w:bottom w:val="single" w:sz="4" w:space="0" w:color="auto"/>
            </w:tcBorders>
            <w:shd w:val="clear" w:color="auto" w:fill="8DB3E2" w:themeFill="text2" w:themeFillTint="66"/>
            <w:noWrap/>
            <w:vAlign w:val="center"/>
            <w:hideMark/>
          </w:tcPr>
          <w:p w:rsidR="00934679" w:rsidRDefault="00934679" w:rsidP="00934679">
            <w:pPr>
              <w:spacing w:after="0"/>
              <w:ind w:firstLine="0"/>
              <w:jc w:val="center"/>
              <w:rPr>
                <w:rFonts w:ascii="Arial" w:hAnsi="Arial" w:cs="Arial"/>
                <w:color w:val="000000"/>
                <w:sz w:val="16"/>
                <w:szCs w:val="16"/>
                <w:lang w:val="es-ES" w:eastAsia="es-ES"/>
              </w:rPr>
            </w:pPr>
            <w:r w:rsidRPr="00A2639F">
              <w:rPr>
                <w:rFonts w:ascii="Arial" w:hAnsi="Arial" w:cs="Arial"/>
                <w:color w:val="000000"/>
                <w:sz w:val="16"/>
                <w:szCs w:val="16"/>
                <w:lang w:val="es-ES" w:eastAsia="es-ES"/>
              </w:rPr>
              <w:t>%</w:t>
            </w:r>
          </w:p>
          <w:p w:rsidR="00934679" w:rsidRPr="00A2639F" w:rsidRDefault="00934679" w:rsidP="00934679">
            <w:pPr>
              <w:spacing w:after="0"/>
              <w:ind w:firstLine="0"/>
              <w:jc w:val="center"/>
              <w:rPr>
                <w:rFonts w:ascii="Arial" w:hAnsi="Arial" w:cs="Arial"/>
                <w:color w:val="000000"/>
                <w:sz w:val="16"/>
                <w:szCs w:val="16"/>
                <w:lang w:val="es-ES" w:eastAsia="es-ES"/>
              </w:rPr>
            </w:pPr>
            <w:r w:rsidRPr="00A2639F">
              <w:rPr>
                <w:rFonts w:ascii="Arial" w:hAnsi="Arial" w:cs="Arial"/>
                <w:color w:val="000000"/>
                <w:sz w:val="16"/>
                <w:szCs w:val="16"/>
                <w:lang w:val="es-ES" w:eastAsia="es-ES"/>
              </w:rPr>
              <w:t>cumplimiento</w:t>
            </w:r>
          </w:p>
        </w:tc>
      </w:tr>
      <w:tr w:rsidR="00934679" w:rsidRPr="00A2639F" w:rsidTr="00920E4A">
        <w:trPr>
          <w:trHeight w:val="255"/>
          <w:jc w:val="center"/>
        </w:trPr>
        <w:tc>
          <w:tcPr>
            <w:tcW w:w="3012" w:type="dxa"/>
            <w:shd w:val="clear" w:color="auto" w:fill="auto"/>
            <w:noWrap/>
            <w:vAlign w:val="center"/>
            <w:hideMark/>
          </w:tcPr>
          <w:p w:rsidR="00934679" w:rsidRPr="00A2639F" w:rsidRDefault="00934679" w:rsidP="00934679">
            <w:pPr>
              <w:spacing w:after="0"/>
              <w:ind w:firstLine="0"/>
              <w:jc w:val="lef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 xml:space="preserve">Ahorros específicos II Plan de Reordenación </w:t>
            </w:r>
          </w:p>
        </w:tc>
        <w:tc>
          <w:tcPr>
            <w:tcW w:w="646" w:type="dxa"/>
            <w:shd w:val="clear" w:color="auto" w:fill="auto"/>
            <w:noWrap/>
            <w:vAlign w:val="center"/>
            <w:hideMark/>
          </w:tcPr>
          <w:p w:rsidR="00934679" w:rsidRPr="00A2639F" w:rsidRDefault="00934679" w:rsidP="00934679">
            <w:pPr>
              <w:spacing w:after="0"/>
              <w:ind w:firstLine="0"/>
              <w:jc w:val="righ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8.966</w:t>
            </w:r>
          </w:p>
        </w:tc>
        <w:tc>
          <w:tcPr>
            <w:tcW w:w="594" w:type="dxa"/>
            <w:shd w:val="clear" w:color="auto" w:fill="auto"/>
            <w:noWrap/>
            <w:vAlign w:val="center"/>
            <w:hideMark/>
          </w:tcPr>
          <w:p w:rsidR="00934679" w:rsidRPr="00A2639F" w:rsidRDefault="00934679" w:rsidP="00934679">
            <w:pPr>
              <w:spacing w:after="0"/>
              <w:ind w:firstLine="0"/>
              <w:jc w:val="righ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5.909</w:t>
            </w:r>
          </w:p>
        </w:tc>
        <w:tc>
          <w:tcPr>
            <w:tcW w:w="603" w:type="dxa"/>
            <w:shd w:val="clear" w:color="auto" w:fill="auto"/>
            <w:noWrap/>
            <w:vAlign w:val="center"/>
            <w:hideMark/>
          </w:tcPr>
          <w:p w:rsidR="00934679" w:rsidRPr="00A2639F" w:rsidRDefault="00934679" w:rsidP="00934679">
            <w:pPr>
              <w:spacing w:after="0"/>
              <w:ind w:firstLine="0"/>
              <w:jc w:val="righ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3.353</w:t>
            </w:r>
          </w:p>
        </w:tc>
        <w:tc>
          <w:tcPr>
            <w:tcW w:w="567" w:type="dxa"/>
            <w:shd w:val="clear" w:color="auto" w:fill="auto"/>
            <w:noWrap/>
            <w:vAlign w:val="center"/>
            <w:hideMark/>
          </w:tcPr>
          <w:p w:rsidR="00934679" w:rsidRPr="00A2639F" w:rsidRDefault="00934679" w:rsidP="00934679">
            <w:pPr>
              <w:spacing w:after="0"/>
              <w:ind w:firstLine="0"/>
              <w:jc w:val="righ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18.228</w:t>
            </w:r>
          </w:p>
        </w:tc>
        <w:tc>
          <w:tcPr>
            <w:tcW w:w="2268" w:type="dxa"/>
            <w:shd w:val="clear" w:color="auto" w:fill="auto"/>
            <w:noWrap/>
            <w:vAlign w:val="center"/>
            <w:hideMark/>
          </w:tcPr>
          <w:p w:rsidR="00934679" w:rsidRPr="00A2639F" w:rsidRDefault="00934679" w:rsidP="00934679">
            <w:pPr>
              <w:spacing w:after="0"/>
              <w:ind w:firstLine="0"/>
              <w:jc w:val="center"/>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14.970</w:t>
            </w:r>
          </w:p>
        </w:tc>
        <w:tc>
          <w:tcPr>
            <w:tcW w:w="982" w:type="dxa"/>
            <w:shd w:val="clear" w:color="auto" w:fill="auto"/>
            <w:noWrap/>
            <w:vAlign w:val="center"/>
            <w:hideMark/>
          </w:tcPr>
          <w:p w:rsidR="00934679" w:rsidRPr="00A2639F" w:rsidRDefault="00934679" w:rsidP="00F34AB6">
            <w:pPr>
              <w:spacing w:after="0"/>
              <w:ind w:left="-82" w:right="164" w:firstLine="0"/>
              <w:jc w:val="right"/>
              <w:rPr>
                <w:rFonts w:ascii="Arial Narrow" w:hAnsi="Arial Narrow" w:cs="Tahoma"/>
                <w:color w:val="000000"/>
                <w:sz w:val="17"/>
                <w:szCs w:val="17"/>
                <w:lang w:val="es-ES" w:eastAsia="es-ES"/>
              </w:rPr>
            </w:pPr>
            <w:r w:rsidRPr="00A2639F">
              <w:rPr>
                <w:rFonts w:ascii="Arial Narrow" w:hAnsi="Arial Narrow" w:cs="Tahoma"/>
                <w:color w:val="000000"/>
                <w:sz w:val="17"/>
                <w:szCs w:val="17"/>
                <w:lang w:val="es-ES" w:eastAsia="es-ES"/>
              </w:rPr>
              <w:t>122</w:t>
            </w:r>
          </w:p>
        </w:tc>
      </w:tr>
    </w:tbl>
    <w:p w:rsidR="009126F6" w:rsidRDefault="009126F6" w:rsidP="009126F6">
      <w:pPr>
        <w:pStyle w:val="texto"/>
        <w:tabs>
          <w:tab w:val="clear" w:pos="2835"/>
          <w:tab w:val="clear" w:pos="3969"/>
          <w:tab w:val="clear" w:pos="5103"/>
          <w:tab w:val="clear" w:pos="6237"/>
          <w:tab w:val="clear" w:pos="7371"/>
          <w:tab w:val="left" w:pos="480"/>
          <w:tab w:val="num" w:pos="1948"/>
        </w:tabs>
        <w:spacing w:after="160"/>
        <w:ind w:left="289" w:firstLine="0"/>
        <w:rPr>
          <w:szCs w:val="26"/>
        </w:rPr>
      </w:pPr>
    </w:p>
    <w:p w:rsidR="009126F6" w:rsidRDefault="009126F6" w:rsidP="00374B34">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spacing w:after="120"/>
        <w:ind w:left="0" w:firstLine="289"/>
        <w:rPr>
          <w:szCs w:val="26"/>
        </w:rPr>
      </w:pPr>
      <w:r>
        <w:rPr>
          <w:szCs w:val="26"/>
        </w:rPr>
        <w:lastRenderedPageBreak/>
        <w:t xml:space="preserve">La evolución del EBITDA </w:t>
      </w:r>
      <w:r w:rsidR="00230985">
        <w:rPr>
          <w:szCs w:val="26"/>
        </w:rPr>
        <w:t xml:space="preserve">es </w:t>
      </w:r>
      <w:r>
        <w:rPr>
          <w:szCs w:val="26"/>
        </w:rPr>
        <w:t>la siguiente:</w:t>
      </w:r>
    </w:p>
    <w:p w:rsidR="006631CF" w:rsidRDefault="006631CF" w:rsidP="006631CF">
      <w:pPr>
        <w:pStyle w:val="texto"/>
        <w:tabs>
          <w:tab w:val="clear" w:pos="2835"/>
          <w:tab w:val="clear" w:pos="3969"/>
          <w:tab w:val="clear" w:pos="5103"/>
          <w:tab w:val="clear" w:pos="6237"/>
          <w:tab w:val="clear" w:pos="7371"/>
          <w:tab w:val="left" w:pos="480"/>
          <w:tab w:val="num" w:pos="1948"/>
        </w:tabs>
        <w:spacing w:after="160"/>
        <w:ind w:left="289" w:firstLine="0"/>
        <w:jc w:val="right"/>
        <w:rPr>
          <w:szCs w:val="26"/>
        </w:rPr>
      </w:pPr>
      <w:r>
        <w:rPr>
          <w:rFonts w:ascii="Arial Narrow" w:hAnsi="Arial Narrow"/>
          <w:sz w:val="16"/>
          <w:szCs w:val="16"/>
        </w:rPr>
        <w:t xml:space="preserve">                             </w:t>
      </w:r>
      <w:r w:rsidRPr="00862DAE">
        <w:rPr>
          <w:rFonts w:ascii="Arial Narrow" w:hAnsi="Arial Narrow"/>
          <w:sz w:val="16"/>
          <w:szCs w:val="16"/>
        </w:rPr>
        <w:t>(en miles de euros)</w:t>
      </w:r>
    </w:p>
    <w:tbl>
      <w:tblPr>
        <w:tblW w:w="0" w:type="auto"/>
        <w:jc w:val="center"/>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34"/>
        <w:gridCol w:w="1676"/>
        <w:gridCol w:w="1134"/>
        <w:gridCol w:w="992"/>
        <w:gridCol w:w="1134"/>
        <w:gridCol w:w="1035"/>
        <w:gridCol w:w="960"/>
        <w:gridCol w:w="1072"/>
      </w:tblGrid>
      <w:tr w:rsidR="009126F6" w:rsidRPr="007343D0" w:rsidTr="009126F6">
        <w:trPr>
          <w:trHeight w:val="312"/>
          <w:jc w:val="center"/>
        </w:trPr>
        <w:tc>
          <w:tcPr>
            <w:tcW w:w="734" w:type="dxa"/>
            <w:shd w:val="clear" w:color="000000" w:fill="8DB4E2"/>
            <w:noWrap/>
            <w:vAlign w:val="center"/>
            <w:hideMark/>
          </w:tcPr>
          <w:p w:rsidR="009126F6" w:rsidRPr="007343D0" w:rsidRDefault="009126F6" w:rsidP="009126F6">
            <w:pPr>
              <w:spacing w:after="0"/>
              <w:ind w:firstLine="0"/>
              <w:jc w:val="left"/>
              <w:rPr>
                <w:rFonts w:ascii="Arial" w:hAnsi="Arial" w:cs="Arial"/>
                <w:sz w:val="17"/>
                <w:szCs w:val="17"/>
                <w:lang w:val="es-ES" w:eastAsia="es-ES"/>
              </w:rPr>
            </w:pPr>
            <w:r w:rsidRPr="007343D0">
              <w:rPr>
                <w:rFonts w:ascii="Arial" w:hAnsi="Arial" w:cs="Arial"/>
                <w:sz w:val="17"/>
                <w:szCs w:val="17"/>
                <w:lang w:val="es-ES" w:eastAsia="es-ES"/>
              </w:rPr>
              <w:t> </w:t>
            </w:r>
          </w:p>
        </w:tc>
        <w:tc>
          <w:tcPr>
            <w:tcW w:w="1676" w:type="dxa"/>
            <w:shd w:val="clear" w:color="000000" w:fill="8DB4E2"/>
            <w:noWrap/>
            <w:vAlign w:val="center"/>
            <w:hideMark/>
          </w:tcPr>
          <w:p w:rsidR="009126F6" w:rsidRPr="00191895" w:rsidRDefault="009126F6" w:rsidP="009126F6">
            <w:pPr>
              <w:spacing w:after="0"/>
              <w:ind w:firstLine="0"/>
              <w:jc w:val="right"/>
              <w:rPr>
                <w:rFonts w:ascii="Arial" w:hAnsi="Arial" w:cs="Arial"/>
                <w:sz w:val="17"/>
                <w:szCs w:val="17"/>
                <w:lang w:val="es-ES" w:eastAsia="es-ES"/>
              </w:rPr>
            </w:pPr>
            <w:r w:rsidRPr="00191895">
              <w:rPr>
                <w:rFonts w:ascii="Arial" w:hAnsi="Arial" w:cs="Arial"/>
                <w:sz w:val="17"/>
                <w:szCs w:val="17"/>
                <w:lang w:val="es-ES" w:eastAsia="es-ES"/>
              </w:rPr>
              <w:t xml:space="preserve">             2010</w:t>
            </w:r>
          </w:p>
        </w:tc>
        <w:tc>
          <w:tcPr>
            <w:tcW w:w="1134"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2011</w:t>
            </w:r>
          </w:p>
        </w:tc>
        <w:tc>
          <w:tcPr>
            <w:tcW w:w="992"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2012</w:t>
            </w:r>
          </w:p>
        </w:tc>
        <w:tc>
          <w:tcPr>
            <w:tcW w:w="1134"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2013</w:t>
            </w:r>
          </w:p>
        </w:tc>
        <w:tc>
          <w:tcPr>
            <w:tcW w:w="1035"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2014</w:t>
            </w:r>
          </w:p>
        </w:tc>
        <w:tc>
          <w:tcPr>
            <w:tcW w:w="960"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2015</w:t>
            </w:r>
          </w:p>
        </w:tc>
        <w:tc>
          <w:tcPr>
            <w:tcW w:w="1072" w:type="dxa"/>
            <w:shd w:val="clear" w:color="000000" w:fill="8DB4E2"/>
            <w:noWrap/>
            <w:vAlign w:val="center"/>
            <w:hideMark/>
          </w:tcPr>
          <w:p w:rsidR="009126F6" w:rsidRPr="007343D0" w:rsidRDefault="009126F6" w:rsidP="009126F6">
            <w:pPr>
              <w:spacing w:after="0"/>
              <w:ind w:firstLine="0"/>
              <w:jc w:val="right"/>
              <w:rPr>
                <w:rFonts w:ascii="Arial" w:hAnsi="Arial" w:cs="Arial"/>
                <w:sz w:val="17"/>
                <w:szCs w:val="17"/>
                <w:lang w:val="es-ES" w:eastAsia="es-ES"/>
              </w:rPr>
            </w:pPr>
            <w:r w:rsidRPr="007343D0">
              <w:rPr>
                <w:rFonts w:ascii="Arial" w:hAnsi="Arial" w:cs="Arial"/>
                <w:sz w:val="17"/>
                <w:szCs w:val="17"/>
                <w:lang w:val="es-ES" w:eastAsia="es-ES"/>
              </w:rPr>
              <w:t>2016</w:t>
            </w:r>
          </w:p>
        </w:tc>
      </w:tr>
      <w:tr w:rsidR="009126F6" w:rsidRPr="007343D0" w:rsidTr="009126F6">
        <w:trPr>
          <w:trHeight w:val="255"/>
          <w:jc w:val="center"/>
        </w:trPr>
        <w:tc>
          <w:tcPr>
            <w:tcW w:w="734" w:type="dxa"/>
            <w:shd w:val="clear" w:color="auto" w:fill="auto"/>
            <w:noWrap/>
            <w:vAlign w:val="center"/>
            <w:hideMark/>
          </w:tcPr>
          <w:p w:rsidR="009126F6" w:rsidRPr="007343D0" w:rsidRDefault="009126F6" w:rsidP="009126F6">
            <w:pPr>
              <w:spacing w:after="0"/>
              <w:ind w:firstLine="0"/>
              <w:jc w:val="left"/>
              <w:rPr>
                <w:rFonts w:ascii="Arial Narrow" w:hAnsi="Arial Narrow" w:cs="Tahoma"/>
                <w:sz w:val="18"/>
                <w:szCs w:val="18"/>
                <w:lang w:val="es-ES" w:eastAsia="es-ES"/>
              </w:rPr>
            </w:pPr>
            <w:r w:rsidRPr="007343D0">
              <w:rPr>
                <w:rFonts w:ascii="Arial Narrow" w:hAnsi="Arial Narrow" w:cs="Tahoma"/>
                <w:sz w:val="18"/>
                <w:szCs w:val="18"/>
                <w:lang w:val="es-ES" w:eastAsia="es-ES"/>
              </w:rPr>
              <w:t>EBITDA</w:t>
            </w:r>
          </w:p>
        </w:tc>
        <w:tc>
          <w:tcPr>
            <w:tcW w:w="1676" w:type="dxa"/>
            <w:shd w:val="clear" w:color="auto" w:fill="auto"/>
            <w:noWrap/>
            <w:vAlign w:val="center"/>
          </w:tcPr>
          <w:p w:rsidR="009126F6" w:rsidRPr="00191895"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809</w:t>
            </w:r>
          </w:p>
        </w:tc>
        <w:tc>
          <w:tcPr>
            <w:tcW w:w="1134"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-15.386</w:t>
            </w:r>
          </w:p>
        </w:tc>
        <w:tc>
          <w:tcPr>
            <w:tcW w:w="992"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-35.909</w:t>
            </w:r>
          </w:p>
        </w:tc>
        <w:tc>
          <w:tcPr>
            <w:tcW w:w="1134"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14.555</w:t>
            </w:r>
          </w:p>
        </w:tc>
        <w:tc>
          <w:tcPr>
            <w:tcW w:w="1035"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35.934</w:t>
            </w:r>
          </w:p>
        </w:tc>
        <w:tc>
          <w:tcPr>
            <w:tcW w:w="960"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975</w:t>
            </w:r>
          </w:p>
        </w:tc>
        <w:tc>
          <w:tcPr>
            <w:tcW w:w="1072" w:type="dxa"/>
            <w:shd w:val="clear" w:color="auto" w:fill="auto"/>
            <w:noWrap/>
            <w:vAlign w:val="center"/>
          </w:tcPr>
          <w:p w:rsidR="009126F6" w:rsidRPr="007343D0" w:rsidRDefault="009126F6" w:rsidP="009126F6">
            <w:pPr>
              <w:spacing w:after="0"/>
              <w:ind w:firstLine="0"/>
              <w:jc w:val="right"/>
              <w:rPr>
                <w:rFonts w:ascii="Arial Narrow" w:hAnsi="Arial Narrow" w:cs="Tahoma"/>
                <w:sz w:val="18"/>
                <w:szCs w:val="18"/>
                <w:lang w:val="es-ES" w:eastAsia="es-ES"/>
              </w:rPr>
            </w:pPr>
            <w:r>
              <w:rPr>
                <w:rFonts w:ascii="Arial Narrow" w:hAnsi="Arial Narrow" w:cs="Tahoma"/>
                <w:sz w:val="18"/>
                <w:szCs w:val="18"/>
                <w:lang w:val="es-ES" w:eastAsia="es-ES"/>
              </w:rPr>
              <w:t>9.188</w:t>
            </w:r>
          </w:p>
        </w:tc>
      </w:tr>
    </w:tbl>
    <w:p w:rsidR="006631CF" w:rsidRPr="006631CF" w:rsidRDefault="00230985" w:rsidP="00374B34">
      <w:pPr>
        <w:pStyle w:val="texto"/>
        <w:tabs>
          <w:tab w:val="clear" w:pos="2835"/>
          <w:tab w:val="clear" w:pos="3969"/>
          <w:tab w:val="clear" w:pos="5103"/>
          <w:tab w:val="clear" w:pos="6237"/>
          <w:tab w:val="clear" w:pos="7371"/>
        </w:tabs>
        <w:spacing w:before="240"/>
      </w:pPr>
      <w:r>
        <w:rPr>
          <w:rFonts w:eastAsiaTheme="minorHAnsi"/>
          <w:szCs w:val="26"/>
        </w:rPr>
        <w:t xml:space="preserve">Se observa </w:t>
      </w:r>
      <w:r w:rsidR="006631CF">
        <w:rPr>
          <w:rFonts w:eastAsiaTheme="minorHAnsi"/>
          <w:szCs w:val="26"/>
        </w:rPr>
        <w:t>una evolución positiva al pasar de un EBITDA en 2010 de 0,81 millones</w:t>
      </w:r>
      <w:r>
        <w:rPr>
          <w:rFonts w:eastAsiaTheme="minorHAnsi"/>
          <w:szCs w:val="26"/>
        </w:rPr>
        <w:t>,</w:t>
      </w:r>
      <w:r w:rsidR="006631CF">
        <w:rPr>
          <w:rFonts w:eastAsiaTheme="minorHAnsi"/>
          <w:szCs w:val="26"/>
        </w:rPr>
        <w:t xml:space="preserve"> a 9,19 millones de euros en 2016.</w:t>
      </w:r>
      <w:r>
        <w:rPr>
          <w:rFonts w:eastAsiaTheme="minorHAnsi"/>
          <w:szCs w:val="26"/>
        </w:rPr>
        <w:t xml:space="preserve"> No obstante, si bien el ahorro en costes verificados en el informe tiene impacto en el EBITDA, esta magnitud está condicionada por múltiples factores</w:t>
      </w:r>
      <w:r w:rsidR="00C34878">
        <w:rPr>
          <w:rFonts w:eastAsiaTheme="minorHAnsi"/>
          <w:szCs w:val="26"/>
        </w:rPr>
        <w:t xml:space="preserve"> (</w:t>
      </w:r>
      <w:r w:rsidR="00C34878">
        <w:t>deterioros contables de empresas participadas por SODENA, actividades no homogéneas entre las distintas s</w:t>
      </w:r>
      <w:r w:rsidR="00C34878">
        <w:t>o</w:t>
      </w:r>
      <w:r w:rsidR="00C34878">
        <w:t xml:space="preserve">ciedades públicas, evolución del mercado inmobiliario, entre otros) </w:t>
      </w:r>
      <w:r>
        <w:rPr>
          <w:rFonts w:eastAsiaTheme="minorHAnsi"/>
          <w:szCs w:val="26"/>
        </w:rPr>
        <w:t xml:space="preserve">que </w:t>
      </w:r>
      <w:r w:rsidR="00C34878">
        <w:rPr>
          <w:rFonts w:eastAsiaTheme="minorHAnsi"/>
          <w:szCs w:val="26"/>
        </w:rPr>
        <w:t>inte</w:t>
      </w:r>
      <w:r w:rsidR="00C34878">
        <w:rPr>
          <w:rFonts w:eastAsiaTheme="minorHAnsi"/>
          <w:szCs w:val="26"/>
        </w:rPr>
        <w:t>r</w:t>
      </w:r>
      <w:r w:rsidR="00C34878">
        <w:rPr>
          <w:rFonts w:eastAsiaTheme="minorHAnsi"/>
          <w:szCs w:val="26"/>
        </w:rPr>
        <w:t>fieren en la evolución del mismo</w:t>
      </w:r>
      <w:r>
        <w:rPr>
          <w:rFonts w:eastAsiaTheme="minorHAnsi"/>
          <w:szCs w:val="26"/>
        </w:rPr>
        <w:t xml:space="preserve">. </w:t>
      </w:r>
    </w:p>
    <w:p w:rsidR="00AD5D75" w:rsidRDefault="00206D5E" w:rsidP="00374B34">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ind w:left="0" w:firstLine="289"/>
        <w:rPr>
          <w:szCs w:val="26"/>
        </w:rPr>
      </w:pPr>
      <w:r>
        <w:rPr>
          <w:szCs w:val="26"/>
        </w:rPr>
        <w:t>La</w:t>
      </w:r>
      <w:r w:rsidR="005B7561">
        <w:rPr>
          <w:szCs w:val="26"/>
        </w:rPr>
        <w:t>s</w:t>
      </w:r>
      <w:r>
        <w:rPr>
          <w:szCs w:val="26"/>
        </w:rPr>
        <w:t xml:space="preserve"> sociedad</w:t>
      </w:r>
      <w:r w:rsidR="005B7561">
        <w:rPr>
          <w:szCs w:val="26"/>
        </w:rPr>
        <w:t>es</w:t>
      </w:r>
      <w:r>
        <w:rPr>
          <w:szCs w:val="26"/>
        </w:rPr>
        <w:t xml:space="preserve"> pública</w:t>
      </w:r>
      <w:r w:rsidR="005B7561">
        <w:rPr>
          <w:szCs w:val="26"/>
        </w:rPr>
        <w:t>s</w:t>
      </w:r>
      <w:r>
        <w:rPr>
          <w:szCs w:val="26"/>
        </w:rPr>
        <w:t xml:space="preserve"> </w:t>
      </w:r>
      <w:r w:rsidR="00A52D47">
        <w:rPr>
          <w:szCs w:val="26"/>
        </w:rPr>
        <w:t>NASUVINSA</w:t>
      </w:r>
      <w:r w:rsidR="00A06942">
        <w:rPr>
          <w:szCs w:val="26"/>
        </w:rPr>
        <w:t xml:space="preserve"> </w:t>
      </w:r>
      <w:r w:rsidR="00A52D47">
        <w:rPr>
          <w:szCs w:val="26"/>
        </w:rPr>
        <w:t xml:space="preserve">y CAT </w:t>
      </w:r>
      <w:r>
        <w:rPr>
          <w:szCs w:val="26"/>
        </w:rPr>
        <w:t>ha</w:t>
      </w:r>
      <w:r w:rsidR="005B7561">
        <w:rPr>
          <w:szCs w:val="26"/>
        </w:rPr>
        <w:t>n</w:t>
      </w:r>
      <w:r>
        <w:rPr>
          <w:szCs w:val="26"/>
        </w:rPr>
        <w:t xml:space="preserve"> desarrollado un plan de ventas de activos que ha</w:t>
      </w:r>
      <w:r w:rsidR="005B7561">
        <w:rPr>
          <w:szCs w:val="26"/>
        </w:rPr>
        <w:t>n</w:t>
      </w:r>
      <w:r>
        <w:rPr>
          <w:szCs w:val="26"/>
        </w:rPr>
        <w:t xml:space="preserve"> supuesto un total de </w:t>
      </w:r>
      <w:r w:rsidR="00FF11E0">
        <w:rPr>
          <w:szCs w:val="26"/>
        </w:rPr>
        <w:t xml:space="preserve">ingresos en el periodo 2013-2015 por </w:t>
      </w:r>
      <w:r>
        <w:rPr>
          <w:szCs w:val="26"/>
        </w:rPr>
        <w:t>66,08 millones de euros.</w:t>
      </w:r>
    </w:p>
    <w:p w:rsidR="00206D5E" w:rsidRDefault="00206D5E" w:rsidP="00374B34">
      <w:pPr>
        <w:pStyle w:val="texto"/>
        <w:tabs>
          <w:tab w:val="clear" w:pos="2835"/>
          <w:tab w:val="clear" w:pos="3969"/>
          <w:tab w:val="clear" w:pos="5103"/>
          <w:tab w:val="clear" w:pos="6237"/>
          <w:tab w:val="clear" w:pos="7371"/>
          <w:tab w:val="left" w:pos="480"/>
          <w:tab w:val="num" w:pos="1948"/>
        </w:tabs>
      </w:pPr>
      <w:r>
        <w:t>Se ha revisado una muestra de 35 operaciones por un volumen económico de siete millones de euros que supone un 11 por ciento de las operaciones re</w:t>
      </w:r>
      <w:r>
        <w:t>a</w:t>
      </w:r>
      <w:r>
        <w:t xml:space="preserve">lizadas, siendo el resultado de las verificaciones realizadas razonable. </w:t>
      </w:r>
    </w:p>
    <w:p w:rsidR="00206D5E" w:rsidRDefault="00207099" w:rsidP="001117DC">
      <w:pPr>
        <w:pStyle w:val="texto"/>
        <w:tabs>
          <w:tab w:val="clear" w:pos="2835"/>
          <w:tab w:val="clear" w:pos="3969"/>
          <w:tab w:val="clear" w:pos="5103"/>
          <w:tab w:val="clear" w:pos="6237"/>
          <w:tab w:val="clear" w:pos="7371"/>
          <w:tab w:val="left" w:pos="480"/>
          <w:tab w:val="num" w:pos="1948"/>
        </w:tabs>
        <w:spacing w:after="120"/>
        <w:rPr>
          <w:szCs w:val="26"/>
        </w:rPr>
      </w:pPr>
      <w:r>
        <w:rPr>
          <w:szCs w:val="26"/>
        </w:rPr>
        <w:t xml:space="preserve">La ejecución </w:t>
      </w:r>
      <w:r w:rsidR="00206D5E">
        <w:rPr>
          <w:szCs w:val="26"/>
        </w:rPr>
        <w:t>de</w:t>
      </w:r>
      <w:r>
        <w:rPr>
          <w:szCs w:val="26"/>
        </w:rPr>
        <w:t xml:space="preserve">l plan de ventas </w:t>
      </w:r>
      <w:r w:rsidR="00206D5E">
        <w:rPr>
          <w:szCs w:val="26"/>
        </w:rPr>
        <w:t>para la obtención de liquidez, es la siguiente según datos de CPEN</w:t>
      </w:r>
      <w:r w:rsidR="000A2BB3">
        <w:rPr>
          <w:szCs w:val="26"/>
        </w:rPr>
        <w:t>:</w:t>
      </w:r>
    </w:p>
    <w:p w:rsidR="00191895" w:rsidRPr="002E30FE" w:rsidRDefault="00191895" w:rsidP="00191895">
      <w:pPr>
        <w:pStyle w:val="texto"/>
        <w:spacing w:after="100"/>
        <w:ind w:left="1588"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396288">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70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67"/>
        <w:gridCol w:w="1559"/>
        <w:gridCol w:w="1701"/>
        <w:gridCol w:w="1418"/>
        <w:gridCol w:w="1559"/>
      </w:tblGrid>
      <w:tr w:rsidR="00AD5D75" w:rsidRPr="005717B1" w:rsidTr="00AD5D75">
        <w:trPr>
          <w:trHeight w:val="300"/>
          <w:jc w:val="center"/>
        </w:trPr>
        <w:tc>
          <w:tcPr>
            <w:tcW w:w="2467" w:type="dxa"/>
            <w:tcBorders>
              <w:bottom w:val="single" w:sz="4" w:space="0" w:color="auto"/>
            </w:tcBorders>
            <w:shd w:val="clear" w:color="auto" w:fill="8DB3E2" w:themeFill="text2" w:themeFillTint="66"/>
            <w:noWrap/>
            <w:vAlign w:val="center"/>
            <w:hideMark/>
          </w:tcPr>
          <w:p w:rsidR="00AD5D75" w:rsidRPr="005717B1" w:rsidRDefault="00AD5D75" w:rsidP="00AD5D75">
            <w:pPr>
              <w:spacing w:after="0"/>
              <w:ind w:firstLine="0"/>
              <w:jc w:val="left"/>
              <w:rPr>
                <w:rFonts w:ascii="Arial" w:hAnsi="Arial" w:cs="Arial"/>
                <w:color w:val="000000"/>
                <w:sz w:val="17"/>
                <w:szCs w:val="17"/>
                <w:lang w:val="es-ES" w:eastAsia="es-ES"/>
              </w:rPr>
            </w:pPr>
            <w:r w:rsidRPr="005717B1">
              <w:rPr>
                <w:rFonts w:ascii="Arial" w:hAnsi="Arial" w:cs="Arial"/>
                <w:color w:val="000000"/>
                <w:sz w:val="17"/>
                <w:szCs w:val="17"/>
                <w:lang w:val="es-ES" w:eastAsia="es-ES"/>
              </w:rPr>
              <w:t>Total i</w:t>
            </w:r>
            <w:r w:rsidR="00743804" w:rsidRPr="005717B1">
              <w:rPr>
                <w:rFonts w:ascii="Arial" w:hAnsi="Arial" w:cs="Arial"/>
                <w:color w:val="000000"/>
                <w:sz w:val="17"/>
                <w:szCs w:val="17"/>
                <w:lang w:val="es-ES" w:eastAsia="es-ES"/>
              </w:rPr>
              <w:t>ngresos</w:t>
            </w:r>
          </w:p>
        </w:tc>
        <w:tc>
          <w:tcPr>
            <w:tcW w:w="1559" w:type="dxa"/>
            <w:tcBorders>
              <w:bottom w:val="single" w:sz="4" w:space="0" w:color="auto"/>
            </w:tcBorders>
            <w:shd w:val="clear" w:color="auto" w:fill="8DB3E2" w:themeFill="text2" w:themeFillTint="66"/>
            <w:noWrap/>
            <w:vAlign w:val="center"/>
            <w:hideMark/>
          </w:tcPr>
          <w:p w:rsidR="00AD5D75" w:rsidRPr="005717B1" w:rsidRDefault="00AD5D75"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2013</w:t>
            </w:r>
          </w:p>
        </w:tc>
        <w:tc>
          <w:tcPr>
            <w:tcW w:w="1701" w:type="dxa"/>
            <w:tcBorders>
              <w:bottom w:val="single" w:sz="4" w:space="0" w:color="auto"/>
            </w:tcBorders>
            <w:shd w:val="clear" w:color="auto" w:fill="8DB3E2" w:themeFill="text2" w:themeFillTint="66"/>
            <w:noWrap/>
            <w:vAlign w:val="center"/>
            <w:hideMark/>
          </w:tcPr>
          <w:p w:rsidR="00AD5D75" w:rsidRPr="005717B1" w:rsidRDefault="00AD5D75"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2014</w:t>
            </w:r>
          </w:p>
        </w:tc>
        <w:tc>
          <w:tcPr>
            <w:tcW w:w="1418" w:type="dxa"/>
            <w:tcBorders>
              <w:bottom w:val="single" w:sz="4" w:space="0" w:color="auto"/>
            </w:tcBorders>
            <w:shd w:val="clear" w:color="auto" w:fill="8DB3E2" w:themeFill="text2" w:themeFillTint="66"/>
            <w:noWrap/>
            <w:vAlign w:val="center"/>
            <w:hideMark/>
          </w:tcPr>
          <w:p w:rsidR="00AD5D75" w:rsidRPr="005717B1" w:rsidRDefault="00AD5D75"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2015</w:t>
            </w:r>
          </w:p>
        </w:tc>
        <w:tc>
          <w:tcPr>
            <w:tcW w:w="1559" w:type="dxa"/>
            <w:tcBorders>
              <w:bottom w:val="single" w:sz="4" w:space="0" w:color="auto"/>
            </w:tcBorders>
            <w:shd w:val="clear" w:color="auto" w:fill="8DB3E2" w:themeFill="text2" w:themeFillTint="66"/>
            <w:noWrap/>
            <w:vAlign w:val="center"/>
            <w:hideMark/>
          </w:tcPr>
          <w:p w:rsidR="00AD5D75" w:rsidRPr="005717B1" w:rsidRDefault="00AD5D75"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Total</w:t>
            </w:r>
          </w:p>
        </w:tc>
      </w:tr>
      <w:tr w:rsidR="00AD5D75" w:rsidRPr="005717B1" w:rsidTr="00AD5D75">
        <w:trPr>
          <w:trHeight w:val="255"/>
          <w:jc w:val="center"/>
        </w:trPr>
        <w:tc>
          <w:tcPr>
            <w:tcW w:w="2467" w:type="dxa"/>
            <w:tcBorders>
              <w:bottom w:val="single" w:sz="2" w:space="0" w:color="auto"/>
            </w:tcBorders>
            <w:shd w:val="clear" w:color="auto" w:fill="auto"/>
            <w:noWrap/>
            <w:vAlign w:val="center"/>
            <w:hideMark/>
          </w:tcPr>
          <w:p w:rsidR="00AD5D75" w:rsidRPr="005717B1" w:rsidRDefault="00AD5D75" w:rsidP="00AD5D75">
            <w:pPr>
              <w:spacing w:after="0"/>
              <w:ind w:firstLine="0"/>
              <w:jc w:val="lef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Objetivo</w:t>
            </w:r>
          </w:p>
        </w:tc>
        <w:tc>
          <w:tcPr>
            <w:tcW w:w="1559" w:type="dxa"/>
            <w:tcBorders>
              <w:bottom w:val="single" w:sz="2" w:space="0" w:color="auto"/>
            </w:tcBorders>
            <w:shd w:val="clear" w:color="auto" w:fill="auto"/>
            <w:noWrap/>
            <w:vAlign w:val="center"/>
            <w:hideMark/>
          </w:tcPr>
          <w:p w:rsidR="00AD5D75" w:rsidRPr="005717B1" w:rsidRDefault="007F4683" w:rsidP="007F4683">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23.153</w:t>
            </w:r>
          </w:p>
        </w:tc>
        <w:tc>
          <w:tcPr>
            <w:tcW w:w="1701" w:type="dxa"/>
            <w:tcBorders>
              <w:bottom w:val="single" w:sz="2" w:space="0" w:color="auto"/>
            </w:tcBorders>
            <w:shd w:val="clear" w:color="auto" w:fill="auto"/>
            <w:noWrap/>
            <w:vAlign w:val="center"/>
            <w:hideMark/>
          </w:tcPr>
          <w:p w:rsidR="00AD5D75" w:rsidRPr="005717B1" w:rsidRDefault="007F4683" w:rsidP="007F4683">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34.531</w:t>
            </w:r>
          </w:p>
        </w:tc>
        <w:tc>
          <w:tcPr>
            <w:tcW w:w="1418" w:type="dxa"/>
            <w:tcBorders>
              <w:bottom w:val="single" w:sz="2" w:space="0" w:color="auto"/>
            </w:tcBorders>
            <w:shd w:val="clear" w:color="auto" w:fill="auto"/>
            <w:noWrap/>
            <w:vAlign w:val="center"/>
            <w:hideMark/>
          </w:tcPr>
          <w:p w:rsidR="00AD5D75" w:rsidRPr="005717B1" w:rsidRDefault="007F4683" w:rsidP="00AD5D75">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32.219</w:t>
            </w:r>
          </w:p>
        </w:tc>
        <w:tc>
          <w:tcPr>
            <w:tcW w:w="1559" w:type="dxa"/>
            <w:tcBorders>
              <w:bottom w:val="single" w:sz="2" w:space="0" w:color="auto"/>
            </w:tcBorders>
            <w:shd w:val="clear" w:color="auto" w:fill="auto"/>
            <w:noWrap/>
            <w:vAlign w:val="center"/>
            <w:hideMark/>
          </w:tcPr>
          <w:p w:rsidR="00AD5D75" w:rsidRPr="005717B1" w:rsidRDefault="007F4683" w:rsidP="007F4683">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89.903</w:t>
            </w:r>
          </w:p>
        </w:tc>
      </w:tr>
      <w:tr w:rsidR="00AD5D75" w:rsidRPr="005717B1" w:rsidTr="00AD5D75">
        <w:trPr>
          <w:trHeight w:val="255"/>
          <w:jc w:val="center"/>
        </w:trPr>
        <w:tc>
          <w:tcPr>
            <w:tcW w:w="2467" w:type="dxa"/>
            <w:tcBorders>
              <w:top w:val="single" w:sz="2" w:space="0" w:color="auto"/>
              <w:bottom w:val="single" w:sz="4" w:space="0" w:color="auto"/>
            </w:tcBorders>
            <w:shd w:val="clear" w:color="auto" w:fill="auto"/>
            <w:noWrap/>
            <w:vAlign w:val="center"/>
            <w:hideMark/>
          </w:tcPr>
          <w:p w:rsidR="00AD5D75" w:rsidRPr="005717B1" w:rsidRDefault="00AD5D75" w:rsidP="00AD5D75">
            <w:pPr>
              <w:spacing w:after="0"/>
              <w:ind w:firstLine="0"/>
              <w:jc w:val="lef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Real</w:t>
            </w:r>
          </w:p>
        </w:tc>
        <w:tc>
          <w:tcPr>
            <w:tcW w:w="1559" w:type="dxa"/>
            <w:tcBorders>
              <w:top w:val="single" w:sz="2" w:space="0" w:color="auto"/>
              <w:bottom w:val="single" w:sz="4" w:space="0" w:color="auto"/>
            </w:tcBorders>
            <w:shd w:val="clear" w:color="auto" w:fill="auto"/>
            <w:noWrap/>
            <w:vAlign w:val="center"/>
            <w:hideMark/>
          </w:tcPr>
          <w:p w:rsidR="00AD5D75" w:rsidRPr="005717B1" w:rsidRDefault="00AD5D75" w:rsidP="00AD5D75">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16.544</w:t>
            </w:r>
          </w:p>
        </w:tc>
        <w:tc>
          <w:tcPr>
            <w:tcW w:w="1701" w:type="dxa"/>
            <w:tcBorders>
              <w:top w:val="single" w:sz="2" w:space="0" w:color="auto"/>
              <w:bottom w:val="single" w:sz="4" w:space="0" w:color="auto"/>
            </w:tcBorders>
            <w:shd w:val="clear" w:color="auto" w:fill="auto"/>
            <w:noWrap/>
            <w:vAlign w:val="center"/>
            <w:hideMark/>
          </w:tcPr>
          <w:p w:rsidR="00AD5D75" w:rsidRPr="005717B1" w:rsidRDefault="00AD5D75" w:rsidP="00AD5D75">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28.542</w:t>
            </w:r>
          </w:p>
        </w:tc>
        <w:tc>
          <w:tcPr>
            <w:tcW w:w="1418" w:type="dxa"/>
            <w:tcBorders>
              <w:top w:val="single" w:sz="2" w:space="0" w:color="auto"/>
              <w:bottom w:val="single" w:sz="4" w:space="0" w:color="auto"/>
            </w:tcBorders>
            <w:shd w:val="clear" w:color="auto" w:fill="auto"/>
            <w:noWrap/>
            <w:vAlign w:val="center"/>
            <w:hideMark/>
          </w:tcPr>
          <w:p w:rsidR="00AD5D75" w:rsidRPr="005717B1" w:rsidRDefault="00AD5D75" w:rsidP="00AD5D75">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21.001</w:t>
            </w:r>
          </w:p>
        </w:tc>
        <w:tc>
          <w:tcPr>
            <w:tcW w:w="1559" w:type="dxa"/>
            <w:tcBorders>
              <w:top w:val="single" w:sz="2" w:space="0" w:color="auto"/>
              <w:bottom w:val="single" w:sz="4" w:space="0" w:color="auto"/>
            </w:tcBorders>
            <w:shd w:val="clear" w:color="auto" w:fill="auto"/>
            <w:noWrap/>
            <w:vAlign w:val="center"/>
            <w:hideMark/>
          </w:tcPr>
          <w:p w:rsidR="00AD5D75" w:rsidRPr="005717B1" w:rsidRDefault="00AD5D75" w:rsidP="00AD5D75">
            <w:pPr>
              <w:spacing w:after="0"/>
              <w:ind w:firstLine="0"/>
              <w:jc w:val="right"/>
              <w:rPr>
                <w:rFonts w:ascii="Arial Narrow" w:hAnsi="Arial Narrow"/>
                <w:color w:val="000000"/>
                <w:sz w:val="18"/>
                <w:szCs w:val="18"/>
                <w:lang w:val="es-ES" w:eastAsia="es-ES"/>
              </w:rPr>
            </w:pPr>
            <w:r w:rsidRPr="005717B1">
              <w:rPr>
                <w:rFonts w:ascii="Arial Narrow" w:hAnsi="Arial Narrow"/>
                <w:color w:val="000000"/>
                <w:sz w:val="18"/>
                <w:szCs w:val="18"/>
                <w:lang w:val="es-ES" w:eastAsia="es-ES"/>
              </w:rPr>
              <w:t>66.088</w:t>
            </w:r>
          </w:p>
        </w:tc>
      </w:tr>
      <w:tr w:rsidR="00AD5D75" w:rsidRPr="005717B1" w:rsidTr="00AD5D75">
        <w:trPr>
          <w:trHeight w:val="300"/>
          <w:jc w:val="center"/>
        </w:trPr>
        <w:tc>
          <w:tcPr>
            <w:tcW w:w="2467" w:type="dxa"/>
            <w:shd w:val="clear" w:color="auto" w:fill="8DB3E2" w:themeFill="text2" w:themeFillTint="66"/>
            <w:noWrap/>
            <w:vAlign w:val="center"/>
            <w:hideMark/>
          </w:tcPr>
          <w:p w:rsidR="00AD5D75" w:rsidRPr="005717B1" w:rsidRDefault="00AD5D75" w:rsidP="00AD5D75">
            <w:pPr>
              <w:spacing w:after="0"/>
              <w:ind w:firstLine="0"/>
              <w:jc w:val="left"/>
              <w:rPr>
                <w:rFonts w:ascii="Arial" w:hAnsi="Arial" w:cs="Arial"/>
                <w:color w:val="000000"/>
                <w:sz w:val="17"/>
                <w:szCs w:val="17"/>
                <w:lang w:val="es-ES" w:eastAsia="es-ES"/>
              </w:rPr>
            </w:pPr>
            <w:r w:rsidRPr="005717B1">
              <w:rPr>
                <w:rFonts w:ascii="Arial" w:hAnsi="Arial" w:cs="Arial"/>
                <w:color w:val="000000"/>
                <w:sz w:val="17"/>
                <w:szCs w:val="17"/>
                <w:lang w:val="es-ES" w:eastAsia="es-ES"/>
              </w:rPr>
              <w:t>Variación</w:t>
            </w:r>
          </w:p>
        </w:tc>
        <w:tc>
          <w:tcPr>
            <w:tcW w:w="1559" w:type="dxa"/>
            <w:shd w:val="clear" w:color="auto" w:fill="8DB3E2" w:themeFill="text2" w:themeFillTint="66"/>
            <w:noWrap/>
            <w:vAlign w:val="center"/>
            <w:hideMark/>
          </w:tcPr>
          <w:p w:rsidR="00AD5D75" w:rsidRPr="005717B1" w:rsidRDefault="00AD5D75" w:rsidP="007F4683">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-6.608</w:t>
            </w:r>
          </w:p>
        </w:tc>
        <w:tc>
          <w:tcPr>
            <w:tcW w:w="1701" w:type="dxa"/>
            <w:shd w:val="clear" w:color="auto" w:fill="8DB3E2" w:themeFill="text2" w:themeFillTint="66"/>
            <w:noWrap/>
            <w:vAlign w:val="center"/>
            <w:hideMark/>
          </w:tcPr>
          <w:p w:rsidR="00AD5D75" w:rsidRPr="005717B1" w:rsidRDefault="007F4683" w:rsidP="007F4683">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-5.988</w:t>
            </w:r>
          </w:p>
        </w:tc>
        <w:tc>
          <w:tcPr>
            <w:tcW w:w="1418" w:type="dxa"/>
            <w:shd w:val="clear" w:color="auto" w:fill="8DB3E2" w:themeFill="text2" w:themeFillTint="66"/>
            <w:noWrap/>
            <w:vAlign w:val="center"/>
            <w:hideMark/>
          </w:tcPr>
          <w:p w:rsidR="00AD5D75" w:rsidRPr="005717B1" w:rsidRDefault="007F4683"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-11.218</w:t>
            </w:r>
          </w:p>
        </w:tc>
        <w:tc>
          <w:tcPr>
            <w:tcW w:w="1559" w:type="dxa"/>
            <w:shd w:val="clear" w:color="auto" w:fill="8DB3E2" w:themeFill="text2" w:themeFillTint="66"/>
            <w:noWrap/>
            <w:vAlign w:val="center"/>
            <w:hideMark/>
          </w:tcPr>
          <w:p w:rsidR="00AD5D75" w:rsidRPr="005717B1" w:rsidRDefault="007F4683" w:rsidP="00AD5D75">
            <w:pPr>
              <w:spacing w:after="0"/>
              <w:ind w:firstLine="0"/>
              <w:jc w:val="right"/>
              <w:rPr>
                <w:rFonts w:ascii="Arial" w:hAnsi="Arial" w:cs="Arial"/>
                <w:color w:val="000000"/>
                <w:sz w:val="17"/>
                <w:szCs w:val="17"/>
                <w:lang w:val="es-ES" w:eastAsia="es-ES"/>
              </w:rPr>
            </w:pPr>
            <w:r w:rsidRPr="005717B1">
              <w:rPr>
                <w:rFonts w:ascii="Arial" w:hAnsi="Arial" w:cs="Arial"/>
                <w:color w:val="000000"/>
                <w:sz w:val="17"/>
                <w:szCs w:val="17"/>
                <w:lang w:val="es-ES" w:eastAsia="es-ES"/>
              </w:rPr>
              <w:t>-23.815</w:t>
            </w:r>
          </w:p>
        </w:tc>
      </w:tr>
    </w:tbl>
    <w:p w:rsidR="00AD5D75" w:rsidRDefault="00192F3A" w:rsidP="00374B34">
      <w:pPr>
        <w:pStyle w:val="texto"/>
        <w:tabs>
          <w:tab w:val="clear" w:pos="2835"/>
          <w:tab w:val="clear" w:pos="3969"/>
          <w:tab w:val="clear" w:pos="5103"/>
          <w:tab w:val="clear" w:pos="6237"/>
          <w:tab w:val="clear" w:pos="7371"/>
        </w:tabs>
        <w:spacing w:before="240" w:line="240" w:lineRule="atLeast"/>
        <w:rPr>
          <w:szCs w:val="26"/>
        </w:rPr>
      </w:pPr>
      <w:r>
        <w:rPr>
          <w:szCs w:val="26"/>
        </w:rPr>
        <w:t xml:space="preserve">Es decir, el nivel de cumplimiento </w:t>
      </w:r>
      <w:r w:rsidR="007C6F82">
        <w:rPr>
          <w:szCs w:val="26"/>
        </w:rPr>
        <w:t xml:space="preserve">se sitúa en un 74 </w:t>
      </w:r>
      <w:r>
        <w:rPr>
          <w:szCs w:val="26"/>
        </w:rPr>
        <w:t>por ciento de las prev</w:t>
      </w:r>
      <w:r>
        <w:rPr>
          <w:szCs w:val="26"/>
        </w:rPr>
        <w:t>i</w:t>
      </w:r>
      <w:r w:rsidR="00207099">
        <w:rPr>
          <w:szCs w:val="26"/>
        </w:rPr>
        <w:t>siones</w:t>
      </w:r>
      <w:r>
        <w:rPr>
          <w:szCs w:val="26"/>
        </w:rPr>
        <w:t>.</w:t>
      </w:r>
    </w:p>
    <w:p w:rsidR="007F4683" w:rsidRDefault="00743804" w:rsidP="00FB718D">
      <w:pPr>
        <w:pStyle w:val="texto"/>
        <w:numPr>
          <w:ilvl w:val="0"/>
          <w:numId w:val="1"/>
        </w:numPr>
        <w:tabs>
          <w:tab w:val="clear" w:pos="1948"/>
          <w:tab w:val="clear" w:pos="2835"/>
          <w:tab w:val="clear" w:pos="3969"/>
          <w:tab w:val="clear" w:pos="5103"/>
          <w:tab w:val="clear" w:pos="6237"/>
          <w:tab w:val="clear" w:pos="7371"/>
          <w:tab w:val="left" w:pos="480"/>
          <w:tab w:val="num" w:pos="600"/>
          <w:tab w:val="num" w:pos="720"/>
        </w:tabs>
        <w:ind w:left="0" w:firstLine="289"/>
        <w:rPr>
          <w:rFonts w:cs="Arial"/>
        </w:rPr>
      </w:pPr>
      <w:r>
        <w:rPr>
          <w:rFonts w:cs="Arial"/>
        </w:rPr>
        <w:t>E</w:t>
      </w:r>
      <w:r w:rsidR="0017115B" w:rsidRPr="00743804">
        <w:rPr>
          <w:rFonts w:cs="Arial"/>
        </w:rPr>
        <w:t xml:space="preserve">n relación </w:t>
      </w:r>
      <w:r w:rsidR="000E54F4" w:rsidRPr="00743804">
        <w:rPr>
          <w:rFonts w:cs="Arial"/>
        </w:rPr>
        <w:t>a</w:t>
      </w:r>
      <w:r w:rsidR="0017115B" w:rsidRPr="00743804">
        <w:rPr>
          <w:rFonts w:cs="Arial"/>
        </w:rPr>
        <w:t xml:space="preserve">l objetivo de la reestructuración de la deuda, </w:t>
      </w:r>
      <w:r w:rsidR="0032437F">
        <w:rPr>
          <w:rFonts w:cs="Arial"/>
        </w:rPr>
        <w:t>y según los d</w:t>
      </w:r>
      <w:r w:rsidR="0032437F">
        <w:rPr>
          <w:rFonts w:cs="Arial"/>
        </w:rPr>
        <w:t>a</w:t>
      </w:r>
      <w:r w:rsidR="0032437F">
        <w:rPr>
          <w:rFonts w:cs="Arial"/>
        </w:rPr>
        <w:t xml:space="preserve">tos revisados, </w:t>
      </w:r>
      <w:r w:rsidR="0017115B" w:rsidRPr="00743804">
        <w:rPr>
          <w:rFonts w:cs="Arial"/>
        </w:rPr>
        <w:t>en e</w:t>
      </w:r>
      <w:r w:rsidR="007F4683" w:rsidRPr="00743804">
        <w:rPr>
          <w:rFonts w:cs="Arial"/>
        </w:rPr>
        <w:t>l siguiente cuadro se refleja su</w:t>
      </w:r>
      <w:r w:rsidR="009558BF">
        <w:rPr>
          <w:rFonts w:cs="Arial"/>
        </w:rPr>
        <w:t xml:space="preserve"> evolución:</w:t>
      </w:r>
    </w:p>
    <w:p w:rsidR="00191895" w:rsidRPr="002E30FE" w:rsidRDefault="00191895" w:rsidP="00191895">
      <w:pPr>
        <w:pStyle w:val="texto"/>
        <w:spacing w:after="100"/>
        <w:ind w:left="1588" w:firstLine="0"/>
        <w:rPr>
          <w:color w:val="FF0000"/>
          <w:lang w:val="es-ES"/>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                   </w:t>
      </w:r>
      <w:r w:rsidR="00467AA9">
        <w:rPr>
          <w:rFonts w:ascii="Arial Narrow" w:hAnsi="Arial Narrow"/>
          <w:sz w:val="16"/>
          <w:szCs w:val="16"/>
        </w:rPr>
        <w:t xml:space="preserve">     </w:t>
      </w:r>
      <w:r>
        <w:rPr>
          <w:rFonts w:ascii="Arial Narrow" w:hAnsi="Arial Narrow"/>
          <w:sz w:val="16"/>
          <w:szCs w:val="16"/>
        </w:rPr>
        <w:t xml:space="preserve">   </w:t>
      </w:r>
      <w:r w:rsidRPr="00862DAE">
        <w:rPr>
          <w:rFonts w:ascii="Arial Narrow" w:hAnsi="Arial Narrow"/>
          <w:sz w:val="16"/>
          <w:szCs w:val="16"/>
        </w:rPr>
        <w:t>(en miles de euros)</w:t>
      </w:r>
    </w:p>
    <w:tbl>
      <w:tblPr>
        <w:tblW w:w="867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60"/>
        <w:gridCol w:w="785"/>
        <w:gridCol w:w="644"/>
        <w:gridCol w:w="644"/>
        <w:gridCol w:w="644"/>
        <w:gridCol w:w="644"/>
        <w:gridCol w:w="567"/>
        <w:gridCol w:w="567"/>
        <w:gridCol w:w="1490"/>
        <w:gridCol w:w="1134"/>
      </w:tblGrid>
      <w:tr w:rsidR="007F4683" w:rsidRPr="007F4683" w:rsidTr="00D206AF">
        <w:trPr>
          <w:trHeight w:val="315"/>
        </w:trPr>
        <w:tc>
          <w:tcPr>
            <w:tcW w:w="1560" w:type="dxa"/>
            <w:tcBorders>
              <w:bottom w:val="single" w:sz="4" w:space="0" w:color="auto"/>
            </w:tcBorders>
            <w:shd w:val="clear" w:color="000000" w:fill="8DB3E2"/>
            <w:noWrap/>
            <w:vAlign w:val="center"/>
            <w:hideMark/>
          </w:tcPr>
          <w:p w:rsidR="007F4683" w:rsidRPr="007F4683" w:rsidRDefault="007F4683" w:rsidP="007F4683">
            <w:pPr>
              <w:spacing w:after="0"/>
              <w:ind w:firstLine="0"/>
              <w:jc w:val="left"/>
              <w:rPr>
                <w:rFonts w:ascii="Arial" w:hAnsi="Arial" w:cs="Arial"/>
                <w:color w:val="000000"/>
                <w:sz w:val="16"/>
                <w:szCs w:val="16"/>
                <w:lang w:val="es-ES" w:eastAsia="es-ES"/>
              </w:rPr>
            </w:pPr>
            <w:r w:rsidRPr="007F4683">
              <w:rPr>
                <w:rFonts w:ascii="Arial" w:hAnsi="Arial" w:cs="Arial"/>
                <w:color w:val="000000"/>
                <w:sz w:val="16"/>
                <w:szCs w:val="16"/>
                <w:lang w:val="es-ES" w:eastAsia="es-ES"/>
              </w:rPr>
              <w:t> </w:t>
            </w:r>
          </w:p>
        </w:tc>
        <w:tc>
          <w:tcPr>
            <w:tcW w:w="785"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2010</w:t>
            </w:r>
          </w:p>
        </w:tc>
        <w:tc>
          <w:tcPr>
            <w:tcW w:w="644"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2011</w:t>
            </w:r>
          </w:p>
        </w:tc>
        <w:tc>
          <w:tcPr>
            <w:tcW w:w="644"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2012</w:t>
            </w:r>
          </w:p>
        </w:tc>
        <w:tc>
          <w:tcPr>
            <w:tcW w:w="644"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2013</w:t>
            </w:r>
          </w:p>
        </w:tc>
        <w:tc>
          <w:tcPr>
            <w:tcW w:w="644"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2014</w:t>
            </w:r>
          </w:p>
        </w:tc>
        <w:tc>
          <w:tcPr>
            <w:tcW w:w="567"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2015</w:t>
            </w:r>
          </w:p>
        </w:tc>
        <w:tc>
          <w:tcPr>
            <w:tcW w:w="567" w:type="dxa"/>
            <w:tcBorders>
              <w:bottom w:val="single" w:sz="4" w:space="0" w:color="auto"/>
            </w:tcBorders>
            <w:shd w:val="clear" w:color="000000" w:fill="8DB3E2"/>
            <w:noWrap/>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2016</w:t>
            </w:r>
          </w:p>
        </w:tc>
        <w:tc>
          <w:tcPr>
            <w:tcW w:w="1490" w:type="dxa"/>
            <w:tcBorders>
              <w:bottom w:val="single" w:sz="4" w:space="0" w:color="auto"/>
            </w:tcBorders>
            <w:shd w:val="clear" w:color="000000" w:fill="8DB3E2"/>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Variación 2016/10</w:t>
            </w:r>
          </w:p>
        </w:tc>
        <w:tc>
          <w:tcPr>
            <w:tcW w:w="1134" w:type="dxa"/>
            <w:tcBorders>
              <w:bottom w:val="single" w:sz="4" w:space="0" w:color="auto"/>
            </w:tcBorders>
            <w:shd w:val="clear" w:color="000000" w:fill="8DB3E2"/>
            <w:vAlign w:val="center"/>
            <w:hideMark/>
          </w:tcPr>
          <w:p w:rsidR="007F4683" w:rsidRPr="007F4683" w:rsidRDefault="007F4683" w:rsidP="00D206AF">
            <w:pPr>
              <w:spacing w:after="0"/>
              <w:ind w:firstLine="0"/>
              <w:jc w:val="right"/>
              <w:rPr>
                <w:rFonts w:ascii="Arial" w:hAnsi="Arial" w:cs="Arial"/>
                <w:color w:val="000000"/>
                <w:sz w:val="16"/>
                <w:szCs w:val="16"/>
                <w:lang w:val="es-ES" w:eastAsia="es-ES"/>
              </w:rPr>
            </w:pPr>
            <w:r w:rsidRPr="007F4683">
              <w:rPr>
                <w:rFonts w:ascii="Arial" w:hAnsi="Arial" w:cs="Arial"/>
                <w:color w:val="000000"/>
                <w:sz w:val="16"/>
                <w:szCs w:val="16"/>
                <w:lang w:val="es-ES" w:eastAsia="es-ES"/>
              </w:rPr>
              <w:t>% Variación</w:t>
            </w:r>
          </w:p>
        </w:tc>
      </w:tr>
      <w:tr w:rsidR="007F4683" w:rsidRPr="007F4683" w:rsidTr="00D206AF">
        <w:trPr>
          <w:trHeight w:val="315"/>
        </w:trPr>
        <w:tc>
          <w:tcPr>
            <w:tcW w:w="1560" w:type="dxa"/>
            <w:shd w:val="clear" w:color="auto" w:fill="auto"/>
            <w:noWrap/>
            <w:vAlign w:val="center"/>
            <w:hideMark/>
          </w:tcPr>
          <w:p w:rsidR="007F4683" w:rsidRPr="007F4683" w:rsidRDefault="007F4683" w:rsidP="007B2268">
            <w:pPr>
              <w:spacing w:after="0"/>
              <w:ind w:firstLine="0"/>
              <w:jc w:val="lef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Total endeudamiento *</w:t>
            </w:r>
          </w:p>
        </w:tc>
        <w:tc>
          <w:tcPr>
            <w:tcW w:w="785"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323.115</w:t>
            </w:r>
          </w:p>
        </w:tc>
        <w:tc>
          <w:tcPr>
            <w:tcW w:w="644"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295.629</w:t>
            </w:r>
          </w:p>
        </w:tc>
        <w:tc>
          <w:tcPr>
            <w:tcW w:w="644"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276.924</w:t>
            </w:r>
          </w:p>
        </w:tc>
        <w:tc>
          <w:tcPr>
            <w:tcW w:w="644"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260.451</w:t>
            </w:r>
          </w:p>
        </w:tc>
        <w:tc>
          <w:tcPr>
            <w:tcW w:w="644"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104.645</w:t>
            </w:r>
          </w:p>
        </w:tc>
        <w:tc>
          <w:tcPr>
            <w:tcW w:w="567"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73.115</w:t>
            </w:r>
          </w:p>
        </w:tc>
        <w:tc>
          <w:tcPr>
            <w:tcW w:w="567" w:type="dxa"/>
            <w:shd w:val="clear" w:color="000000" w:fill="FFFFFF"/>
            <w:noWrap/>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56.449</w:t>
            </w:r>
          </w:p>
        </w:tc>
        <w:tc>
          <w:tcPr>
            <w:tcW w:w="1490" w:type="dxa"/>
            <w:shd w:val="clear" w:color="000000" w:fill="FFFFFF"/>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-266.666</w:t>
            </w:r>
          </w:p>
        </w:tc>
        <w:tc>
          <w:tcPr>
            <w:tcW w:w="1134" w:type="dxa"/>
            <w:shd w:val="clear" w:color="000000" w:fill="FFFFFF"/>
            <w:vAlign w:val="center"/>
            <w:hideMark/>
          </w:tcPr>
          <w:p w:rsidR="007F4683" w:rsidRPr="007F4683" w:rsidRDefault="007F4683" w:rsidP="00D206AF">
            <w:pPr>
              <w:spacing w:after="0"/>
              <w:ind w:firstLine="0"/>
              <w:jc w:val="right"/>
              <w:rPr>
                <w:rFonts w:ascii="Arial Narrow" w:hAnsi="Arial Narrow"/>
                <w:color w:val="000000"/>
                <w:sz w:val="17"/>
                <w:szCs w:val="17"/>
                <w:lang w:val="es-ES" w:eastAsia="es-ES"/>
              </w:rPr>
            </w:pPr>
            <w:r w:rsidRPr="007F4683">
              <w:rPr>
                <w:rFonts w:ascii="Arial Narrow" w:hAnsi="Arial Narrow"/>
                <w:color w:val="000000"/>
                <w:sz w:val="17"/>
                <w:szCs w:val="17"/>
                <w:lang w:val="es-ES" w:eastAsia="es-ES"/>
              </w:rPr>
              <w:t>-83</w:t>
            </w:r>
          </w:p>
        </w:tc>
      </w:tr>
    </w:tbl>
    <w:p w:rsidR="0062021F" w:rsidRDefault="007F4683" w:rsidP="00374B34">
      <w:pPr>
        <w:pStyle w:val="texto"/>
        <w:tabs>
          <w:tab w:val="clear" w:pos="2835"/>
          <w:tab w:val="clear" w:pos="3969"/>
          <w:tab w:val="clear" w:pos="5103"/>
          <w:tab w:val="clear" w:pos="6237"/>
          <w:tab w:val="clear" w:pos="7371"/>
        </w:tabs>
        <w:spacing w:before="60" w:after="260" w:line="240" w:lineRule="atLeast"/>
        <w:rPr>
          <w:rFonts w:ascii="Arial Narrow" w:hAnsi="Arial Narrow"/>
          <w:sz w:val="16"/>
          <w:szCs w:val="16"/>
        </w:rPr>
      </w:pPr>
      <w:r w:rsidRPr="00F1571C">
        <w:rPr>
          <w:rFonts w:ascii="Arial Narrow" w:hAnsi="Arial Narrow"/>
          <w:sz w:val="16"/>
          <w:szCs w:val="16"/>
        </w:rPr>
        <w:t>*Estos datos no tienen en cuenta la periodificación de intereses y la financiación del Banco Europeo de Inversiones.</w:t>
      </w:r>
    </w:p>
    <w:p w:rsidR="0062021F" w:rsidRDefault="0062021F" w:rsidP="004937DE">
      <w:pPr>
        <w:pStyle w:val="texto"/>
        <w:tabs>
          <w:tab w:val="clear" w:pos="2835"/>
          <w:tab w:val="clear" w:pos="3969"/>
          <w:tab w:val="clear" w:pos="5103"/>
          <w:tab w:val="clear" w:pos="6237"/>
          <w:tab w:val="clear" w:pos="7371"/>
        </w:tabs>
        <w:spacing w:after="160" w:line="240" w:lineRule="atLeast"/>
        <w:rPr>
          <w:szCs w:val="26"/>
        </w:rPr>
      </w:pPr>
      <w:r w:rsidRPr="0062021F">
        <w:rPr>
          <w:szCs w:val="26"/>
        </w:rPr>
        <w:t>E</w:t>
      </w:r>
      <w:r>
        <w:rPr>
          <w:szCs w:val="26"/>
        </w:rPr>
        <w:t>n e</w:t>
      </w:r>
      <w:r w:rsidRPr="0062021F">
        <w:rPr>
          <w:szCs w:val="26"/>
        </w:rPr>
        <w:t xml:space="preserve">l </w:t>
      </w:r>
      <w:r>
        <w:rPr>
          <w:szCs w:val="26"/>
        </w:rPr>
        <w:t xml:space="preserve">ejercicio 2014 se </w:t>
      </w:r>
      <w:r w:rsidR="0012268E">
        <w:rPr>
          <w:szCs w:val="26"/>
        </w:rPr>
        <w:t xml:space="preserve">ha producido </w:t>
      </w:r>
      <w:r>
        <w:rPr>
          <w:szCs w:val="26"/>
        </w:rPr>
        <w:t>la mayor reducción de la deuda al h</w:t>
      </w:r>
      <w:r>
        <w:rPr>
          <w:szCs w:val="26"/>
        </w:rPr>
        <w:t>a</w:t>
      </w:r>
      <w:r>
        <w:rPr>
          <w:szCs w:val="26"/>
        </w:rPr>
        <w:t xml:space="preserve">berse </w:t>
      </w:r>
      <w:r w:rsidR="0032437F">
        <w:rPr>
          <w:szCs w:val="26"/>
        </w:rPr>
        <w:t xml:space="preserve">obtenido el ingreso correspondiente a la venta de </w:t>
      </w:r>
      <w:r>
        <w:rPr>
          <w:szCs w:val="26"/>
        </w:rPr>
        <w:t>las acciones de Ibe</w:t>
      </w:r>
      <w:r>
        <w:rPr>
          <w:szCs w:val="26"/>
        </w:rPr>
        <w:t>r</w:t>
      </w:r>
      <w:r>
        <w:rPr>
          <w:szCs w:val="26"/>
        </w:rPr>
        <w:t>drola</w:t>
      </w:r>
      <w:r w:rsidR="00747DFB">
        <w:rPr>
          <w:rStyle w:val="Refdenotaalpie"/>
          <w:szCs w:val="26"/>
        </w:rPr>
        <w:footnoteReference w:id="18"/>
      </w:r>
      <w:r w:rsidR="00747DFB">
        <w:rPr>
          <w:szCs w:val="26"/>
        </w:rPr>
        <w:t>.</w:t>
      </w:r>
    </w:p>
    <w:p w:rsidR="0017115B" w:rsidRPr="00385147" w:rsidRDefault="0017115B" w:rsidP="004937DE">
      <w:pPr>
        <w:pStyle w:val="texto"/>
        <w:spacing w:after="160"/>
        <w:rPr>
          <w:spacing w:val="0"/>
          <w:lang w:val="es-ES"/>
        </w:rPr>
      </w:pPr>
      <w:r w:rsidRPr="00385147">
        <w:rPr>
          <w:b/>
          <w:spacing w:val="0"/>
          <w:lang w:val="es-ES"/>
        </w:rPr>
        <w:lastRenderedPageBreak/>
        <w:t>En definitiva,</w:t>
      </w:r>
      <w:r w:rsidRPr="00385147">
        <w:rPr>
          <w:spacing w:val="0"/>
          <w:lang w:val="es-ES"/>
        </w:rPr>
        <w:t xml:space="preserve"> consideramos que </w:t>
      </w:r>
      <w:r w:rsidR="0032437F" w:rsidRPr="00385147">
        <w:rPr>
          <w:spacing w:val="0"/>
          <w:lang w:val="es-ES"/>
        </w:rPr>
        <w:t xml:space="preserve">los dos </w:t>
      </w:r>
      <w:r w:rsidRPr="00385147">
        <w:rPr>
          <w:spacing w:val="0"/>
          <w:lang w:val="es-ES"/>
        </w:rPr>
        <w:t>proceso</w:t>
      </w:r>
      <w:r w:rsidR="0032437F" w:rsidRPr="00385147">
        <w:rPr>
          <w:spacing w:val="0"/>
          <w:lang w:val="es-ES"/>
        </w:rPr>
        <w:t>s</w:t>
      </w:r>
      <w:r w:rsidRPr="00385147">
        <w:rPr>
          <w:spacing w:val="0"/>
          <w:lang w:val="es-ES"/>
        </w:rPr>
        <w:t xml:space="preserve"> de reordenación del sector público empresaria</w:t>
      </w:r>
      <w:r w:rsidR="00257DDA">
        <w:rPr>
          <w:spacing w:val="0"/>
          <w:lang w:val="es-ES"/>
        </w:rPr>
        <w:t>l</w:t>
      </w:r>
      <w:r w:rsidR="00DD21F4" w:rsidRPr="00385147">
        <w:rPr>
          <w:spacing w:val="0"/>
          <w:lang w:val="es-ES"/>
        </w:rPr>
        <w:t xml:space="preserve"> </w:t>
      </w:r>
      <w:r w:rsidRPr="00385147">
        <w:rPr>
          <w:spacing w:val="0"/>
          <w:lang w:val="es-ES"/>
        </w:rPr>
        <w:t>se ha</w:t>
      </w:r>
      <w:r w:rsidR="0032437F" w:rsidRPr="00385147">
        <w:rPr>
          <w:spacing w:val="0"/>
          <w:lang w:val="es-ES"/>
        </w:rPr>
        <w:t>n</w:t>
      </w:r>
      <w:r w:rsidRPr="00385147">
        <w:rPr>
          <w:spacing w:val="0"/>
          <w:lang w:val="es-ES"/>
        </w:rPr>
        <w:t xml:space="preserve"> llevado a cabo de acuerdo a una planificación estratég</w:t>
      </w:r>
      <w:r w:rsidRPr="00385147">
        <w:rPr>
          <w:spacing w:val="0"/>
          <w:lang w:val="es-ES"/>
        </w:rPr>
        <w:t>i</w:t>
      </w:r>
      <w:r w:rsidR="00E0541F" w:rsidRPr="00385147">
        <w:rPr>
          <w:spacing w:val="0"/>
          <w:lang w:val="es-ES"/>
        </w:rPr>
        <w:t xml:space="preserve">ca </w:t>
      </w:r>
      <w:r w:rsidR="0032437F" w:rsidRPr="00385147">
        <w:rPr>
          <w:spacing w:val="0"/>
          <w:lang w:val="es-ES"/>
        </w:rPr>
        <w:t xml:space="preserve">que incluía </w:t>
      </w:r>
      <w:r w:rsidR="00E0541F" w:rsidRPr="00385147">
        <w:rPr>
          <w:spacing w:val="0"/>
          <w:lang w:val="es-ES"/>
        </w:rPr>
        <w:t>o</w:t>
      </w:r>
      <w:r w:rsidR="00DD21F4" w:rsidRPr="00385147">
        <w:rPr>
          <w:spacing w:val="0"/>
          <w:lang w:val="es-ES"/>
        </w:rPr>
        <w:t>bjetivos concretos</w:t>
      </w:r>
      <w:r w:rsidR="007F4683" w:rsidRPr="00385147">
        <w:rPr>
          <w:spacing w:val="0"/>
          <w:lang w:val="es-ES"/>
        </w:rPr>
        <w:t xml:space="preserve">, siendo en general </w:t>
      </w:r>
      <w:r w:rsidR="00DD21F4" w:rsidRPr="00385147">
        <w:rPr>
          <w:spacing w:val="0"/>
          <w:lang w:val="es-ES"/>
        </w:rPr>
        <w:t>cuantificables y verificables</w:t>
      </w:r>
      <w:r w:rsidRPr="00385147">
        <w:rPr>
          <w:spacing w:val="0"/>
          <w:lang w:val="es-ES"/>
        </w:rPr>
        <w:t xml:space="preserve">. </w:t>
      </w:r>
    </w:p>
    <w:p w:rsidR="0081353A" w:rsidRPr="00385147" w:rsidRDefault="0081353A" w:rsidP="001F0570">
      <w:pPr>
        <w:pStyle w:val="texto"/>
        <w:spacing w:after="280"/>
        <w:rPr>
          <w:spacing w:val="2"/>
          <w:lang w:val="es-ES"/>
        </w:rPr>
      </w:pPr>
      <w:r w:rsidRPr="00385147">
        <w:rPr>
          <w:spacing w:val="2"/>
          <w:lang w:val="es-ES"/>
        </w:rPr>
        <w:t>La verificación de los mismos permite concluir que</w:t>
      </w:r>
      <w:r w:rsidR="002C20D3">
        <w:rPr>
          <w:spacing w:val="2"/>
          <w:lang w:val="es-ES"/>
        </w:rPr>
        <w:t>,</w:t>
      </w:r>
      <w:r w:rsidR="00F05ADD" w:rsidRPr="00385147">
        <w:rPr>
          <w:spacing w:val="2"/>
          <w:lang w:val="es-ES"/>
        </w:rPr>
        <w:t xml:space="preserve"> </w:t>
      </w:r>
      <w:r w:rsidRPr="00385147">
        <w:rPr>
          <w:spacing w:val="2"/>
          <w:lang w:val="es-ES"/>
        </w:rPr>
        <w:t>en general</w:t>
      </w:r>
      <w:r w:rsidR="002C20D3">
        <w:rPr>
          <w:spacing w:val="2"/>
          <w:lang w:val="es-ES"/>
        </w:rPr>
        <w:t>,</w:t>
      </w:r>
      <w:r w:rsidRPr="00385147">
        <w:rPr>
          <w:spacing w:val="2"/>
          <w:lang w:val="es-ES"/>
        </w:rPr>
        <w:t xml:space="preserve"> se han cumpl</w:t>
      </w:r>
      <w:r w:rsidRPr="00385147">
        <w:rPr>
          <w:spacing w:val="2"/>
          <w:lang w:val="es-ES"/>
        </w:rPr>
        <w:t>i</w:t>
      </w:r>
      <w:r w:rsidRPr="00385147">
        <w:rPr>
          <w:spacing w:val="2"/>
          <w:lang w:val="es-ES"/>
        </w:rPr>
        <w:t>do de forma razonable los objetivos previstos en los plazos programados.</w:t>
      </w:r>
    </w:p>
    <w:p w:rsidR="00385147" w:rsidRPr="00FE3658" w:rsidRDefault="00385147" w:rsidP="00385147">
      <w:pPr>
        <w:pStyle w:val="texto"/>
        <w:tabs>
          <w:tab w:val="clear" w:pos="2835"/>
          <w:tab w:val="clear" w:pos="3969"/>
          <w:tab w:val="clear" w:pos="5103"/>
          <w:tab w:val="clear" w:pos="6237"/>
          <w:tab w:val="clear" w:pos="7371"/>
        </w:tabs>
        <w:spacing w:after="24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17115B" w:rsidRPr="00B402D6" w:rsidRDefault="0017115B" w:rsidP="00CC450A">
      <w:pPr>
        <w:tabs>
          <w:tab w:val="right" w:pos="284"/>
          <w:tab w:val="left" w:pos="426"/>
        </w:tabs>
        <w:spacing w:after="180" w:line="240" w:lineRule="atLeast"/>
        <w:jc w:val="center"/>
        <w:rPr>
          <w:sz w:val="26"/>
          <w:szCs w:val="26"/>
          <w:lang w:eastAsia="es-ES"/>
        </w:rPr>
      </w:pPr>
      <w:r>
        <w:rPr>
          <w:sz w:val="26"/>
          <w:szCs w:val="26"/>
          <w:lang w:eastAsia="es-ES"/>
        </w:rPr>
        <w:t>Pamplona</w:t>
      </w:r>
      <w:r w:rsidRPr="00B402D6">
        <w:rPr>
          <w:sz w:val="26"/>
          <w:szCs w:val="26"/>
          <w:lang w:eastAsia="es-ES"/>
        </w:rPr>
        <w:t>,</w:t>
      </w:r>
      <w:r w:rsidR="00AA448F" w:rsidRPr="00B402D6">
        <w:rPr>
          <w:sz w:val="26"/>
          <w:szCs w:val="26"/>
          <w:lang w:eastAsia="es-ES"/>
        </w:rPr>
        <w:t xml:space="preserve"> </w:t>
      </w:r>
      <w:r w:rsidR="00955CD9">
        <w:rPr>
          <w:sz w:val="26"/>
          <w:szCs w:val="26"/>
          <w:lang w:eastAsia="es-ES"/>
        </w:rPr>
        <w:t>16</w:t>
      </w:r>
      <w:r w:rsidR="002834AC">
        <w:rPr>
          <w:sz w:val="26"/>
          <w:szCs w:val="26"/>
          <w:lang w:eastAsia="es-ES"/>
        </w:rPr>
        <w:t xml:space="preserve"> de octubre</w:t>
      </w:r>
      <w:r w:rsidRPr="00B402D6">
        <w:rPr>
          <w:sz w:val="26"/>
          <w:szCs w:val="26"/>
          <w:lang w:eastAsia="es-ES"/>
        </w:rPr>
        <w:t xml:space="preserve"> de 2018</w:t>
      </w:r>
    </w:p>
    <w:p w:rsidR="00385147" w:rsidRPr="00AF2BF1" w:rsidRDefault="00385147" w:rsidP="00385147">
      <w:pPr>
        <w:pStyle w:val="texto"/>
        <w:tabs>
          <w:tab w:val="clear" w:pos="2835"/>
          <w:tab w:val="clear" w:pos="3969"/>
          <w:tab w:val="clear" w:pos="5103"/>
          <w:tab w:val="clear" w:pos="6237"/>
          <w:tab w:val="clear" w:pos="7371"/>
        </w:tabs>
        <w:spacing w:after="80"/>
        <w:jc w:val="center"/>
        <w:rPr>
          <w:rFonts w:cs="Arial"/>
          <w:color w:val="000000"/>
          <w:sz w:val="32"/>
          <w:szCs w:val="32"/>
        </w:rPr>
      </w:pPr>
      <w:r w:rsidRPr="00FE3658">
        <w:rPr>
          <w:rFonts w:cs="Arial"/>
          <w:color w:val="000000"/>
        </w:rPr>
        <w:t xml:space="preserve">La presidenta, </w:t>
      </w:r>
    </w:p>
    <w:p w:rsidR="00385147" w:rsidRPr="006B7777" w:rsidRDefault="00385147" w:rsidP="00385147">
      <w:pPr>
        <w:pStyle w:val="texto"/>
        <w:tabs>
          <w:tab w:val="clear" w:pos="2835"/>
          <w:tab w:val="clear" w:pos="3969"/>
          <w:tab w:val="clear" w:pos="5103"/>
          <w:tab w:val="clear" w:pos="6237"/>
          <w:tab w:val="clear" w:pos="7371"/>
        </w:tabs>
        <w:spacing w:after="80"/>
        <w:jc w:val="center"/>
        <w:rPr>
          <w:rFonts w:cs="Arial"/>
          <w:color w:val="000000"/>
        </w:rPr>
      </w:pPr>
      <w:r w:rsidRPr="006B7777">
        <w:rPr>
          <w:rFonts w:cs="Arial"/>
          <w:color w:val="000000"/>
        </w:rPr>
        <w:t>Asunción Olaechea Estanga</w:t>
      </w:r>
    </w:p>
    <w:p w:rsidR="0017115B" w:rsidRPr="003D1559" w:rsidRDefault="0017115B" w:rsidP="003D1559">
      <w:pPr>
        <w:pStyle w:val="texto"/>
        <w:rPr>
          <w:lang w:val="es-ES"/>
        </w:rPr>
      </w:pPr>
    </w:p>
    <w:p w:rsidR="007C6F82" w:rsidRDefault="007C6F82">
      <w:pPr>
        <w:spacing w:after="0"/>
        <w:ind w:firstLine="0"/>
        <w:jc w:val="left"/>
        <w:rPr>
          <w:spacing w:val="6"/>
          <w:sz w:val="26"/>
          <w:szCs w:val="24"/>
          <w:lang w:val="es-ES"/>
        </w:rPr>
      </w:pPr>
      <w:bookmarkStart w:id="49" w:name="_Toc521909273"/>
      <w:r>
        <w:rPr>
          <w:lang w:val="es-ES"/>
        </w:rPr>
        <w:br w:type="page"/>
      </w:r>
    </w:p>
    <w:p w:rsidR="0017115B" w:rsidRDefault="0017115B" w:rsidP="0017115B">
      <w:pPr>
        <w:pStyle w:val="atitulo1"/>
        <w:rPr>
          <w:b w:val="0"/>
        </w:rPr>
      </w:pPr>
      <w:bookmarkStart w:id="50" w:name="_Toc527376679"/>
      <w:r w:rsidRPr="002D5C97">
        <w:rPr>
          <w:b w:val="0"/>
        </w:rPr>
        <w:lastRenderedPageBreak/>
        <w:t>Anexos</w:t>
      </w:r>
      <w:bookmarkEnd w:id="49"/>
      <w:bookmarkEnd w:id="50"/>
      <w:r w:rsidRPr="002D5C97">
        <w:rPr>
          <w:b w:val="0"/>
        </w:rPr>
        <w:t xml:space="preserve"> </w:t>
      </w:r>
    </w:p>
    <w:p w:rsidR="00871B5D" w:rsidRPr="00F46F6C" w:rsidRDefault="00871B5D" w:rsidP="00F46F6C">
      <w:pPr>
        <w:pStyle w:val="atitulo2"/>
        <w:spacing w:before="240" w:after="360"/>
      </w:pPr>
      <w:bookmarkStart w:id="51" w:name="_Toc527376680"/>
      <w:r w:rsidRPr="00F46F6C">
        <w:t>Anexo 1. Marco Jurídico</w:t>
      </w:r>
      <w:bookmarkEnd w:id="51"/>
    </w:p>
    <w:p w:rsidR="00AC7E44" w:rsidRPr="00017008" w:rsidRDefault="00AC7E44" w:rsidP="00AC7E44">
      <w:pPr>
        <w:pStyle w:val="atitulo3"/>
        <w:spacing w:before="240"/>
        <w:rPr>
          <w:sz w:val="24"/>
          <w:szCs w:val="24"/>
        </w:rPr>
      </w:pPr>
      <w:r w:rsidRPr="00017008">
        <w:rPr>
          <w:sz w:val="24"/>
          <w:szCs w:val="24"/>
        </w:rPr>
        <w:t>Normativa estatal</w:t>
      </w:r>
    </w:p>
    <w:p w:rsidR="00AC7E44" w:rsidRPr="005171FB"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Real Decreto Legislativo 1/2010, de 2 de julio, por el que se aprueba el texto refundido de la Ley de Sociedades de Capital</w:t>
      </w:r>
      <w:r>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Orgánica 2/2012 de 27 de abril de Estabilidad Presupuestaria y Sost</w:t>
      </w:r>
      <w:r w:rsidRPr="00F95D0A">
        <w:rPr>
          <w:rFonts w:cs="Arial"/>
        </w:rPr>
        <w:t>e</w:t>
      </w:r>
      <w:r w:rsidRPr="00F95D0A">
        <w:rPr>
          <w:rFonts w:cs="Arial"/>
        </w:rPr>
        <w:t>nibilidad Financiera</w:t>
      </w:r>
      <w:r>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Orden HAP/2015/2012 de 1 de octubre por la que se desarrollan las obl</w:t>
      </w:r>
      <w:r w:rsidRPr="00F95D0A">
        <w:rPr>
          <w:rFonts w:cs="Arial"/>
        </w:rPr>
        <w:t>i</w:t>
      </w:r>
      <w:r w:rsidRPr="00F95D0A">
        <w:rPr>
          <w:rFonts w:cs="Arial"/>
        </w:rPr>
        <w:t>gaciones de suministro de información previstas en la Ley Orgánica 2/2012</w:t>
      </w:r>
      <w:r>
        <w:rPr>
          <w:rFonts w:cs="Arial"/>
        </w:rPr>
        <w:t>.</w:t>
      </w:r>
    </w:p>
    <w:p w:rsidR="00AC7E44" w:rsidRPr="00017008" w:rsidRDefault="00AC7E44" w:rsidP="00AC7E44">
      <w:pPr>
        <w:pStyle w:val="atitulo3"/>
        <w:spacing w:before="240"/>
        <w:rPr>
          <w:sz w:val="24"/>
          <w:szCs w:val="24"/>
        </w:rPr>
      </w:pPr>
      <w:r w:rsidRPr="00017008">
        <w:rPr>
          <w:sz w:val="24"/>
          <w:szCs w:val="24"/>
        </w:rPr>
        <w:t>Normativa autonómica</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Foral 14/2004, de 3 de diciembre, del Gobierno de Navarra y de su Presidente</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Foral 15/2004 de 3 de diciembre, de la Administración de la Comun</w:t>
      </w:r>
      <w:r w:rsidRPr="00F95D0A">
        <w:rPr>
          <w:rFonts w:cs="Arial"/>
        </w:rPr>
        <w:t>i</w:t>
      </w:r>
      <w:r w:rsidRPr="00F95D0A">
        <w:rPr>
          <w:rFonts w:cs="Arial"/>
        </w:rPr>
        <w:t>dad Foral de Navarra</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Foral 13/2007 de 4 de abril, de la Hacienda Pública de Navarra</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Foral 14/2007 de 4 de abril del Patrimonio de Navarra</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 xml:space="preserve">Ley Foral </w:t>
      </w:r>
      <w:r w:rsidR="00A52D47">
        <w:rPr>
          <w:rFonts w:cs="Arial"/>
        </w:rPr>
        <w:t>8</w:t>
      </w:r>
      <w:r w:rsidRPr="00F95D0A">
        <w:rPr>
          <w:rFonts w:cs="Arial"/>
        </w:rPr>
        <w:t>/2009, de 18 de junio, de creación de la Corporación Pública Empresarial de Navarra S.L.U</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 xml:space="preserve">I Plan de Ordenación y Reestructuración del </w:t>
      </w:r>
      <w:r w:rsidR="00E00C2E" w:rsidRPr="00F95D0A">
        <w:rPr>
          <w:rFonts w:cs="Arial"/>
        </w:rPr>
        <w:t xml:space="preserve">sector público empresarial </w:t>
      </w:r>
      <w:r w:rsidRPr="00F95D0A">
        <w:rPr>
          <w:rFonts w:cs="Arial"/>
        </w:rPr>
        <w:t>aprobado por el Gobierno de Navarra con fecha 20 de diciembre de 2010</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Ley Foral 15/2011, de 21 de octubre, por la que se deroga la Ley Foral 18/2001, de 5 de julio, por la que se regu</w:t>
      </w:r>
      <w:r>
        <w:rPr>
          <w:rFonts w:cs="Arial"/>
        </w:rPr>
        <w:t>la la actividad audiovisual en N</w:t>
      </w:r>
      <w:r w:rsidRPr="00F95D0A">
        <w:rPr>
          <w:rFonts w:cs="Arial"/>
        </w:rPr>
        <w:t>avarra y se crea el Consejo Audiovisual de Navarra</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Decreto Foral 142/2011 de 24 de agosto por el que se extingue el org</w:t>
      </w:r>
      <w:r w:rsidRPr="00F95D0A">
        <w:rPr>
          <w:rFonts w:cs="Arial"/>
        </w:rPr>
        <w:t>a</w:t>
      </w:r>
      <w:r w:rsidRPr="00F95D0A">
        <w:rPr>
          <w:rFonts w:cs="Arial"/>
        </w:rPr>
        <w:t>nismo autónomo estación de viticultura y enología de Navarra</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Decreto Foral 35/2012, de 2 de julio, por el que se establece la estructura orgánica básica del Departamento de Políticas Sociales y posterior Decreto F</w:t>
      </w:r>
      <w:r w:rsidRPr="00F95D0A">
        <w:rPr>
          <w:rFonts w:cs="Arial"/>
        </w:rPr>
        <w:t>o</w:t>
      </w:r>
      <w:r w:rsidRPr="00F95D0A">
        <w:rPr>
          <w:rFonts w:cs="Arial"/>
        </w:rPr>
        <w:t>ral 73/2012 de 25 de julio por el que se establece la estructura orgánica del Departamento de Políticas Sociales</w:t>
      </w:r>
      <w:r w:rsidR="00DA38AB">
        <w:rPr>
          <w:rFonts w:cs="Arial"/>
        </w:rPr>
        <w:t>.</w:t>
      </w:r>
      <w:r w:rsidRPr="00F95D0A">
        <w:rPr>
          <w:rFonts w:cs="Arial"/>
        </w:rPr>
        <w:t xml:space="preserve"> </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Decreto Foral 36/2012 de 2 de julio por el que se aprueban los Estatutos del Instituto Navarro de Deporte y Juventud</w:t>
      </w:r>
      <w:r w:rsidR="00DA38AB">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Decreto Foral 68/2012 de 25 de julio por el que se extingue el organismo autónomo Instituto Navarro de Administración Pública</w:t>
      </w:r>
      <w:r w:rsidR="00603F97">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lastRenderedPageBreak/>
        <w:t>Plan de Acción del Gobierno de Navarra de 8 de mayo de 2013 por el que se aprueban diversas medidas de reforma de la Administración para reducir e</w:t>
      </w:r>
      <w:r w:rsidRPr="00F95D0A">
        <w:rPr>
          <w:rFonts w:cs="Arial"/>
        </w:rPr>
        <w:t>s</w:t>
      </w:r>
      <w:r w:rsidRPr="00F95D0A">
        <w:rPr>
          <w:rFonts w:cs="Arial"/>
        </w:rPr>
        <w:t>tructura y mejorar la eficiencia.</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 xml:space="preserve">II Plan de Reordenación del </w:t>
      </w:r>
      <w:r w:rsidR="00EB3B81" w:rsidRPr="00F95D0A">
        <w:rPr>
          <w:rFonts w:cs="Arial"/>
        </w:rPr>
        <w:t>sector público</w:t>
      </w:r>
      <w:r w:rsidR="00EB3B81">
        <w:rPr>
          <w:rFonts w:cs="Arial"/>
        </w:rPr>
        <w:t xml:space="preserve"> empresarial</w:t>
      </w:r>
      <w:r w:rsidRPr="00F95D0A">
        <w:rPr>
          <w:rFonts w:cs="Arial"/>
        </w:rPr>
        <w:t>, aprobado por el Consejo de Administración de la Corporación Pública Empresarial de Navarra  el 13 de mayo de 2013</w:t>
      </w:r>
      <w:r w:rsidR="00603F97">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Acuerdo del Gobierno de Navarra, de 20 de marzo de 2014, por el que se ordena el inicio de los procedimientos de extinción o modificación de los est</w:t>
      </w:r>
      <w:r w:rsidRPr="00F95D0A">
        <w:rPr>
          <w:rFonts w:cs="Arial"/>
        </w:rPr>
        <w:t>a</w:t>
      </w:r>
      <w:r w:rsidRPr="00F95D0A">
        <w:rPr>
          <w:rFonts w:cs="Arial"/>
        </w:rPr>
        <w:t>tutos de determinadas fundaciones de la Administración de la Comunidad F</w:t>
      </w:r>
      <w:r w:rsidRPr="00F95D0A">
        <w:rPr>
          <w:rFonts w:cs="Arial"/>
        </w:rPr>
        <w:t>o</w:t>
      </w:r>
      <w:r w:rsidRPr="00F95D0A">
        <w:rPr>
          <w:rFonts w:cs="Arial"/>
        </w:rPr>
        <w:t>ral de Navarra</w:t>
      </w:r>
      <w:r w:rsidR="00603F97">
        <w:rPr>
          <w:rFonts w:cs="Arial"/>
        </w:rPr>
        <w:t>.</w:t>
      </w:r>
    </w:p>
    <w:p w:rsidR="00AC7E44" w:rsidRPr="00F95D0A" w:rsidRDefault="00AC7E44" w:rsidP="00A639C4">
      <w:pPr>
        <w:pStyle w:val="texto"/>
        <w:numPr>
          <w:ilvl w:val="0"/>
          <w:numId w:val="1"/>
        </w:numPr>
        <w:tabs>
          <w:tab w:val="clear" w:pos="1948"/>
          <w:tab w:val="clear" w:pos="2835"/>
          <w:tab w:val="clear" w:pos="3969"/>
          <w:tab w:val="clear" w:pos="5103"/>
          <w:tab w:val="clear" w:pos="6237"/>
          <w:tab w:val="clear" w:pos="7371"/>
          <w:tab w:val="num" w:pos="169"/>
          <w:tab w:val="left" w:pos="480"/>
          <w:tab w:val="num" w:pos="720"/>
        </w:tabs>
        <w:ind w:left="0" w:firstLine="289"/>
        <w:rPr>
          <w:rFonts w:cs="Arial"/>
        </w:rPr>
      </w:pPr>
      <w:r w:rsidRPr="00F95D0A">
        <w:rPr>
          <w:rFonts w:cs="Arial"/>
        </w:rPr>
        <w:t>Decreto Foral 197/2015 de 9 de septiembre por el que se extingue el org</w:t>
      </w:r>
      <w:r w:rsidRPr="00F95D0A">
        <w:rPr>
          <w:rFonts w:cs="Arial"/>
        </w:rPr>
        <w:t>a</w:t>
      </w:r>
      <w:r w:rsidRPr="00F95D0A">
        <w:rPr>
          <w:rFonts w:cs="Arial"/>
        </w:rPr>
        <w:t>nismo autónomo Agencia Navarra para las Emergencias</w:t>
      </w:r>
      <w:r w:rsidR="00603F97">
        <w:rPr>
          <w:rFonts w:cs="Arial"/>
        </w:rPr>
        <w:t>.</w:t>
      </w:r>
    </w:p>
    <w:p w:rsidR="00871B5D" w:rsidRDefault="00871B5D">
      <w:pPr>
        <w:spacing w:after="0"/>
        <w:ind w:firstLine="0"/>
        <w:jc w:val="left"/>
        <w:rPr>
          <w:rFonts w:ascii="Arial" w:hAnsi="Arial"/>
          <w:color w:val="000000"/>
          <w:kern w:val="28"/>
          <w:sz w:val="25"/>
          <w:szCs w:val="26"/>
        </w:rPr>
      </w:pPr>
      <w:r>
        <w:rPr>
          <w:bCs/>
          <w:iCs/>
        </w:rPr>
        <w:br w:type="page"/>
      </w:r>
    </w:p>
    <w:p w:rsidR="00871B5D" w:rsidRDefault="00871B5D" w:rsidP="00871B5D">
      <w:pPr>
        <w:pStyle w:val="atitulo2"/>
        <w:spacing w:before="240" w:after="280"/>
      </w:pPr>
      <w:bookmarkStart w:id="52" w:name="_Toc527376681"/>
      <w:r w:rsidRPr="004026C7">
        <w:lastRenderedPageBreak/>
        <w:t xml:space="preserve">Anexo </w:t>
      </w:r>
      <w:r>
        <w:t>2</w:t>
      </w:r>
      <w:r w:rsidRPr="004026C7">
        <w:t xml:space="preserve">. Relación de </w:t>
      </w:r>
      <w:r w:rsidR="0035621C">
        <w:t xml:space="preserve">entes y </w:t>
      </w:r>
      <w:r>
        <w:t>organismos públicos</w:t>
      </w:r>
      <w:r w:rsidR="00C64C02" w:rsidRPr="00C64C02">
        <w:t xml:space="preserve"> </w:t>
      </w:r>
      <w:r w:rsidR="00C64C02">
        <w:t xml:space="preserve">y </w:t>
      </w:r>
      <w:r w:rsidR="0035621C">
        <w:t xml:space="preserve">su </w:t>
      </w:r>
      <w:r w:rsidR="00C64C02">
        <w:t>evolución</w:t>
      </w:r>
      <w:bookmarkEnd w:id="52"/>
    </w:p>
    <w:tbl>
      <w:tblPr>
        <w:tblW w:w="8804" w:type="dxa"/>
        <w:tblInd w:w="55" w:type="dxa"/>
        <w:tblCellMar>
          <w:left w:w="70" w:type="dxa"/>
          <w:right w:w="70" w:type="dxa"/>
        </w:tblCellMar>
        <w:tblLook w:val="04A0" w:firstRow="1" w:lastRow="0" w:firstColumn="1" w:lastColumn="0" w:noHBand="0" w:noVBand="1"/>
      </w:tblPr>
      <w:tblGrid>
        <w:gridCol w:w="2140"/>
        <w:gridCol w:w="3404"/>
        <w:gridCol w:w="567"/>
        <w:gridCol w:w="496"/>
        <w:gridCol w:w="496"/>
        <w:gridCol w:w="567"/>
        <w:gridCol w:w="638"/>
        <w:gridCol w:w="496"/>
      </w:tblGrid>
      <w:tr w:rsidR="00B63E7F" w:rsidRPr="00B63E7F" w:rsidTr="000B496F">
        <w:trPr>
          <w:trHeight w:val="315"/>
        </w:trPr>
        <w:tc>
          <w:tcPr>
            <w:tcW w:w="2140"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A34146">
            <w:pPr>
              <w:spacing w:after="0"/>
              <w:ind w:firstLine="0"/>
              <w:jc w:val="left"/>
              <w:rPr>
                <w:rFonts w:ascii="Arial" w:hAnsi="Arial" w:cs="Arial"/>
                <w:color w:val="000000"/>
                <w:sz w:val="16"/>
                <w:szCs w:val="16"/>
                <w:lang w:val="es-ES" w:eastAsia="es-ES"/>
              </w:rPr>
            </w:pPr>
            <w:r w:rsidRPr="00B63E7F">
              <w:rPr>
                <w:rFonts w:ascii="Arial" w:hAnsi="Arial" w:cs="Arial"/>
                <w:color w:val="000000"/>
                <w:sz w:val="16"/>
                <w:szCs w:val="16"/>
                <w:lang w:val="es-ES" w:eastAsia="es-ES"/>
              </w:rPr>
              <w:t>Ent</w:t>
            </w:r>
            <w:r w:rsidR="00A34146">
              <w:rPr>
                <w:rFonts w:ascii="Arial" w:hAnsi="Arial" w:cs="Arial"/>
                <w:color w:val="000000"/>
                <w:sz w:val="16"/>
                <w:szCs w:val="16"/>
                <w:lang w:val="es-ES" w:eastAsia="es-ES"/>
              </w:rPr>
              <w:t>es Público</w:t>
            </w:r>
            <w:r w:rsidRPr="00B63E7F">
              <w:rPr>
                <w:rFonts w:ascii="Arial" w:hAnsi="Arial" w:cs="Arial"/>
                <w:color w:val="000000"/>
                <w:sz w:val="16"/>
                <w:szCs w:val="16"/>
                <w:lang w:val="es-ES" w:eastAsia="es-ES"/>
              </w:rPr>
              <w:t>s</w:t>
            </w:r>
          </w:p>
        </w:tc>
        <w:tc>
          <w:tcPr>
            <w:tcW w:w="3404"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 2010</w:t>
            </w:r>
          </w:p>
        </w:tc>
        <w:tc>
          <w:tcPr>
            <w:tcW w:w="567"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2011</w:t>
            </w:r>
          </w:p>
        </w:tc>
        <w:tc>
          <w:tcPr>
            <w:tcW w:w="496"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2012</w:t>
            </w:r>
          </w:p>
        </w:tc>
        <w:tc>
          <w:tcPr>
            <w:tcW w:w="496"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2013</w:t>
            </w:r>
          </w:p>
        </w:tc>
        <w:tc>
          <w:tcPr>
            <w:tcW w:w="567"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2014</w:t>
            </w:r>
          </w:p>
        </w:tc>
        <w:tc>
          <w:tcPr>
            <w:tcW w:w="638"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2015</w:t>
            </w:r>
          </w:p>
        </w:tc>
        <w:tc>
          <w:tcPr>
            <w:tcW w:w="496" w:type="dxa"/>
            <w:tcBorders>
              <w:top w:val="single" w:sz="4" w:space="0" w:color="auto"/>
              <w:left w:val="nil"/>
              <w:bottom w:val="single" w:sz="4" w:space="0" w:color="auto"/>
              <w:right w:val="nil"/>
            </w:tcBorders>
            <w:shd w:val="clear" w:color="000000" w:fill="8DB3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2016</w:t>
            </w:r>
          </w:p>
        </w:tc>
      </w:tr>
      <w:tr w:rsidR="00B63E7F" w:rsidRPr="00B63E7F" w:rsidTr="000B496F">
        <w:trPr>
          <w:trHeight w:val="300"/>
        </w:trPr>
        <w:tc>
          <w:tcPr>
            <w:tcW w:w="2140"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lef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Consejo de Navarra</w:t>
            </w:r>
          </w:p>
        </w:tc>
        <w:tc>
          <w:tcPr>
            <w:tcW w:w="3404"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567"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567"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638"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r>
      <w:tr w:rsidR="00B63E7F" w:rsidRPr="00B63E7F" w:rsidTr="000B496F">
        <w:trPr>
          <w:trHeight w:val="315"/>
        </w:trPr>
        <w:tc>
          <w:tcPr>
            <w:tcW w:w="2140"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lef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Consejo Audiovisual de Navarra</w:t>
            </w:r>
          </w:p>
        </w:tc>
        <w:tc>
          <w:tcPr>
            <w:tcW w:w="3404"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rFonts w:ascii="Arial Narrow" w:hAnsi="Arial Narrow"/>
                <w:color w:val="000000"/>
                <w:sz w:val="16"/>
                <w:szCs w:val="16"/>
                <w:lang w:val="es-ES" w:eastAsia="es-ES"/>
              </w:rPr>
            </w:pPr>
            <w:r w:rsidRPr="00B63E7F">
              <w:rPr>
                <w:rFonts w:ascii="Arial Narrow" w:hAnsi="Arial Narrow"/>
                <w:color w:val="000000"/>
                <w:sz w:val="16"/>
                <w:szCs w:val="16"/>
                <w:lang w:val="es-ES" w:eastAsia="es-ES"/>
              </w:rPr>
              <w:t>x</w:t>
            </w:r>
          </w:p>
        </w:tc>
        <w:tc>
          <w:tcPr>
            <w:tcW w:w="567"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c>
          <w:tcPr>
            <w:tcW w:w="567"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c>
          <w:tcPr>
            <w:tcW w:w="638"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c>
          <w:tcPr>
            <w:tcW w:w="496" w:type="dxa"/>
            <w:tcBorders>
              <w:top w:val="single" w:sz="4" w:space="0" w:color="auto"/>
              <w:left w:val="nil"/>
              <w:bottom w:val="single" w:sz="4" w:space="0" w:color="auto"/>
              <w:right w:val="nil"/>
            </w:tcBorders>
            <w:shd w:val="clear" w:color="auto" w:fill="auto"/>
            <w:noWrap/>
            <w:vAlign w:val="center"/>
            <w:hideMark/>
          </w:tcPr>
          <w:p w:rsidR="00B63E7F" w:rsidRPr="00B63E7F" w:rsidRDefault="00B63E7F" w:rsidP="00B63E7F">
            <w:pPr>
              <w:spacing w:after="0"/>
              <w:ind w:firstLine="0"/>
              <w:jc w:val="right"/>
              <w:rPr>
                <w:color w:val="000000"/>
                <w:lang w:val="es-ES" w:eastAsia="es-ES"/>
              </w:rPr>
            </w:pPr>
            <w:r w:rsidRPr="00B63E7F">
              <w:rPr>
                <w:color w:val="000000"/>
                <w:lang w:val="es-ES" w:eastAsia="es-ES"/>
              </w:rPr>
              <w:t> </w:t>
            </w:r>
          </w:p>
        </w:tc>
      </w:tr>
      <w:tr w:rsidR="00B63E7F" w:rsidRPr="00B63E7F" w:rsidTr="000B496F">
        <w:trPr>
          <w:trHeight w:val="315"/>
        </w:trPr>
        <w:tc>
          <w:tcPr>
            <w:tcW w:w="2140"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left"/>
              <w:rPr>
                <w:rFonts w:ascii="Arial" w:hAnsi="Arial" w:cs="Arial"/>
                <w:color w:val="000000"/>
                <w:sz w:val="16"/>
                <w:szCs w:val="16"/>
                <w:lang w:val="es-ES" w:eastAsia="es-ES"/>
              </w:rPr>
            </w:pPr>
            <w:r w:rsidRPr="00B63E7F">
              <w:rPr>
                <w:rFonts w:ascii="Arial" w:hAnsi="Arial" w:cs="Arial"/>
                <w:color w:val="000000"/>
                <w:sz w:val="16"/>
                <w:szCs w:val="16"/>
                <w:lang w:val="es-ES" w:eastAsia="es-ES"/>
              </w:rPr>
              <w:t xml:space="preserve">Total </w:t>
            </w:r>
          </w:p>
        </w:tc>
        <w:tc>
          <w:tcPr>
            <w:tcW w:w="3404"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2</w:t>
            </w:r>
          </w:p>
        </w:tc>
        <w:tc>
          <w:tcPr>
            <w:tcW w:w="567"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c>
          <w:tcPr>
            <w:tcW w:w="496"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c>
          <w:tcPr>
            <w:tcW w:w="496"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c>
          <w:tcPr>
            <w:tcW w:w="567"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c>
          <w:tcPr>
            <w:tcW w:w="638"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c>
          <w:tcPr>
            <w:tcW w:w="496" w:type="dxa"/>
            <w:tcBorders>
              <w:top w:val="single" w:sz="4" w:space="0" w:color="auto"/>
              <w:left w:val="nil"/>
              <w:bottom w:val="single" w:sz="4" w:space="0" w:color="auto"/>
              <w:right w:val="nil"/>
            </w:tcBorders>
            <w:shd w:val="clear" w:color="000000" w:fill="8DB4E2"/>
            <w:noWrap/>
            <w:vAlign w:val="center"/>
            <w:hideMark/>
          </w:tcPr>
          <w:p w:rsidR="00B63E7F" w:rsidRPr="00B63E7F" w:rsidRDefault="00B63E7F" w:rsidP="00B63E7F">
            <w:pPr>
              <w:spacing w:after="0"/>
              <w:ind w:firstLine="0"/>
              <w:jc w:val="right"/>
              <w:rPr>
                <w:rFonts w:ascii="Arial" w:hAnsi="Arial" w:cs="Arial"/>
                <w:color w:val="000000"/>
                <w:sz w:val="16"/>
                <w:szCs w:val="16"/>
                <w:lang w:val="es-ES" w:eastAsia="es-ES"/>
              </w:rPr>
            </w:pPr>
            <w:r w:rsidRPr="00B63E7F">
              <w:rPr>
                <w:rFonts w:ascii="Arial" w:hAnsi="Arial" w:cs="Arial"/>
                <w:color w:val="000000"/>
                <w:sz w:val="16"/>
                <w:szCs w:val="16"/>
                <w:lang w:val="es-ES" w:eastAsia="es-ES"/>
              </w:rPr>
              <w:t>1</w:t>
            </w:r>
          </w:p>
        </w:tc>
      </w:tr>
    </w:tbl>
    <w:p w:rsidR="00B63E7F" w:rsidRDefault="00B63E7F" w:rsidP="00871B5D">
      <w:pPr>
        <w:pStyle w:val="atitulo2"/>
        <w:spacing w:before="240" w:after="280"/>
      </w:pPr>
    </w:p>
    <w:tbl>
      <w:tblPr>
        <w:tblW w:w="873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13"/>
        <w:gridCol w:w="709"/>
        <w:gridCol w:w="496"/>
        <w:gridCol w:w="567"/>
        <w:gridCol w:w="496"/>
        <w:gridCol w:w="567"/>
        <w:gridCol w:w="551"/>
        <w:gridCol w:w="538"/>
      </w:tblGrid>
      <w:tr w:rsidR="00871B5D" w:rsidRPr="00274CEA" w:rsidTr="00871B5D">
        <w:trPr>
          <w:trHeight w:val="315"/>
          <w:jc w:val="center"/>
        </w:trPr>
        <w:tc>
          <w:tcPr>
            <w:tcW w:w="4813" w:type="dxa"/>
            <w:tcBorders>
              <w:bottom w:val="single" w:sz="4" w:space="0" w:color="auto"/>
            </w:tcBorders>
            <w:shd w:val="clear" w:color="000000" w:fill="8DB4E2"/>
            <w:noWrap/>
            <w:vAlign w:val="center"/>
            <w:hideMark/>
          </w:tcPr>
          <w:p w:rsidR="00871B5D" w:rsidRPr="00274CEA" w:rsidRDefault="00871B5D" w:rsidP="00871B5D">
            <w:pPr>
              <w:spacing w:after="0"/>
              <w:ind w:firstLine="0"/>
              <w:jc w:val="left"/>
              <w:rPr>
                <w:rFonts w:ascii="Arial" w:hAnsi="Arial" w:cs="Arial"/>
                <w:color w:val="000000"/>
                <w:sz w:val="16"/>
                <w:szCs w:val="16"/>
                <w:lang w:val="es-ES" w:eastAsia="es-ES"/>
              </w:rPr>
            </w:pPr>
            <w:r w:rsidRPr="00274CEA">
              <w:rPr>
                <w:rFonts w:ascii="Arial" w:hAnsi="Arial" w:cs="Arial"/>
                <w:color w:val="000000"/>
                <w:sz w:val="16"/>
                <w:szCs w:val="16"/>
                <w:lang w:val="es-ES" w:eastAsia="es-ES"/>
              </w:rPr>
              <w:t>Organismos Autónomos</w:t>
            </w:r>
          </w:p>
        </w:tc>
        <w:tc>
          <w:tcPr>
            <w:tcW w:w="709"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2010</w:t>
            </w:r>
          </w:p>
        </w:tc>
        <w:tc>
          <w:tcPr>
            <w:tcW w:w="496"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2011</w:t>
            </w:r>
          </w:p>
        </w:tc>
        <w:tc>
          <w:tcPr>
            <w:tcW w:w="567"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2012</w:t>
            </w:r>
          </w:p>
        </w:tc>
        <w:tc>
          <w:tcPr>
            <w:tcW w:w="496"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2013</w:t>
            </w:r>
          </w:p>
        </w:tc>
        <w:tc>
          <w:tcPr>
            <w:tcW w:w="567"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2014</w:t>
            </w:r>
          </w:p>
        </w:tc>
        <w:tc>
          <w:tcPr>
            <w:tcW w:w="551"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2015</w:t>
            </w:r>
          </w:p>
        </w:tc>
        <w:tc>
          <w:tcPr>
            <w:tcW w:w="538" w:type="dxa"/>
            <w:tcBorders>
              <w:bottom w:val="single" w:sz="4" w:space="0" w:color="auto"/>
            </w:tcBorders>
            <w:shd w:val="clear" w:color="000000" w:fill="8DB4E2"/>
            <w:noWrap/>
            <w:vAlign w:val="center"/>
            <w:hideMark/>
          </w:tcPr>
          <w:p w:rsidR="00871B5D" w:rsidRPr="00274CEA" w:rsidRDefault="00871B5D" w:rsidP="00871B5D">
            <w:pPr>
              <w:spacing w:after="0"/>
              <w:ind w:firstLine="0"/>
              <w:jc w:val="center"/>
              <w:rPr>
                <w:rFonts w:ascii="Arial" w:hAnsi="Arial" w:cs="Arial"/>
                <w:color w:val="000000"/>
                <w:sz w:val="16"/>
                <w:szCs w:val="16"/>
                <w:lang w:val="es-ES" w:eastAsia="es-ES"/>
              </w:rPr>
            </w:pPr>
            <w:r w:rsidRPr="00274CEA">
              <w:rPr>
                <w:rFonts w:ascii="Arial" w:hAnsi="Arial" w:cs="Arial"/>
                <w:color w:val="000000"/>
                <w:sz w:val="16"/>
                <w:szCs w:val="16"/>
                <w:lang w:val="es-ES" w:eastAsia="es-ES"/>
              </w:rPr>
              <w:t>2016</w:t>
            </w:r>
          </w:p>
        </w:tc>
      </w:tr>
      <w:tr w:rsidR="00871B5D" w:rsidRPr="00E742F9" w:rsidTr="00871B5D">
        <w:trPr>
          <w:trHeight w:val="238"/>
          <w:jc w:val="center"/>
        </w:trPr>
        <w:tc>
          <w:tcPr>
            <w:tcW w:w="4813" w:type="dxa"/>
            <w:tcBorders>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Agencia Navarra de Emergencias (ANE)</w:t>
            </w:r>
          </w:p>
        </w:tc>
        <w:tc>
          <w:tcPr>
            <w:tcW w:w="709"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38" w:type="dxa"/>
            <w:tcBorders>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Estación de Viticultura y Enología de Navarra (EVENA)</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Hacienda Tributaria de Navarra (HTN)</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Instituto Navarro de Administración Pública (I.N.A.P.)</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Agencia Navarra para la Dependencia  (Desde 2015 Agencia Navarra de la Autonomía y Desarrollo de las Personas)</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Instituto Navarro de Deporte y Actividad Física (I.N.D.)</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Instituto Navarro de Juventud (I.N.J )</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Instituto Navarro de Deporte y Juventud (I.N.D.J.)</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0D1758" w:rsidP="00915B7E">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Instituto Nava</w:t>
            </w:r>
            <w:r>
              <w:rPr>
                <w:rFonts w:ascii="Arial Narrow" w:hAnsi="Arial Narrow"/>
                <w:color w:val="000000"/>
                <w:sz w:val="16"/>
                <w:szCs w:val="16"/>
                <w:lang w:val="es-ES" w:eastAsia="es-ES"/>
              </w:rPr>
              <w:t xml:space="preserve">rro para la </w:t>
            </w:r>
            <w:r w:rsidR="00915B7E">
              <w:rPr>
                <w:rFonts w:ascii="Arial Narrow" w:hAnsi="Arial Narrow"/>
                <w:color w:val="000000"/>
                <w:sz w:val="16"/>
                <w:szCs w:val="16"/>
                <w:lang w:val="es-ES" w:eastAsia="es-ES"/>
              </w:rPr>
              <w:t xml:space="preserve">Familia e </w:t>
            </w:r>
            <w:r>
              <w:rPr>
                <w:rFonts w:ascii="Arial Narrow" w:hAnsi="Arial Narrow"/>
                <w:color w:val="000000"/>
                <w:sz w:val="16"/>
                <w:szCs w:val="16"/>
                <w:lang w:val="es-ES" w:eastAsia="es-ES"/>
              </w:rPr>
              <w:t>Igualdad ( Desde 201</w:t>
            </w:r>
            <w:r w:rsidR="00915B7E">
              <w:rPr>
                <w:rFonts w:ascii="Arial Narrow" w:hAnsi="Arial Narrow"/>
                <w:color w:val="000000"/>
                <w:sz w:val="16"/>
                <w:szCs w:val="16"/>
                <w:lang w:val="es-ES" w:eastAsia="es-ES"/>
              </w:rPr>
              <w:t>5</w:t>
            </w:r>
            <w:r>
              <w:rPr>
                <w:rFonts w:ascii="Arial Narrow" w:hAnsi="Arial Narrow"/>
                <w:color w:val="000000"/>
                <w:sz w:val="16"/>
                <w:szCs w:val="16"/>
                <w:lang w:val="es-ES" w:eastAsia="es-ES"/>
              </w:rPr>
              <w:t xml:space="preserve"> Ins</w:t>
            </w:r>
            <w:r w:rsidR="00871B5D" w:rsidRPr="00E742F9">
              <w:rPr>
                <w:rFonts w:ascii="Arial Narrow" w:hAnsi="Arial Narrow"/>
                <w:color w:val="000000"/>
                <w:sz w:val="16"/>
                <w:szCs w:val="16"/>
                <w:lang w:val="es-ES" w:eastAsia="es-ES"/>
              </w:rPr>
              <w:t>tituto Navarro para Igual</w:t>
            </w:r>
            <w:r w:rsidR="00915B7E">
              <w:rPr>
                <w:rFonts w:ascii="Arial Narrow" w:hAnsi="Arial Narrow"/>
                <w:color w:val="000000"/>
                <w:sz w:val="16"/>
                <w:szCs w:val="16"/>
                <w:lang w:val="es-ES" w:eastAsia="es-ES"/>
              </w:rPr>
              <w:t>dad (I.N</w:t>
            </w:r>
            <w:r w:rsidR="00871B5D" w:rsidRPr="00E742F9">
              <w:rPr>
                <w:rFonts w:ascii="Arial Narrow" w:hAnsi="Arial Narrow"/>
                <w:color w:val="000000"/>
                <w:sz w:val="16"/>
                <w:szCs w:val="16"/>
                <w:lang w:val="es-ES" w:eastAsia="es-ES"/>
              </w:rPr>
              <w:t xml:space="preserve">.I.) </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0D1758">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 xml:space="preserve">Instituto Navarro del Vascuence </w:t>
            </w:r>
            <w:r w:rsidR="000D1758">
              <w:rPr>
                <w:rFonts w:ascii="Arial Narrow" w:hAnsi="Arial Narrow"/>
                <w:color w:val="000000"/>
                <w:sz w:val="16"/>
                <w:szCs w:val="16"/>
                <w:lang w:val="es-ES" w:eastAsia="es-ES"/>
              </w:rPr>
              <w:t xml:space="preserve">-Euskarabidea </w:t>
            </w:r>
            <w:r w:rsidR="00915B7E">
              <w:rPr>
                <w:rFonts w:ascii="Arial Narrow" w:hAnsi="Arial Narrow"/>
                <w:color w:val="000000"/>
                <w:sz w:val="16"/>
                <w:szCs w:val="16"/>
                <w:lang w:val="es-ES" w:eastAsia="es-ES"/>
              </w:rPr>
              <w:t>(</w:t>
            </w:r>
            <w:r w:rsidRPr="00E742F9">
              <w:rPr>
                <w:rFonts w:ascii="Arial Narrow" w:hAnsi="Arial Narrow"/>
                <w:color w:val="000000"/>
                <w:sz w:val="16"/>
                <w:szCs w:val="16"/>
                <w:lang w:val="es-ES" w:eastAsia="es-ES"/>
              </w:rPr>
              <w:t>I.N.V</w:t>
            </w:r>
            <w:r w:rsidR="000D1758">
              <w:rPr>
                <w:rFonts w:ascii="Arial Narrow" w:hAnsi="Arial Narrow"/>
                <w:color w:val="000000"/>
                <w:sz w:val="16"/>
                <w:szCs w:val="16"/>
                <w:lang w:val="es-ES" w:eastAsia="es-ES"/>
              </w:rPr>
              <w:t>/E</w:t>
            </w:r>
            <w:r w:rsidRPr="00E742F9">
              <w:rPr>
                <w:rFonts w:ascii="Arial Narrow" w:hAnsi="Arial Narrow"/>
                <w:color w:val="000000"/>
                <w:sz w:val="16"/>
                <w:szCs w:val="16"/>
                <w:lang w:val="es-ES" w:eastAsia="es-ES"/>
              </w:rPr>
              <w:t>.)</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 xml:space="preserve">Instituto Navarro de Salud Pública y Laboral </w:t>
            </w:r>
            <w:r w:rsidR="00915B7E">
              <w:rPr>
                <w:rFonts w:ascii="Arial Narrow" w:hAnsi="Arial Narrow"/>
                <w:color w:val="000000"/>
                <w:sz w:val="16"/>
                <w:szCs w:val="16"/>
                <w:lang w:val="es-ES" w:eastAsia="es-ES"/>
              </w:rPr>
              <w:t xml:space="preserve">de Navarra </w:t>
            </w:r>
            <w:r w:rsidRPr="00E742F9">
              <w:rPr>
                <w:rFonts w:ascii="Arial Narrow" w:hAnsi="Arial Narrow"/>
                <w:color w:val="000000"/>
                <w:sz w:val="16"/>
                <w:szCs w:val="16"/>
                <w:lang w:val="es-ES" w:eastAsia="es-ES"/>
              </w:rPr>
              <w:t xml:space="preserve">(I.N.S.P.L.) </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Servicio Navarro de Empleo (S.N.E.)</w:t>
            </w:r>
          </w:p>
        </w:tc>
        <w:tc>
          <w:tcPr>
            <w:tcW w:w="709"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bottom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E742F9" w:rsidTr="00871B5D">
        <w:trPr>
          <w:trHeight w:val="238"/>
          <w:jc w:val="center"/>
        </w:trPr>
        <w:tc>
          <w:tcPr>
            <w:tcW w:w="4813" w:type="dxa"/>
            <w:tcBorders>
              <w:top w:val="single" w:sz="2" w:space="0" w:color="auto"/>
            </w:tcBorders>
            <w:shd w:val="clear" w:color="auto" w:fill="auto"/>
            <w:noWrap/>
            <w:vAlign w:val="center"/>
            <w:hideMark/>
          </w:tcPr>
          <w:p w:rsidR="00871B5D" w:rsidRPr="00E742F9" w:rsidRDefault="00871B5D" w:rsidP="000D1758">
            <w:pPr>
              <w:spacing w:after="0"/>
              <w:ind w:firstLine="0"/>
              <w:jc w:val="left"/>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Servicio Navarro de Salud</w:t>
            </w:r>
            <w:r w:rsidR="000D1758">
              <w:rPr>
                <w:rFonts w:ascii="Arial Narrow" w:hAnsi="Arial Narrow"/>
                <w:color w:val="000000"/>
                <w:sz w:val="16"/>
                <w:szCs w:val="16"/>
                <w:lang w:val="es-ES" w:eastAsia="es-ES"/>
              </w:rPr>
              <w:t xml:space="preserve">-Osansubidea </w:t>
            </w:r>
            <w:r w:rsidRPr="00E742F9">
              <w:rPr>
                <w:rFonts w:ascii="Arial Narrow" w:hAnsi="Arial Narrow"/>
                <w:color w:val="000000"/>
                <w:sz w:val="16"/>
                <w:szCs w:val="16"/>
                <w:lang w:val="es-ES" w:eastAsia="es-ES"/>
              </w:rPr>
              <w:t>(S.N.S</w:t>
            </w:r>
            <w:r w:rsidR="000D1758">
              <w:rPr>
                <w:rFonts w:ascii="Arial Narrow" w:hAnsi="Arial Narrow"/>
                <w:color w:val="000000"/>
                <w:sz w:val="16"/>
                <w:szCs w:val="16"/>
                <w:lang w:val="es-ES" w:eastAsia="es-ES"/>
              </w:rPr>
              <w:t>-O)</w:t>
            </w:r>
          </w:p>
        </w:tc>
        <w:tc>
          <w:tcPr>
            <w:tcW w:w="709"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496"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67"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51"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c>
          <w:tcPr>
            <w:tcW w:w="538" w:type="dxa"/>
            <w:tcBorders>
              <w:top w:val="single" w:sz="2" w:space="0" w:color="auto"/>
            </w:tcBorders>
            <w:shd w:val="clear" w:color="auto" w:fill="auto"/>
            <w:noWrap/>
            <w:vAlign w:val="center"/>
            <w:hideMark/>
          </w:tcPr>
          <w:p w:rsidR="00871B5D" w:rsidRPr="00E742F9" w:rsidRDefault="00871B5D" w:rsidP="00871B5D">
            <w:pPr>
              <w:spacing w:after="0"/>
              <w:ind w:firstLine="0"/>
              <w:jc w:val="center"/>
              <w:rPr>
                <w:rFonts w:ascii="Arial Narrow" w:hAnsi="Arial Narrow"/>
                <w:color w:val="000000"/>
                <w:sz w:val="16"/>
                <w:szCs w:val="16"/>
                <w:lang w:val="es-ES" w:eastAsia="es-ES"/>
              </w:rPr>
            </w:pPr>
            <w:r w:rsidRPr="00E742F9">
              <w:rPr>
                <w:rFonts w:ascii="Arial Narrow" w:hAnsi="Arial Narrow"/>
                <w:color w:val="000000"/>
                <w:sz w:val="16"/>
                <w:szCs w:val="16"/>
                <w:lang w:val="es-ES" w:eastAsia="es-ES"/>
              </w:rPr>
              <w:t>X</w:t>
            </w:r>
          </w:p>
        </w:tc>
      </w:tr>
      <w:tr w:rsidR="00871B5D" w:rsidRPr="00274CEA" w:rsidTr="00871B5D">
        <w:trPr>
          <w:trHeight w:val="300"/>
          <w:jc w:val="center"/>
        </w:trPr>
        <w:tc>
          <w:tcPr>
            <w:tcW w:w="4813" w:type="dxa"/>
            <w:shd w:val="clear" w:color="auto" w:fill="8DB3E2" w:themeFill="text2" w:themeFillTint="66"/>
            <w:noWrap/>
            <w:vAlign w:val="center"/>
            <w:hideMark/>
          </w:tcPr>
          <w:p w:rsidR="00871B5D" w:rsidRPr="00274CEA" w:rsidRDefault="00871B5D" w:rsidP="00871B5D">
            <w:pPr>
              <w:spacing w:after="0"/>
              <w:ind w:firstLine="0"/>
              <w:jc w:val="left"/>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Total</w:t>
            </w:r>
          </w:p>
        </w:tc>
        <w:tc>
          <w:tcPr>
            <w:tcW w:w="709"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12</w:t>
            </w:r>
          </w:p>
        </w:tc>
        <w:tc>
          <w:tcPr>
            <w:tcW w:w="496"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11</w:t>
            </w:r>
          </w:p>
        </w:tc>
        <w:tc>
          <w:tcPr>
            <w:tcW w:w="567"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9</w:t>
            </w:r>
          </w:p>
        </w:tc>
        <w:tc>
          <w:tcPr>
            <w:tcW w:w="496"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9</w:t>
            </w:r>
          </w:p>
        </w:tc>
        <w:tc>
          <w:tcPr>
            <w:tcW w:w="567"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9</w:t>
            </w:r>
          </w:p>
        </w:tc>
        <w:tc>
          <w:tcPr>
            <w:tcW w:w="551"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8</w:t>
            </w:r>
          </w:p>
        </w:tc>
        <w:tc>
          <w:tcPr>
            <w:tcW w:w="538" w:type="dxa"/>
            <w:shd w:val="clear" w:color="auto" w:fill="8DB3E2" w:themeFill="text2" w:themeFillTint="66"/>
            <w:noWrap/>
            <w:vAlign w:val="center"/>
            <w:hideMark/>
          </w:tcPr>
          <w:p w:rsidR="00871B5D" w:rsidRPr="00274CEA" w:rsidRDefault="00871B5D" w:rsidP="00871B5D">
            <w:pPr>
              <w:spacing w:after="0"/>
              <w:ind w:firstLine="0"/>
              <w:jc w:val="center"/>
              <w:rPr>
                <w:rFonts w:ascii="Arial" w:hAnsi="Arial" w:cs="Arial"/>
                <w:bCs/>
                <w:color w:val="000000"/>
                <w:sz w:val="16"/>
                <w:szCs w:val="16"/>
                <w:lang w:val="es-ES" w:eastAsia="es-ES"/>
              </w:rPr>
            </w:pPr>
            <w:r w:rsidRPr="00274CEA">
              <w:rPr>
                <w:rFonts w:ascii="Arial" w:hAnsi="Arial" w:cs="Arial"/>
                <w:bCs/>
                <w:color w:val="000000"/>
                <w:sz w:val="16"/>
                <w:szCs w:val="16"/>
                <w:lang w:val="es-ES" w:eastAsia="es-ES"/>
              </w:rPr>
              <w:t>8</w:t>
            </w:r>
          </w:p>
        </w:tc>
      </w:tr>
    </w:tbl>
    <w:p w:rsidR="00871B5D" w:rsidRPr="003D1559" w:rsidRDefault="00871B5D" w:rsidP="003D1559">
      <w:pPr>
        <w:pStyle w:val="texto"/>
        <w:rPr>
          <w:lang w:val="es-ES"/>
        </w:rPr>
      </w:pPr>
    </w:p>
    <w:p w:rsidR="00871B5D" w:rsidRDefault="00871B5D">
      <w:pPr>
        <w:spacing w:after="0"/>
        <w:ind w:firstLine="0"/>
        <w:jc w:val="left"/>
        <w:rPr>
          <w:rFonts w:ascii="Arial" w:hAnsi="Arial"/>
          <w:color w:val="000000"/>
          <w:kern w:val="28"/>
          <w:sz w:val="25"/>
          <w:szCs w:val="26"/>
        </w:rPr>
      </w:pPr>
      <w:r>
        <w:rPr>
          <w:b/>
        </w:rPr>
        <w:br w:type="page"/>
      </w:r>
    </w:p>
    <w:p w:rsidR="00882EE6" w:rsidRDefault="004F527D" w:rsidP="004026C7">
      <w:pPr>
        <w:pStyle w:val="atitulo2"/>
        <w:spacing w:before="240"/>
      </w:pPr>
      <w:bookmarkStart w:id="53" w:name="_Toc527376682"/>
      <w:r w:rsidRPr="004026C7">
        <w:lastRenderedPageBreak/>
        <w:t xml:space="preserve">Anexo </w:t>
      </w:r>
      <w:r w:rsidR="00EB6C9F">
        <w:t>3</w:t>
      </w:r>
      <w:r w:rsidRPr="004026C7">
        <w:t>. Relación de sociedades absorbidas y absorbentes</w:t>
      </w:r>
      <w:bookmarkEnd w:id="53"/>
    </w:p>
    <w:tbl>
      <w:tblPr>
        <w:tblW w:w="9796" w:type="dxa"/>
        <w:tblInd w:w="55" w:type="dxa"/>
        <w:tblLayout w:type="fixed"/>
        <w:tblCellMar>
          <w:left w:w="70" w:type="dxa"/>
          <w:right w:w="70" w:type="dxa"/>
        </w:tblCellMar>
        <w:tblLook w:val="04A0" w:firstRow="1" w:lastRow="0" w:firstColumn="1" w:lastColumn="0" w:noHBand="0" w:noVBand="1"/>
      </w:tblPr>
      <w:tblGrid>
        <w:gridCol w:w="9796"/>
      </w:tblGrid>
      <w:tr w:rsidR="00871B5D" w:rsidRPr="00627E79" w:rsidTr="00F5359C">
        <w:trPr>
          <w:trHeight w:hRule="exact" w:val="340"/>
        </w:trPr>
        <w:tc>
          <w:tcPr>
            <w:tcW w:w="9796" w:type="dxa"/>
            <w:tcBorders>
              <w:top w:val="single" w:sz="4" w:space="0" w:color="000000"/>
              <w:left w:val="nil"/>
              <w:bottom w:val="single" w:sz="2" w:space="0" w:color="000000"/>
              <w:right w:val="nil"/>
            </w:tcBorders>
            <w:shd w:val="clear" w:color="auto" w:fill="8DB3E2" w:themeFill="text2" w:themeFillTint="66"/>
            <w:vAlign w:val="center"/>
          </w:tcPr>
          <w:p w:rsidR="00871B5D" w:rsidRPr="00F46F6C" w:rsidRDefault="00F5359C" w:rsidP="00F5359C">
            <w:pPr>
              <w:pStyle w:val="Prrafodelista"/>
              <w:spacing w:after="0"/>
              <w:ind w:left="1080" w:firstLine="0"/>
              <w:rPr>
                <w:rFonts w:ascii="Arial" w:hAnsi="Arial" w:cs="Arial"/>
                <w:color w:val="000000"/>
                <w:sz w:val="16"/>
                <w:szCs w:val="16"/>
                <w:lang w:val="es-ES" w:eastAsia="es-ES"/>
              </w:rPr>
            </w:pPr>
            <w:r>
              <w:rPr>
                <w:rFonts w:ascii="Arial" w:hAnsi="Arial" w:cs="Arial"/>
                <w:color w:val="000000"/>
                <w:sz w:val="16"/>
                <w:szCs w:val="16"/>
                <w:lang w:eastAsia="es-ES"/>
              </w:rPr>
              <w:t xml:space="preserve">                            </w:t>
            </w:r>
            <w:r w:rsidR="0043715D">
              <w:rPr>
                <w:rFonts w:ascii="Arial" w:hAnsi="Arial" w:cs="Arial"/>
                <w:color w:val="000000"/>
                <w:sz w:val="16"/>
                <w:szCs w:val="16"/>
                <w:lang w:eastAsia="es-ES"/>
              </w:rPr>
              <w:t xml:space="preserve">   </w:t>
            </w:r>
            <w:r>
              <w:rPr>
                <w:rFonts w:ascii="Arial" w:hAnsi="Arial" w:cs="Arial"/>
                <w:color w:val="000000"/>
                <w:sz w:val="16"/>
                <w:szCs w:val="16"/>
                <w:lang w:eastAsia="es-ES"/>
              </w:rPr>
              <w:t xml:space="preserve"> A. </w:t>
            </w:r>
            <w:r w:rsidR="00871B5D" w:rsidRPr="00F46F6C">
              <w:rPr>
                <w:rFonts w:ascii="Arial" w:hAnsi="Arial" w:cs="Arial"/>
                <w:color w:val="000000"/>
                <w:sz w:val="16"/>
                <w:szCs w:val="16"/>
                <w:lang w:eastAsia="es-ES"/>
              </w:rPr>
              <w:t>Fusiones resultantes del primer proceso de reordenación</w:t>
            </w:r>
          </w:p>
        </w:tc>
      </w:tr>
    </w:tbl>
    <w:p w:rsidR="00871B5D" w:rsidRPr="003D1559" w:rsidRDefault="00871B5D" w:rsidP="003D1559">
      <w:pPr>
        <w:pStyle w:val="texto"/>
        <w:spacing w:after="0"/>
        <w:rPr>
          <w:sz w:val="10"/>
          <w:szCs w:val="10"/>
          <w:lang w:val="es-ES"/>
        </w:rPr>
      </w:pPr>
    </w:p>
    <w:tbl>
      <w:tblPr>
        <w:tblW w:w="9796" w:type="dxa"/>
        <w:tblInd w:w="55" w:type="dxa"/>
        <w:tblLayout w:type="fixed"/>
        <w:tblCellMar>
          <w:left w:w="70" w:type="dxa"/>
          <w:right w:w="70" w:type="dxa"/>
        </w:tblCellMar>
        <w:tblLook w:val="04A0" w:firstRow="1" w:lastRow="0" w:firstColumn="1" w:lastColumn="0" w:noHBand="0" w:noVBand="1"/>
      </w:tblPr>
      <w:tblGrid>
        <w:gridCol w:w="2380"/>
        <w:gridCol w:w="2200"/>
        <w:gridCol w:w="1980"/>
        <w:gridCol w:w="3236"/>
      </w:tblGrid>
      <w:tr w:rsidR="00FC53A5" w:rsidRPr="00627E79" w:rsidTr="003D1559">
        <w:trPr>
          <w:trHeight w:hRule="exact" w:val="284"/>
        </w:trPr>
        <w:tc>
          <w:tcPr>
            <w:tcW w:w="9796" w:type="dxa"/>
            <w:gridSpan w:val="4"/>
            <w:tcBorders>
              <w:top w:val="single" w:sz="4" w:space="0" w:color="000000"/>
              <w:left w:val="nil"/>
              <w:bottom w:val="single" w:sz="2" w:space="0" w:color="000000"/>
              <w:right w:val="nil"/>
            </w:tcBorders>
            <w:shd w:val="clear" w:color="auto" w:fill="8DB3E2" w:themeFill="text2" w:themeFillTint="66"/>
            <w:vAlign w:val="center"/>
          </w:tcPr>
          <w:p w:rsidR="00FC53A5" w:rsidRPr="00FC53A5" w:rsidRDefault="00FC53A5" w:rsidP="006B0335">
            <w:pPr>
              <w:spacing w:after="0"/>
              <w:ind w:firstLine="0"/>
              <w:jc w:val="center"/>
              <w:rPr>
                <w:rFonts w:ascii="Arial" w:hAnsi="Arial" w:cs="Arial"/>
                <w:color w:val="000000"/>
                <w:sz w:val="16"/>
                <w:szCs w:val="16"/>
                <w:lang w:val="es-ES" w:eastAsia="es-ES"/>
              </w:rPr>
            </w:pPr>
            <w:r w:rsidRPr="00FC53A5">
              <w:rPr>
                <w:rFonts w:ascii="Arial" w:hAnsi="Arial" w:cs="Arial"/>
                <w:color w:val="000000"/>
                <w:sz w:val="16"/>
                <w:szCs w:val="16"/>
                <w:lang w:eastAsia="es-ES"/>
              </w:rPr>
              <w:t xml:space="preserve">1. </w:t>
            </w:r>
            <w:r w:rsidRPr="00FC53A5">
              <w:rPr>
                <w:rFonts w:ascii="Arial" w:hAnsi="Arial" w:cs="Arial"/>
                <w:bCs/>
                <w:color w:val="333333"/>
                <w:sz w:val="16"/>
                <w:szCs w:val="16"/>
                <w:lang w:val="es-ES" w:eastAsia="es-ES"/>
              </w:rPr>
              <w:t>Sociedades públicas participadas directa y mayoritariamente por CPEN una vez reestructuradas</w:t>
            </w:r>
          </w:p>
        </w:tc>
      </w:tr>
      <w:tr w:rsidR="00FC53A5" w:rsidRPr="00FC53A5" w:rsidTr="00FB1680">
        <w:trPr>
          <w:trHeight w:hRule="exact" w:val="284"/>
        </w:trPr>
        <w:tc>
          <w:tcPr>
            <w:tcW w:w="2380" w:type="dxa"/>
            <w:tcBorders>
              <w:top w:val="single" w:sz="4" w:space="0" w:color="000000"/>
              <w:left w:val="nil"/>
              <w:bottom w:val="single" w:sz="2" w:space="0" w:color="000000"/>
              <w:right w:val="nil"/>
            </w:tcBorders>
            <w:shd w:val="clear" w:color="auto" w:fill="8DB3E2" w:themeFill="text2" w:themeFillTint="66"/>
            <w:vAlign w:val="center"/>
          </w:tcPr>
          <w:p w:rsidR="00FC53A5" w:rsidRPr="00FC53A5" w:rsidRDefault="00FC53A5" w:rsidP="006B0335">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Empresa Pública resultante</w:t>
            </w:r>
          </w:p>
        </w:tc>
        <w:tc>
          <w:tcPr>
            <w:tcW w:w="2200" w:type="dxa"/>
            <w:tcBorders>
              <w:top w:val="single" w:sz="4" w:space="0" w:color="000000"/>
              <w:left w:val="nil"/>
              <w:bottom w:val="single" w:sz="2" w:space="0" w:color="000000"/>
              <w:right w:val="nil"/>
            </w:tcBorders>
            <w:shd w:val="clear" w:color="auto" w:fill="8DB3E2" w:themeFill="text2" w:themeFillTint="66"/>
            <w:vAlign w:val="center"/>
          </w:tcPr>
          <w:p w:rsidR="00FC53A5" w:rsidRPr="00FC53A5" w:rsidRDefault="00FC53A5" w:rsidP="006B0335">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Sociedad absorbente/nueva</w:t>
            </w:r>
          </w:p>
        </w:tc>
        <w:tc>
          <w:tcPr>
            <w:tcW w:w="1980" w:type="dxa"/>
            <w:tcBorders>
              <w:top w:val="single" w:sz="4" w:space="0" w:color="000000"/>
              <w:left w:val="nil"/>
              <w:bottom w:val="single" w:sz="2" w:space="0" w:color="000000"/>
              <w:right w:val="nil"/>
            </w:tcBorders>
            <w:shd w:val="clear" w:color="auto" w:fill="8DB3E2" w:themeFill="text2" w:themeFillTint="66"/>
            <w:vAlign w:val="center"/>
          </w:tcPr>
          <w:p w:rsidR="00FC53A5" w:rsidRPr="00FC53A5" w:rsidRDefault="00FC53A5" w:rsidP="006B0335">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Sociedades absorbidas</w:t>
            </w:r>
          </w:p>
        </w:tc>
        <w:tc>
          <w:tcPr>
            <w:tcW w:w="3236" w:type="dxa"/>
            <w:tcBorders>
              <w:top w:val="single" w:sz="4" w:space="0" w:color="000000"/>
              <w:left w:val="nil"/>
              <w:bottom w:val="single" w:sz="4" w:space="0" w:color="000000"/>
              <w:right w:val="nil"/>
            </w:tcBorders>
            <w:shd w:val="clear" w:color="auto" w:fill="8DB3E2" w:themeFill="text2" w:themeFillTint="66"/>
            <w:vAlign w:val="center"/>
          </w:tcPr>
          <w:p w:rsidR="00FC53A5" w:rsidRPr="00FC53A5" w:rsidRDefault="00FC53A5" w:rsidP="00FC53A5">
            <w:pPr>
              <w:spacing w:after="0"/>
              <w:ind w:firstLine="0"/>
              <w:jc w:val="center"/>
              <w:rPr>
                <w:rFonts w:ascii="Arial" w:hAnsi="Arial" w:cs="Arial"/>
                <w:color w:val="000000"/>
                <w:sz w:val="16"/>
                <w:szCs w:val="16"/>
                <w:lang w:val="es-ES" w:eastAsia="es-ES"/>
              </w:rPr>
            </w:pPr>
            <w:r w:rsidRPr="00FC53A5">
              <w:rPr>
                <w:rFonts w:ascii="Arial" w:hAnsi="Arial" w:cs="Arial"/>
                <w:color w:val="000000"/>
                <w:sz w:val="16"/>
                <w:szCs w:val="16"/>
                <w:lang w:val="es-ES" w:eastAsia="es-ES"/>
              </w:rPr>
              <w:t>Actividad económi</w:t>
            </w:r>
            <w:r>
              <w:rPr>
                <w:rFonts w:ascii="Arial" w:hAnsi="Arial" w:cs="Arial"/>
                <w:color w:val="000000"/>
                <w:sz w:val="16"/>
                <w:szCs w:val="16"/>
                <w:lang w:val="es-ES" w:eastAsia="es-ES"/>
              </w:rPr>
              <w:t>c</w:t>
            </w:r>
            <w:r w:rsidRPr="00FC53A5">
              <w:rPr>
                <w:rFonts w:ascii="Arial" w:hAnsi="Arial" w:cs="Arial"/>
                <w:color w:val="000000"/>
                <w:sz w:val="16"/>
                <w:szCs w:val="16"/>
                <w:lang w:val="es-ES" w:eastAsia="es-ES"/>
              </w:rPr>
              <w:t>a</w:t>
            </w:r>
          </w:p>
        </w:tc>
      </w:tr>
      <w:tr w:rsidR="00FB1680" w:rsidRPr="00627E79" w:rsidTr="00FB1680">
        <w:trPr>
          <w:trHeight w:hRule="exact" w:val="369"/>
        </w:trPr>
        <w:tc>
          <w:tcPr>
            <w:tcW w:w="2380" w:type="dxa"/>
            <w:vMerge w:val="restart"/>
            <w:tcBorders>
              <w:top w:val="single" w:sz="4" w:space="0" w:color="000000"/>
              <w:left w:val="nil"/>
              <w:bottom w:val="single" w:sz="2" w:space="0" w:color="000000"/>
              <w:right w:val="nil"/>
            </w:tcBorders>
            <w:shd w:val="clear" w:color="auto" w:fill="auto"/>
            <w:vAlign w:val="center"/>
            <w:hideMark/>
          </w:tcPr>
          <w:p w:rsidR="00FB1680" w:rsidRPr="00627E79" w:rsidRDefault="00FB1680"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1. Navarra de Suelo y Vivienda, SA (NASUVINSA)</w:t>
            </w:r>
          </w:p>
        </w:tc>
        <w:tc>
          <w:tcPr>
            <w:tcW w:w="2200" w:type="dxa"/>
            <w:vMerge w:val="restart"/>
            <w:tcBorders>
              <w:top w:val="single" w:sz="4" w:space="0" w:color="000000"/>
              <w:left w:val="nil"/>
              <w:bottom w:val="single" w:sz="2" w:space="0" w:color="000000"/>
              <w:right w:val="nil"/>
            </w:tcBorders>
            <w:shd w:val="clear" w:color="auto" w:fill="auto"/>
            <w:vAlign w:val="center"/>
            <w:hideMark/>
          </w:tcPr>
          <w:p w:rsidR="00FB1680" w:rsidRPr="00627E79" w:rsidRDefault="00FB1680"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Viviendas de Navarra, SA (VINSA)</w:t>
            </w:r>
          </w:p>
        </w:tc>
        <w:tc>
          <w:tcPr>
            <w:tcW w:w="1980" w:type="dxa"/>
            <w:tcBorders>
              <w:top w:val="single" w:sz="4" w:space="0" w:color="000000"/>
              <w:left w:val="nil"/>
              <w:bottom w:val="single" w:sz="2" w:space="0" w:color="000000"/>
              <w:right w:val="nil"/>
            </w:tcBorders>
            <w:shd w:val="clear" w:color="auto" w:fill="auto"/>
            <w:vAlign w:val="center"/>
            <w:hideMark/>
          </w:tcPr>
          <w:p w:rsidR="00FB1680" w:rsidRPr="00627E79" w:rsidRDefault="00FB1680"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Suelo Residencial, SA (NASURSA)</w:t>
            </w:r>
          </w:p>
        </w:tc>
        <w:tc>
          <w:tcPr>
            <w:tcW w:w="3236" w:type="dxa"/>
            <w:vMerge w:val="restart"/>
            <w:tcBorders>
              <w:top w:val="single" w:sz="4" w:space="0" w:color="000000"/>
              <w:left w:val="nil"/>
              <w:right w:val="nil"/>
            </w:tcBorders>
            <w:shd w:val="clear" w:color="auto" w:fill="auto"/>
            <w:vAlign w:val="center"/>
            <w:hideMark/>
          </w:tcPr>
          <w:p w:rsidR="00FB1680" w:rsidRPr="00627E79" w:rsidRDefault="00FB1680" w:rsidP="00FB1680">
            <w:pPr>
              <w:spacing w:after="0"/>
              <w:rPr>
                <w:rFonts w:ascii="Arial Narrow" w:hAnsi="Arial Narrow"/>
                <w:color w:val="000000"/>
                <w:sz w:val="16"/>
                <w:szCs w:val="16"/>
                <w:lang w:val="es-ES" w:eastAsia="es-ES"/>
              </w:rPr>
            </w:pPr>
            <w:r>
              <w:rPr>
                <w:rFonts w:ascii="Arial Narrow" w:hAnsi="Arial Narrow"/>
                <w:color w:val="000000"/>
                <w:sz w:val="16"/>
                <w:szCs w:val="16"/>
                <w:lang w:eastAsia="es-ES"/>
              </w:rPr>
              <w:t xml:space="preserve">           </w:t>
            </w:r>
            <w:r w:rsidRPr="00627E79">
              <w:rPr>
                <w:rFonts w:ascii="Arial Narrow" w:hAnsi="Arial Narrow"/>
                <w:color w:val="000000"/>
                <w:sz w:val="16"/>
                <w:szCs w:val="16"/>
                <w:lang w:eastAsia="es-ES"/>
              </w:rPr>
              <w:t>Suelo y Vivienda</w:t>
            </w:r>
          </w:p>
        </w:tc>
      </w:tr>
      <w:tr w:rsidR="00FB1680" w:rsidRPr="00627E79" w:rsidTr="00FB1680">
        <w:trPr>
          <w:trHeight w:hRule="exact" w:val="369"/>
        </w:trPr>
        <w:tc>
          <w:tcPr>
            <w:tcW w:w="2380" w:type="dxa"/>
            <w:vMerge/>
            <w:tcBorders>
              <w:top w:val="single" w:sz="2" w:space="0" w:color="000000"/>
              <w:left w:val="nil"/>
              <w:bottom w:val="single" w:sz="2" w:space="0" w:color="000000"/>
              <w:right w:val="nil"/>
            </w:tcBorders>
            <w:vAlign w:val="center"/>
            <w:hideMark/>
          </w:tcPr>
          <w:p w:rsidR="00FB1680" w:rsidRPr="00627E79" w:rsidRDefault="00FB1680"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FB1680" w:rsidRPr="00627E79" w:rsidRDefault="00FB1680"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FB1680" w:rsidRPr="00627E79" w:rsidRDefault="00FB1680"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Suelo Industrial, SA (NASUINSA)</w:t>
            </w:r>
          </w:p>
        </w:tc>
        <w:tc>
          <w:tcPr>
            <w:tcW w:w="3236" w:type="dxa"/>
            <w:vMerge/>
            <w:tcBorders>
              <w:left w:val="nil"/>
              <w:bottom w:val="single" w:sz="2" w:space="0" w:color="000000"/>
              <w:right w:val="nil"/>
            </w:tcBorders>
            <w:shd w:val="clear" w:color="auto" w:fill="auto"/>
            <w:vAlign w:val="center"/>
            <w:hideMark/>
          </w:tcPr>
          <w:p w:rsidR="00FB1680" w:rsidRPr="00627E79" w:rsidRDefault="00FB1680" w:rsidP="006B0335">
            <w:pPr>
              <w:spacing w:after="0"/>
              <w:ind w:firstLine="0"/>
              <w:jc w:val="center"/>
              <w:rPr>
                <w:rFonts w:ascii="Arial Narrow" w:hAnsi="Arial Narrow"/>
                <w:color w:val="000000"/>
                <w:sz w:val="16"/>
                <w:szCs w:val="16"/>
                <w:lang w:val="es-ES" w:eastAsia="es-ES"/>
              </w:rPr>
            </w:pPr>
          </w:p>
        </w:tc>
      </w:tr>
      <w:tr w:rsidR="00882EE6"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2. Agencia. Navarra del Transporte y Logística, SA (ANL)</w:t>
            </w:r>
          </w:p>
        </w:tc>
        <w:tc>
          <w:tcPr>
            <w:tcW w:w="220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Ciudad del Transporte Pamplona, SA (CTPSA)</w:t>
            </w:r>
          </w:p>
        </w:tc>
        <w:tc>
          <w:tcPr>
            <w:tcW w:w="19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Agencia Navarra. Transporte. y Logística, SA (ANL)</w:t>
            </w:r>
          </w:p>
        </w:tc>
        <w:tc>
          <w:tcPr>
            <w:tcW w:w="3236"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Transporte y Logística</w:t>
            </w:r>
          </w:p>
        </w:tc>
      </w:tr>
      <w:tr w:rsidR="00882EE6"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3. Ciudad Agroalimentaria de Tudela, SL (CAT)</w:t>
            </w:r>
          </w:p>
        </w:tc>
        <w:tc>
          <w:tcPr>
            <w:tcW w:w="4180" w:type="dxa"/>
            <w:gridSpan w:val="2"/>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Sin modificación sobre situación actual</w:t>
            </w:r>
          </w:p>
        </w:tc>
        <w:tc>
          <w:tcPr>
            <w:tcW w:w="3236"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Agroalimentación</w:t>
            </w:r>
          </w:p>
        </w:tc>
      </w:tr>
      <w:tr w:rsidR="00B54BD7" w:rsidRPr="00627E79" w:rsidTr="00CD437C">
        <w:trPr>
          <w:trHeight w:hRule="exact" w:val="369"/>
        </w:trPr>
        <w:tc>
          <w:tcPr>
            <w:tcW w:w="2380" w:type="dxa"/>
            <w:vMerge w:val="restart"/>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4. Instituto Navarro de Tecnologías e Infraestructuras Agroalimentarias, SA (INTIA)</w:t>
            </w:r>
          </w:p>
        </w:tc>
        <w:tc>
          <w:tcPr>
            <w:tcW w:w="2200" w:type="dxa"/>
            <w:vMerge w:val="restart"/>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 xml:space="preserve"> Riegos del Canal de Navarra, SA (RICAN) </w:t>
            </w: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Instituto. Calidad Agroaliment</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ria. Navarra, SA (ICAN)</w:t>
            </w:r>
          </w:p>
        </w:tc>
        <w:tc>
          <w:tcPr>
            <w:tcW w:w="3236" w:type="dxa"/>
            <w:vMerge w:val="restart"/>
            <w:tcBorders>
              <w:top w:val="single" w:sz="2" w:space="0" w:color="000000"/>
              <w:left w:val="nil"/>
              <w:right w:val="nil"/>
            </w:tcBorders>
            <w:shd w:val="clear" w:color="auto" w:fill="auto"/>
            <w:vAlign w:val="center"/>
            <w:hideMark/>
          </w:tcPr>
          <w:p w:rsidR="00B54BD7" w:rsidRPr="00627E79" w:rsidRDefault="00B54BD7"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Agroalimentación</w:t>
            </w:r>
          </w:p>
          <w:p w:rsidR="00B54BD7" w:rsidRPr="00627E79" w:rsidRDefault="00B54BD7" w:rsidP="006B0335">
            <w:pPr>
              <w:spacing w:after="0"/>
              <w:jc w:val="left"/>
              <w:rPr>
                <w:rFonts w:ascii="Arial Narrow" w:hAnsi="Arial Narrow"/>
                <w:color w:val="000000"/>
                <w:sz w:val="16"/>
                <w:szCs w:val="16"/>
                <w:lang w:val="es-ES" w:eastAsia="es-ES"/>
              </w:rPr>
            </w:pPr>
            <w:r w:rsidRPr="00627E79">
              <w:rPr>
                <w:rFonts w:ascii="Arial Narrow" w:hAnsi="Arial Narrow"/>
                <w:color w:val="000000"/>
                <w:sz w:val="16"/>
                <w:szCs w:val="16"/>
                <w:lang w:val="es-ES" w:eastAsia="es-ES"/>
              </w:rPr>
              <w:t> </w:t>
            </w:r>
          </w:p>
        </w:tc>
      </w:tr>
      <w:tr w:rsidR="00B54BD7" w:rsidRPr="00627E79" w:rsidTr="00CD437C">
        <w:trPr>
          <w:trHeight w:hRule="exact" w:val="369"/>
        </w:trPr>
        <w:tc>
          <w:tcPr>
            <w:tcW w:w="238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 xml:space="preserve">Instituto  Técnico. y de Gestión Agrícola, SA (ITGA) </w:t>
            </w:r>
          </w:p>
        </w:tc>
        <w:tc>
          <w:tcPr>
            <w:tcW w:w="3236" w:type="dxa"/>
            <w:vMerge/>
            <w:tcBorders>
              <w:left w:val="nil"/>
              <w:right w:val="nil"/>
            </w:tcBorders>
            <w:shd w:val="clear" w:color="auto" w:fill="auto"/>
            <w:vAlign w:val="center"/>
            <w:hideMark/>
          </w:tcPr>
          <w:p w:rsidR="00B54BD7" w:rsidRPr="00627E79" w:rsidRDefault="00B54BD7" w:rsidP="006B0335">
            <w:pPr>
              <w:spacing w:after="0"/>
              <w:jc w:val="left"/>
              <w:rPr>
                <w:rFonts w:ascii="Arial Narrow" w:hAnsi="Arial Narrow"/>
                <w:color w:val="000000"/>
                <w:sz w:val="16"/>
                <w:szCs w:val="16"/>
                <w:lang w:val="es-ES" w:eastAsia="es-ES"/>
              </w:rPr>
            </w:pPr>
          </w:p>
        </w:tc>
      </w:tr>
      <w:tr w:rsidR="00B54BD7" w:rsidRPr="00627E79" w:rsidTr="00CD437C">
        <w:trPr>
          <w:trHeight w:hRule="exact" w:val="369"/>
        </w:trPr>
        <w:tc>
          <w:tcPr>
            <w:tcW w:w="238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Instituto. Técnico. y de Gestión Ganadero, SA (ITGG)</w:t>
            </w:r>
          </w:p>
        </w:tc>
        <w:tc>
          <w:tcPr>
            <w:tcW w:w="3236" w:type="dxa"/>
            <w:vMerge/>
            <w:tcBorders>
              <w:left w:val="nil"/>
              <w:right w:val="nil"/>
            </w:tcBorders>
            <w:shd w:val="clear" w:color="auto" w:fill="auto"/>
            <w:vAlign w:val="center"/>
            <w:hideMark/>
          </w:tcPr>
          <w:p w:rsidR="00B54BD7" w:rsidRPr="00627E79" w:rsidRDefault="00B54BD7" w:rsidP="006B0335">
            <w:pPr>
              <w:spacing w:after="0"/>
              <w:jc w:val="left"/>
              <w:rPr>
                <w:rFonts w:ascii="Arial Narrow" w:hAnsi="Arial Narrow"/>
                <w:color w:val="000000"/>
                <w:sz w:val="16"/>
                <w:szCs w:val="16"/>
                <w:lang w:val="es-ES" w:eastAsia="es-ES"/>
              </w:rPr>
            </w:pPr>
          </w:p>
        </w:tc>
      </w:tr>
      <w:tr w:rsidR="00B54BD7" w:rsidRPr="00627E79" w:rsidTr="00496997">
        <w:trPr>
          <w:trHeight w:hRule="exact" w:val="284"/>
        </w:trPr>
        <w:tc>
          <w:tcPr>
            <w:tcW w:w="238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Riegos de Navarra, SA</w:t>
            </w:r>
          </w:p>
        </w:tc>
        <w:tc>
          <w:tcPr>
            <w:tcW w:w="3236" w:type="dxa"/>
            <w:vMerge/>
            <w:tcBorders>
              <w:left w:val="nil"/>
              <w:bottom w:val="single" w:sz="2" w:space="0" w:color="000000"/>
              <w:right w:val="nil"/>
            </w:tcBorders>
            <w:shd w:val="clear" w:color="auto" w:fill="auto"/>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r>
      <w:tr w:rsidR="00B54BD7" w:rsidRPr="00627E79" w:rsidTr="00CD437C">
        <w:trPr>
          <w:trHeight w:hRule="exact" w:val="369"/>
        </w:trPr>
        <w:tc>
          <w:tcPr>
            <w:tcW w:w="2380" w:type="dxa"/>
            <w:vMerge w:val="restart"/>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5. Gestión Ambiental de Navarra, SA (GAN)</w:t>
            </w:r>
          </w:p>
        </w:tc>
        <w:tc>
          <w:tcPr>
            <w:tcW w:w="2200" w:type="dxa"/>
            <w:vMerge w:val="restart"/>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Gestión Ambiental, Viveros y Repoblaciones de Navarra, SA (VIVEROS)</w:t>
            </w: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val="es-ES" w:eastAsia="es-ES"/>
              </w:rPr>
              <w:t>Navarra de Medio. Ambiente. Industrial. SA (NAMAINSA)</w:t>
            </w:r>
          </w:p>
        </w:tc>
        <w:tc>
          <w:tcPr>
            <w:tcW w:w="3236" w:type="dxa"/>
            <w:vMerge w:val="restart"/>
            <w:tcBorders>
              <w:top w:val="single" w:sz="2" w:space="0" w:color="000000"/>
              <w:left w:val="nil"/>
              <w:right w:val="nil"/>
            </w:tcBorders>
            <w:shd w:val="clear" w:color="auto" w:fill="auto"/>
            <w:vAlign w:val="center"/>
            <w:hideMark/>
          </w:tcPr>
          <w:p w:rsidR="00B54BD7" w:rsidRPr="00627E79" w:rsidRDefault="00B54BD7" w:rsidP="0009569B">
            <w:pPr>
              <w:spacing w:after="0"/>
              <w:rPr>
                <w:rFonts w:ascii="Arial Narrow" w:hAnsi="Arial Narrow"/>
                <w:color w:val="000000"/>
                <w:sz w:val="16"/>
                <w:szCs w:val="16"/>
                <w:lang w:val="es-ES" w:eastAsia="es-ES"/>
              </w:rPr>
            </w:pPr>
            <w:r>
              <w:rPr>
                <w:rFonts w:ascii="Arial Narrow" w:hAnsi="Arial Narrow"/>
                <w:color w:val="000000"/>
                <w:sz w:val="16"/>
                <w:szCs w:val="16"/>
                <w:lang w:val="fr-FR" w:eastAsia="es-ES"/>
              </w:rPr>
              <w:t xml:space="preserve">            </w:t>
            </w:r>
            <w:r w:rsidRPr="00627E79">
              <w:rPr>
                <w:rFonts w:ascii="Arial Narrow" w:hAnsi="Arial Narrow"/>
                <w:color w:val="000000"/>
                <w:sz w:val="16"/>
                <w:szCs w:val="16"/>
                <w:lang w:val="fr-FR" w:eastAsia="es-ES"/>
              </w:rPr>
              <w:t>Medio Ambiente</w:t>
            </w:r>
            <w:r w:rsidR="0009569B">
              <w:rPr>
                <w:rFonts w:ascii="Arial Narrow" w:hAnsi="Arial Narrow"/>
                <w:color w:val="000000"/>
                <w:sz w:val="16"/>
                <w:szCs w:val="16"/>
                <w:lang w:val="fr-FR" w:eastAsia="es-ES"/>
              </w:rPr>
              <w:t xml:space="preserve"> </w:t>
            </w:r>
          </w:p>
        </w:tc>
      </w:tr>
      <w:tr w:rsidR="00B54BD7" w:rsidRPr="00627E79" w:rsidTr="008C1228">
        <w:trPr>
          <w:trHeight w:hRule="exact" w:val="284"/>
        </w:trPr>
        <w:tc>
          <w:tcPr>
            <w:tcW w:w="238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B54BD7" w:rsidRPr="00627E79" w:rsidRDefault="00B54BD7"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B54BD7" w:rsidRPr="00627E79" w:rsidRDefault="00B54BD7"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Echauri Forestal, SL</w:t>
            </w:r>
          </w:p>
        </w:tc>
        <w:tc>
          <w:tcPr>
            <w:tcW w:w="3236" w:type="dxa"/>
            <w:vMerge/>
            <w:tcBorders>
              <w:left w:val="nil"/>
              <w:bottom w:val="single" w:sz="2" w:space="0" w:color="000000"/>
              <w:right w:val="nil"/>
            </w:tcBorders>
            <w:shd w:val="clear" w:color="auto" w:fill="auto"/>
            <w:vAlign w:val="center"/>
            <w:hideMark/>
          </w:tcPr>
          <w:p w:rsidR="00B54BD7" w:rsidRPr="00627E79" w:rsidRDefault="00B54BD7" w:rsidP="006B0335">
            <w:pPr>
              <w:spacing w:after="0"/>
              <w:ind w:firstLine="0"/>
              <w:jc w:val="center"/>
              <w:rPr>
                <w:rFonts w:ascii="Arial Narrow" w:hAnsi="Arial Narrow"/>
                <w:color w:val="000000"/>
                <w:sz w:val="16"/>
                <w:szCs w:val="16"/>
                <w:lang w:val="es-ES" w:eastAsia="es-ES"/>
              </w:rPr>
            </w:pPr>
          </w:p>
        </w:tc>
      </w:tr>
      <w:tr w:rsidR="00882EE6"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6. Navarra de Infraestructuras Loc</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les, SA (NILSA)</w:t>
            </w:r>
          </w:p>
        </w:tc>
        <w:tc>
          <w:tcPr>
            <w:tcW w:w="4180" w:type="dxa"/>
            <w:gridSpan w:val="2"/>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Sin modificación sobre situación actual</w:t>
            </w:r>
          </w:p>
        </w:tc>
        <w:tc>
          <w:tcPr>
            <w:tcW w:w="3236"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Infraestructuras locales</w:t>
            </w:r>
          </w:p>
        </w:tc>
      </w:tr>
      <w:tr w:rsidR="00882EE6" w:rsidRPr="00627E79" w:rsidTr="0043085D">
        <w:trPr>
          <w:trHeight w:hRule="exact" w:val="609"/>
        </w:trPr>
        <w:tc>
          <w:tcPr>
            <w:tcW w:w="23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7. Empresa Navarra de Espacios Culturales, SA (ENEC</w:t>
            </w:r>
            <w:r w:rsidR="004F2A74">
              <w:rPr>
                <w:rFonts w:ascii="Arial Narrow" w:hAnsi="Arial Narrow"/>
                <w:color w:val="000000"/>
                <w:sz w:val="16"/>
                <w:szCs w:val="16"/>
                <w:lang w:eastAsia="es-ES"/>
              </w:rPr>
              <w:t>SA)</w:t>
            </w:r>
          </w:p>
        </w:tc>
        <w:tc>
          <w:tcPr>
            <w:tcW w:w="220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Baluarte Palacio de Congresos y Auditorio de Navarra, SA (B</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LUARTE)</w:t>
            </w:r>
          </w:p>
        </w:tc>
        <w:tc>
          <w:tcPr>
            <w:tcW w:w="19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Planetario de Pamplona, SA</w:t>
            </w:r>
          </w:p>
        </w:tc>
        <w:tc>
          <w:tcPr>
            <w:tcW w:w="3236"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Espacios Culturales</w:t>
            </w:r>
          </w:p>
        </w:tc>
      </w:tr>
      <w:tr w:rsidR="00882EE6" w:rsidRPr="00627E79" w:rsidTr="003D1559">
        <w:trPr>
          <w:trHeight w:hRule="exact" w:val="369"/>
        </w:trPr>
        <w:tc>
          <w:tcPr>
            <w:tcW w:w="2380" w:type="dxa"/>
            <w:vMerge w:val="restart"/>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8. Navarra Deporte y Ocio, SL (NDO)</w:t>
            </w:r>
          </w:p>
        </w:tc>
        <w:tc>
          <w:tcPr>
            <w:tcW w:w="2200" w:type="dxa"/>
            <w:vMerge w:val="restart"/>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Circuito Los Arcos, SL</w:t>
            </w:r>
          </w:p>
        </w:tc>
        <w:tc>
          <w:tcPr>
            <w:tcW w:w="19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Sociedad de Promoción de Inversiones e Infraestructuras de Navarra, SA (SPRIN)</w:t>
            </w:r>
          </w:p>
        </w:tc>
        <w:tc>
          <w:tcPr>
            <w:tcW w:w="3236" w:type="dxa"/>
            <w:vMerge w:val="restart"/>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Infraestructuras Temáticas, de Ocio y de Deporte</w:t>
            </w:r>
          </w:p>
        </w:tc>
      </w:tr>
      <w:tr w:rsidR="00882EE6" w:rsidRPr="00627E79" w:rsidTr="008C1228">
        <w:trPr>
          <w:trHeight w:hRule="exact" w:val="284"/>
        </w:trPr>
        <w:tc>
          <w:tcPr>
            <w:tcW w:w="2380" w:type="dxa"/>
            <w:vMerge/>
            <w:tcBorders>
              <w:top w:val="single" w:sz="2" w:space="0" w:color="000000"/>
              <w:left w:val="nil"/>
              <w:bottom w:val="single" w:sz="2" w:space="0" w:color="000000"/>
              <w:right w:val="nil"/>
            </w:tcBorders>
            <w:vAlign w:val="center"/>
            <w:hideMark/>
          </w:tcPr>
          <w:p w:rsidR="00882EE6" w:rsidRPr="00627E79" w:rsidRDefault="00882EE6"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2" w:space="0" w:color="000000"/>
              <w:right w:val="nil"/>
            </w:tcBorders>
            <w:vAlign w:val="center"/>
            <w:hideMark/>
          </w:tcPr>
          <w:p w:rsidR="00882EE6" w:rsidRPr="00627E79" w:rsidRDefault="00882EE6"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Territorio Roncalia, SL</w:t>
            </w:r>
          </w:p>
        </w:tc>
        <w:tc>
          <w:tcPr>
            <w:tcW w:w="3236" w:type="dxa"/>
            <w:vMerge/>
            <w:tcBorders>
              <w:top w:val="single" w:sz="2" w:space="0" w:color="000000"/>
              <w:left w:val="nil"/>
              <w:bottom w:val="single" w:sz="2" w:space="0" w:color="000000"/>
              <w:right w:val="nil"/>
            </w:tcBorders>
            <w:vAlign w:val="center"/>
            <w:hideMark/>
          </w:tcPr>
          <w:p w:rsidR="00882EE6" w:rsidRPr="00627E79" w:rsidRDefault="00882EE6" w:rsidP="006B0335">
            <w:pPr>
              <w:spacing w:after="0"/>
              <w:ind w:firstLine="0"/>
              <w:jc w:val="left"/>
              <w:rPr>
                <w:rFonts w:ascii="Arial Narrow" w:hAnsi="Arial Narrow"/>
                <w:color w:val="000000"/>
                <w:sz w:val="16"/>
                <w:szCs w:val="16"/>
                <w:lang w:val="es-ES" w:eastAsia="es-ES"/>
              </w:rPr>
            </w:pPr>
          </w:p>
        </w:tc>
      </w:tr>
      <w:tr w:rsidR="00882EE6"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9. Centro Navarro de Aprendizaje de Idiomas, SA (CNAI)</w:t>
            </w:r>
          </w:p>
        </w:tc>
        <w:tc>
          <w:tcPr>
            <w:tcW w:w="4180" w:type="dxa"/>
            <w:gridSpan w:val="2"/>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Sin modificación sobre situación actual</w:t>
            </w:r>
          </w:p>
        </w:tc>
        <w:tc>
          <w:tcPr>
            <w:tcW w:w="3236" w:type="dxa"/>
            <w:tcBorders>
              <w:top w:val="single" w:sz="2" w:space="0" w:color="000000"/>
              <w:left w:val="nil"/>
              <w:bottom w:val="single" w:sz="2" w:space="0" w:color="000000"/>
              <w:right w:val="nil"/>
            </w:tcBorders>
            <w:shd w:val="clear" w:color="auto" w:fill="auto"/>
            <w:vAlign w:val="center"/>
            <w:hideMark/>
          </w:tcPr>
          <w:p w:rsidR="00882EE6" w:rsidRPr="00627E79" w:rsidRDefault="00882EE6"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Educación y Talento</w:t>
            </w:r>
          </w:p>
        </w:tc>
      </w:tr>
      <w:tr w:rsidR="005F2DBE" w:rsidRPr="00627E79" w:rsidTr="009558BF">
        <w:trPr>
          <w:trHeight w:hRule="exact" w:val="369"/>
        </w:trPr>
        <w:tc>
          <w:tcPr>
            <w:tcW w:w="2380" w:type="dxa"/>
            <w:vMerge w:val="restart"/>
            <w:tcBorders>
              <w:top w:val="single" w:sz="2" w:space="0" w:color="000000"/>
              <w:left w:val="nil"/>
              <w:bottom w:val="single" w:sz="2" w:space="0" w:color="000000"/>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10. Navarra de Servicios y Tecnol</w:t>
            </w:r>
            <w:r w:rsidRPr="00627E79">
              <w:rPr>
                <w:rFonts w:ascii="Arial Narrow" w:hAnsi="Arial Narrow"/>
                <w:color w:val="000000"/>
                <w:sz w:val="16"/>
                <w:szCs w:val="16"/>
                <w:lang w:eastAsia="es-ES"/>
              </w:rPr>
              <w:t>o</w:t>
            </w:r>
            <w:r w:rsidRPr="00627E79">
              <w:rPr>
                <w:rFonts w:ascii="Arial Narrow" w:hAnsi="Arial Narrow"/>
                <w:color w:val="000000"/>
                <w:sz w:val="16"/>
                <w:szCs w:val="16"/>
                <w:lang w:eastAsia="es-ES"/>
              </w:rPr>
              <w:t>gías, SA (NASERTIC)</w:t>
            </w:r>
          </w:p>
        </w:tc>
        <w:tc>
          <w:tcPr>
            <w:tcW w:w="2200" w:type="dxa"/>
            <w:vMerge w:val="restart"/>
            <w:tcBorders>
              <w:top w:val="single" w:sz="2" w:space="0" w:color="000000"/>
              <w:left w:val="nil"/>
              <w:bottom w:val="single" w:sz="4" w:space="0" w:color="auto"/>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Servicios, SA (NASERSA)</w:t>
            </w:r>
          </w:p>
        </w:tc>
        <w:tc>
          <w:tcPr>
            <w:tcW w:w="1980" w:type="dxa"/>
            <w:tcBorders>
              <w:top w:val="single" w:sz="2" w:space="0" w:color="000000"/>
              <w:left w:val="nil"/>
              <w:bottom w:val="single" w:sz="2" w:space="0" w:color="000000"/>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Producción Informática de Navarra, SL (PIN)</w:t>
            </w:r>
          </w:p>
        </w:tc>
        <w:tc>
          <w:tcPr>
            <w:tcW w:w="3236" w:type="dxa"/>
            <w:vMerge w:val="restart"/>
            <w:tcBorders>
              <w:top w:val="single" w:sz="2" w:space="0" w:color="000000"/>
              <w:left w:val="nil"/>
              <w:right w:val="nil"/>
            </w:tcBorders>
            <w:shd w:val="clear" w:color="auto" w:fill="auto"/>
            <w:vAlign w:val="center"/>
            <w:hideMark/>
          </w:tcPr>
          <w:p w:rsidR="005F2DBE" w:rsidRPr="00627E79" w:rsidRDefault="005F2DBE" w:rsidP="006B0335">
            <w:pPr>
              <w:spacing w:after="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Servicios y Tecnología para las AAPP</w:t>
            </w:r>
          </w:p>
        </w:tc>
      </w:tr>
      <w:tr w:rsidR="005F2DBE" w:rsidRPr="00627E79" w:rsidTr="009558BF">
        <w:trPr>
          <w:trHeight w:hRule="exact" w:val="369"/>
        </w:trPr>
        <w:tc>
          <w:tcPr>
            <w:tcW w:w="2380" w:type="dxa"/>
            <w:vMerge/>
            <w:tcBorders>
              <w:top w:val="single" w:sz="2" w:space="0" w:color="000000"/>
              <w:left w:val="nil"/>
              <w:bottom w:val="single" w:sz="2" w:space="0" w:color="000000"/>
              <w:right w:val="nil"/>
            </w:tcBorders>
            <w:vAlign w:val="center"/>
            <w:hideMark/>
          </w:tcPr>
          <w:p w:rsidR="005F2DBE" w:rsidRPr="00627E79" w:rsidRDefault="005F2DBE" w:rsidP="006B0335">
            <w:pPr>
              <w:spacing w:after="0"/>
              <w:ind w:firstLine="0"/>
              <w:jc w:val="left"/>
              <w:rPr>
                <w:rFonts w:ascii="Arial Narrow" w:hAnsi="Arial Narrow"/>
                <w:color w:val="000000"/>
                <w:sz w:val="16"/>
                <w:szCs w:val="16"/>
                <w:lang w:val="es-ES" w:eastAsia="es-ES"/>
              </w:rPr>
            </w:pPr>
          </w:p>
        </w:tc>
        <w:tc>
          <w:tcPr>
            <w:tcW w:w="2200" w:type="dxa"/>
            <w:vMerge/>
            <w:tcBorders>
              <w:top w:val="single" w:sz="2" w:space="0" w:color="000000"/>
              <w:left w:val="nil"/>
              <w:bottom w:val="single" w:sz="4" w:space="0" w:color="auto"/>
              <w:right w:val="nil"/>
            </w:tcBorders>
            <w:vAlign w:val="center"/>
            <w:hideMark/>
          </w:tcPr>
          <w:p w:rsidR="005F2DBE" w:rsidRPr="00627E79" w:rsidRDefault="005F2DBE"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Obras Públicas. y Telecom. de Navarra., SA (OPNATEL)</w:t>
            </w:r>
          </w:p>
        </w:tc>
        <w:tc>
          <w:tcPr>
            <w:tcW w:w="3236" w:type="dxa"/>
            <w:vMerge/>
            <w:tcBorders>
              <w:left w:val="nil"/>
              <w:bottom w:val="single" w:sz="2" w:space="0" w:color="000000"/>
              <w:right w:val="nil"/>
            </w:tcBorders>
            <w:shd w:val="clear" w:color="auto" w:fill="auto"/>
            <w:vAlign w:val="center"/>
            <w:hideMark/>
          </w:tcPr>
          <w:p w:rsidR="005F2DBE" w:rsidRPr="00627E79" w:rsidRDefault="005F2DBE" w:rsidP="006B0335">
            <w:pPr>
              <w:spacing w:after="0"/>
              <w:ind w:firstLine="0"/>
              <w:jc w:val="center"/>
              <w:rPr>
                <w:rFonts w:ascii="Arial Narrow" w:hAnsi="Arial Narrow"/>
                <w:color w:val="000000"/>
                <w:sz w:val="16"/>
                <w:szCs w:val="16"/>
                <w:lang w:val="es-ES" w:eastAsia="es-ES"/>
              </w:rPr>
            </w:pPr>
          </w:p>
        </w:tc>
      </w:tr>
      <w:tr w:rsidR="005F2DBE" w:rsidRPr="00627E79" w:rsidTr="009558BF">
        <w:trPr>
          <w:trHeight w:hRule="exact" w:val="369"/>
        </w:trPr>
        <w:tc>
          <w:tcPr>
            <w:tcW w:w="2380" w:type="dxa"/>
            <w:vMerge w:val="restart"/>
            <w:tcBorders>
              <w:top w:val="single" w:sz="2" w:space="0" w:color="000000"/>
              <w:left w:val="nil"/>
              <w:bottom w:val="single" w:sz="2" w:space="0" w:color="000000"/>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11. Centro Europeo de Empresas e Innovación, SL (CEIN)</w:t>
            </w:r>
          </w:p>
        </w:tc>
        <w:tc>
          <w:tcPr>
            <w:tcW w:w="2200" w:type="dxa"/>
            <w:tcBorders>
              <w:top w:val="single" w:sz="4" w:space="0" w:color="auto"/>
              <w:left w:val="nil"/>
              <w:right w:val="nil"/>
            </w:tcBorders>
            <w:shd w:val="clear" w:color="auto" w:fill="auto"/>
            <w:vAlign w:val="center"/>
          </w:tcPr>
          <w:p w:rsidR="005F2DBE" w:rsidRPr="009558BF" w:rsidRDefault="005F2DBE" w:rsidP="006B0335">
            <w:pPr>
              <w:spacing w:after="0"/>
              <w:ind w:firstLine="0"/>
              <w:rPr>
                <w:rFonts w:ascii="Arial Narrow" w:hAnsi="Arial Narrow"/>
                <w:color w:val="000000"/>
                <w:sz w:val="16"/>
                <w:szCs w:val="16"/>
                <w:lang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5F2DBE" w:rsidRPr="00627E79" w:rsidRDefault="005F2DBE"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Centro Europeo de Empresas e Innovación de Navarra, SA (CEIN)</w:t>
            </w:r>
          </w:p>
        </w:tc>
        <w:tc>
          <w:tcPr>
            <w:tcW w:w="3236" w:type="dxa"/>
            <w:vMerge w:val="restart"/>
            <w:tcBorders>
              <w:top w:val="single" w:sz="2" w:space="0" w:color="000000"/>
              <w:left w:val="nil"/>
              <w:right w:val="nil"/>
            </w:tcBorders>
            <w:shd w:val="clear" w:color="auto" w:fill="auto"/>
            <w:vAlign w:val="center"/>
            <w:hideMark/>
          </w:tcPr>
          <w:p w:rsidR="005F2DBE" w:rsidRPr="00627E79" w:rsidRDefault="005F2DBE" w:rsidP="006B0335">
            <w:pPr>
              <w:spacing w:after="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Innovación y Emprendedores</w:t>
            </w:r>
          </w:p>
        </w:tc>
      </w:tr>
      <w:tr w:rsidR="009558BF" w:rsidRPr="00627E79" w:rsidTr="009558BF">
        <w:trPr>
          <w:trHeight w:hRule="exact" w:val="369"/>
        </w:trPr>
        <w:tc>
          <w:tcPr>
            <w:tcW w:w="2380" w:type="dxa"/>
            <w:vMerge/>
            <w:tcBorders>
              <w:top w:val="single" w:sz="2" w:space="0" w:color="000000"/>
              <w:left w:val="nil"/>
              <w:bottom w:val="single" w:sz="2" w:space="0" w:color="000000"/>
              <w:right w:val="nil"/>
            </w:tcBorders>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2200" w:type="dxa"/>
            <w:tcBorders>
              <w:left w:val="nil"/>
              <w:right w:val="nil"/>
            </w:tcBorders>
            <w:shd w:val="clear" w:color="auto" w:fill="auto"/>
            <w:vAlign w:val="center"/>
            <w:hideMark/>
          </w:tcPr>
          <w:p w:rsidR="009558BF" w:rsidRPr="009558BF" w:rsidRDefault="009558BF" w:rsidP="00B117B9">
            <w:pPr>
              <w:spacing w:after="0"/>
              <w:ind w:firstLine="0"/>
              <w:rPr>
                <w:rFonts w:ascii="Arial Narrow" w:hAnsi="Arial Narrow"/>
                <w:color w:val="000000"/>
                <w:sz w:val="16"/>
                <w:szCs w:val="16"/>
                <w:lang w:eastAsia="es-ES"/>
              </w:rPr>
            </w:pPr>
            <w:r w:rsidRPr="00627E79">
              <w:rPr>
                <w:rFonts w:ascii="Arial Narrow" w:hAnsi="Arial Narrow"/>
                <w:color w:val="000000"/>
                <w:sz w:val="16"/>
                <w:szCs w:val="16"/>
                <w:lang w:eastAsia="es-ES"/>
              </w:rPr>
              <w:t xml:space="preserve">Centro Europeo de Empresas e Innovación de Navarra, S.A. </w:t>
            </w:r>
          </w:p>
        </w:tc>
        <w:tc>
          <w:tcPr>
            <w:tcW w:w="1980" w:type="dxa"/>
            <w:tcBorders>
              <w:top w:val="single" w:sz="2" w:space="0" w:color="000000"/>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Agencia  Navarra de Innov</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ción  y Tecnología, SA (ANAIN)</w:t>
            </w:r>
          </w:p>
        </w:tc>
        <w:tc>
          <w:tcPr>
            <w:tcW w:w="3236" w:type="dxa"/>
            <w:vMerge/>
            <w:tcBorders>
              <w:left w:val="nil"/>
              <w:right w:val="nil"/>
            </w:tcBorders>
            <w:shd w:val="clear" w:color="auto" w:fill="auto"/>
            <w:vAlign w:val="center"/>
            <w:hideMark/>
          </w:tcPr>
          <w:p w:rsidR="009558BF" w:rsidRPr="00627E79" w:rsidRDefault="009558BF" w:rsidP="006B0335">
            <w:pPr>
              <w:spacing w:after="0"/>
              <w:jc w:val="center"/>
              <w:rPr>
                <w:rFonts w:ascii="Arial Narrow" w:hAnsi="Arial Narrow"/>
                <w:color w:val="000000"/>
                <w:sz w:val="16"/>
                <w:szCs w:val="16"/>
                <w:lang w:val="es-ES" w:eastAsia="es-ES"/>
              </w:rPr>
            </w:pPr>
          </w:p>
        </w:tc>
      </w:tr>
      <w:tr w:rsidR="009558BF" w:rsidRPr="00627E79" w:rsidTr="009558BF">
        <w:trPr>
          <w:trHeight w:hRule="exact" w:val="369"/>
        </w:trPr>
        <w:tc>
          <w:tcPr>
            <w:tcW w:w="2380" w:type="dxa"/>
            <w:vMerge/>
            <w:tcBorders>
              <w:top w:val="single" w:sz="2" w:space="0" w:color="000000"/>
              <w:left w:val="nil"/>
              <w:bottom w:val="single" w:sz="2" w:space="0" w:color="000000"/>
              <w:right w:val="nil"/>
            </w:tcBorders>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2200" w:type="dxa"/>
            <w:tcBorders>
              <w:left w:val="nil"/>
              <w:bottom w:val="single" w:sz="4" w:space="0" w:color="auto"/>
              <w:right w:val="nil"/>
            </w:tcBorders>
            <w:shd w:val="clear" w:color="auto" w:fill="auto"/>
            <w:vAlign w:val="center"/>
            <w:hideMark/>
          </w:tcPr>
          <w:p w:rsidR="009558BF" w:rsidRPr="009558BF" w:rsidRDefault="009558BF" w:rsidP="009558BF">
            <w:pPr>
              <w:spacing w:after="0"/>
              <w:ind w:firstLine="0"/>
              <w:rPr>
                <w:rFonts w:ascii="Arial Narrow" w:hAnsi="Arial Narrow"/>
                <w:color w:val="000000"/>
                <w:sz w:val="16"/>
                <w:szCs w:val="16"/>
                <w:lang w:eastAsia="es-ES"/>
              </w:rPr>
            </w:pPr>
            <w:r w:rsidRPr="009558BF">
              <w:rPr>
                <w:rFonts w:ascii="Arial Narrow" w:hAnsi="Arial Narrow"/>
                <w:color w:val="000000"/>
                <w:sz w:val="16"/>
                <w:szCs w:val="16"/>
                <w:lang w:eastAsia="es-ES"/>
              </w:rPr>
              <w:t> </w:t>
            </w:r>
          </w:p>
        </w:tc>
        <w:tc>
          <w:tcPr>
            <w:tcW w:w="1980" w:type="dxa"/>
            <w:tcBorders>
              <w:top w:val="single" w:sz="2" w:space="0" w:color="000000"/>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Verificaciones Legales, SA (NAVELSA)</w:t>
            </w:r>
          </w:p>
        </w:tc>
        <w:tc>
          <w:tcPr>
            <w:tcW w:w="3236" w:type="dxa"/>
            <w:vMerge/>
            <w:tcBorders>
              <w:left w:val="nil"/>
              <w:bottom w:val="single" w:sz="2" w:space="0" w:color="000000"/>
              <w:right w:val="nil"/>
            </w:tcBorders>
            <w:shd w:val="clear" w:color="auto" w:fill="auto"/>
            <w:vAlign w:val="center"/>
            <w:hideMark/>
          </w:tcPr>
          <w:p w:rsidR="009558BF" w:rsidRPr="00627E79" w:rsidRDefault="009558BF" w:rsidP="006B0335">
            <w:pPr>
              <w:spacing w:after="0"/>
              <w:ind w:firstLine="0"/>
              <w:jc w:val="center"/>
              <w:rPr>
                <w:rFonts w:ascii="Arial Narrow" w:hAnsi="Arial Narrow"/>
                <w:color w:val="000000"/>
                <w:sz w:val="16"/>
                <w:szCs w:val="16"/>
                <w:lang w:val="es-ES" w:eastAsia="es-ES"/>
              </w:rPr>
            </w:pPr>
          </w:p>
        </w:tc>
      </w:tr>
      <w:tr w:rsidR="009558BF" w:rsidRPr="00627E79" w:rsidTr="009558BF">
        <w:trPr>
          <w:trHeight w:val="510"/>
        </w:trPr>
        <w:tc>
          <w:tcPr>
            <w:tcW w:w="2380" w:type="dxa"/>
            <w:tcBorders>
              <w:top w:val="single" w:sz="2" w:space="0" w:color="000000"/>
              <w:left w:val="nil"/>
              <w:bottom w:val="single" w:sz="4" w:space="0" w:color="auto"/>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12. Trabajos Catastrales, SA (TR</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CASA)</w:t>
            </w:r>
          </w:p>
        </w:tc>
        <w:tc>
          <w:tcPr>
            <w:tcW w:w="2200" w:type="dxa"/>
            <w:tcBorders>
              <w:top w:val="single" w:sz="4" w:space="0" w:color="auto"/>
              <w:left w:val="nil"/>
              <w:bottom w:val="single" w:sz="4" w:space="0" w:color="auto"/>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Trabajos Catastrales, SA (TR</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CASA)</w:t>
            </w:r>
          </w:p>
        </w:tc>
        <w:tc>
          <w:tcPr>
            <w:tcW w:w="1980" w:type="dxa"/>
            <w:tcBorders>
              <w:top w:val="single" w:sz="2" w:space="0" w:color="000000"/>
              <w:left w:val="nil"/>
              <w:bottom w:val="single" w:sz="4" w:space="0" w:color="auto"/>
              <w:right w:val="nil"/>
            </w:tcBorders>
            <w:shd w:val="clear" w:color="auto" w:fill="auto"/>
            <w:vAlign w:val="center"/>
            <w:hideMark/>
          </w:tcPr>
          <w:p w:rsidR="009558BF" w:rsidRDefault="009558BF" w:rsidP="006B0335">
            <w:pPr>
              <w:spacing w:after="0"/>
              <w:ind w:firstLine="0"/>
              <w:rPr>
                <w:rFonts w:ascii="Arial Narrow" w:hAnsi="Arial Narrow"/>
                <w:color w:val="000000"/>
                <w:sz w:val="16"/>
                <w:szCs w:val="16"/>
                <w:lang w:eastAsia="es-ES"/>
              </w:rPr>
            </w:pPr>
            <w:r w:rsidRPr="00627E79">
              <w:rPr>
                <w:rFonts w:ascii="Arial Narrow" w:hAnsi="Arial Narrow"/>
                <w:color w:val="000000"/>
                <w:sz w:val="16"/>
                <w:szCs w:val="16"/>
                <w:lang w:eastAsia="es-ES"/>
              </w:rPr>
              <w:t xml:space="preserve">Gestión de Deudas, SA </w:t>
            </w:r>
          </w:p>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(GEDESA)</w:t>
            </w:r>
          </w:p>
        </w:tc>
        <w:tc>
          <w:tcPr>
            <w:tcW w:w="3236" w:type="dxa"/>
            <w:tcBorders>
              <w:top w:val="single" w:sz="2" w:space="0" w:color="000000"/>
              <w:left w:val="nil"/>
              <w:bottom w:val="single" w:sz="4" w:space="0" w:color="auto"/>
              <w:right w:val="nil"/>
            </w:tcBorders>
            <w:shd w:val="clear" w:color="auto" w:fill="auto"/>
            <w:vAlign w:val="center"/>
            <w:hideMark/>
          </w:tcPr>
          <w:p w:rsidR="009558BF" w:rsidRPr="00627E79" w:rsidRDefault="00845F98" w:rsidP="006B0335">
            <w:pPr>
              <w:spacing w:after="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Catastro, cartografía y sistemas de info</w:t>
            </w:r>
            <w:r>
              <w:rPr>
                <w:rFonts w:ascii="Arial Narrow" w:hAnsi="Arial Narrow"/>
                <w:color w:val="000000"/>
                <w:sz w:val="16"/>
                <w:szCs w:val="16"/>
                <w:lang w:val="es-ES" w:eastAsia="es-ES"/>
              </w:rPr>
              <w:t>r</w:t>
            </w:r>
            <w:r>
              <w:rPr>
                <w:rFonts w:ascii="Arial Narrow" w:hAnsi="Arial Narrow"/>
                <w:color w:val="000000"/>
                <w:sz w:val="16"/>
                <w:szCs w:val="16"/>
                <w:lang w:val="es-ES" w:eastAsia="es-ES"/>
              </w:rPr>
              <w:t>mación  territorial</w:t>
            </w:r>
          </w:p>
        </w:tc>
      </w:tr>
      <w:tr w:rsidR="009558BF" w:rsidRPr="00627E79" w:rsidTr="009558BF">
        <w:trPr>
          <w:trHeight w:hRule="exact" w:val="369"/>
        </w:trPr>
        <w:tc>
          <w:tcPr>
            <w:tcW w:w="2380" w:type="dxa"/>
            <w:vMerge w:val="restart"/>
            <w:tcBorders>
              <w:top w:val="single" w:sz="4" w:space="0" w:color="auto"/>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13. Sociedad de Desarrollo de Nav</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rra, SL (SODENA)</w:t>
            </w:r>
          </w:p>
        </w:tc>
        <w:tc>
          <w:tcPr>
            <w:tcW w:w="2200" w:type="dxa"/>
            <w:tcBorders>
              <w:top w:val="single" w:sz="4" w:space="0" w:color="auto"/>
              <w:left w:val="nil"/>
              <w:right w:val="nil"/>
            </w:tcBorders>
            <w:shd w:val="clear" w:color="auto" w:fill="auto"/>
            <w:vAlign w:val="center"/>
          </w:tcPr>
          <w:p w:rsidR="009558BF" w:rsidRPr="00627E79" w:rsidRDefault="009558BF" w:rsidP="006B0335">
            <w:pPr>
              <w:spacing w:after="0"/>
              <w:ind w:firstLine="0"/>
              <w:rPr>
                <w:rFonts w:ascii="Arial Narrow" w:hAnsi="Arial Narrow"/>
                <w:color w:val="000000"/>
                <w:sz w:val="16"/>
                <w:szCs w:val="16"/>
                <w:lang w:val="es-ES" w:eastAsia="es-ES"/>
              </w:rPr>
            </w:pPr>
          </w:p>
        </w:tc>
        <w:tc>
          <w:tcPr>
            <w:tcW w:w="1980" w:type="dxa"/>
            <w:tcBorders>
              <w:top w:val="single" w:sz="4" w:space="0" w:color="auto"/>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Soc. de Desarrollo de Navarra, SA (SODENA)</w:t>
            </w:r>
          </w:p>
        </w:tc>
        <w:tc>
          <w:tcPr>
            <w:tcW w:w="3236" w:type="dxa"/>
            <w:vMerge w:val="restart"/>
            <w:tcBorders>
              <w:top w:val="single" w:sz="4" w:space="0" w:color="auto"/>
              <w:left w:val="nil"/>
              <w:right w:val="nil"/>
            </w:tcBorders>
            <w:shd w:val="clear" w:color="auto" w:fill="auto"/>
            <w:vAlign w:val="center"/>
            <w:hideMark/>
          </w:tcPr>
          <w:p w:rsidR="009558BF" w:rsidRPr="00627E79" w:rsidRDefault="009558BF" w:rsidP="006B0335">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Promoción Económica y Financiación</w:t>
            </w:r>
          </w:p>
          <w:p w:rsidR="009558BF" w:rsidRPr="00627E79" w:rsidRDefault="009558BF" w:rsidP="006B0335">
            <w:pPr>
              <w:spacing w:after="0"/>
              <w:jc w:val="left"/>
              <w:rPr>
                <w:rFonts w:ascii="Arial Narrow" w:hAnsi="Arial Narrow"/>
                <w:color w:val="000000"/>
                <w:sz w:val="16"/>
                <w:szCs w:val="16"/>
                <w:lang w:val="es-ES" w:eastAsia="es-ES"/>
              </w:rPr>
            </w:pPr>
            <w:r w:rsidRPr="00627E79">
              <w:rPr>
                <w:rFonts w:ascii="Arial Narrow" w:hAnsi="Arial Narrow"/>
                <w:color w:val="000000"/>
                <w:sz w:val="16"/>
                <w:szCs w:val="16"/>
                <w:lang w:val="es-ES" w:eastAsia="es-ES"/>
              </w:rPr>
              <w:t> </w:t>
            </w:r>
          </w:p>
        </w:tc>
      </w:tr>
      <w:tr w:rsidR="009558BF" w:rsidRPr="00627E79" w:rsidTr="009558BF">
        <w:trPr>
          <w:trHeight w:hRule="exact" w:val="369"/>
        </w:trPr>
        <w:tc>
          <w:tcPr>
            <w:tcW w:w="2380" w:type="dxa"/>
            <w:vMerge/>
            <w:tcBorders>
              <w:top w:val="single" w:sz="2" w:space="0" w:color="000000"/>
              <w:left w:val="nil"/>
              <w:bottom w:val="single" w:sz="2" w:space="0" w:color="000000"/>
              <w:right w:val="nil"/>
            </w:tcBorders>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2200" w:type="dxa"/>
            <w:tcBorders>
              <w:left w:val="nil"/>
              <w:right w:val="nil"/>
            </w:tcBorders>
            <w:shd w:val="clear" w:color="auto" w:fill="auto"/>
            <w:vAlign w:val="center"/>
            <w:hideMark/>
          </w:tcPr>
          <w:p w:rsidR="009558BF" w:rsidRPr="00627E79" w:rsidRDefault="009558BF" w:rsidP="00B117B9">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Sociedad de Desarrollo de Nav</w:t>
            </w:r>
            <w:r w:rsidRPr="00627E79">
              <w:rPr>
                <w:rFonts w:ascii="Arial Narrow" w:hAnsi="Arial Narrow"/>
                <w:color w:val="000000"/>
                <w:sz w:val="16"/>
                <w:szCs w:val="16"/>
                <w:lang w:eastAsia="es-ES"/>
              </w:rPr>
              <w:t>a</w:t>
            </w:r>
            <w:r w:rsidRPr="00627E79">
              <w:rPr>
                <w:rFonts w:ascii="Arial Narrow" w:hAnsi="Arial Narrow"/>
                <w:color w:val="000000"/>
                <w:sz w:val="16"/>
                <w:szCs w:val="16"/>
                <w:lang w:eastAsia="es-ES"/>
              </w:rPr>
              <w:t xml:space="preserve">rra, SL </w:t>
            </w:r>
          </w:p>
        </w:tc>
        <w:tc>
          <w:tcPr>
            <w:tcW w:w="1980" w:type="dxa"/>
            <w:tcBorders>
              <w:top w:val="single" w:sz="2" w:space="0" w:color="000000"/>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Finan. y Control, SA (NAFINCO)</w:t>
            </w:r>
          </w:p>
        </w:tc>
        <w:tc>
          <w:tcPr>
            <w:tcW w:w="3236" w:type="dxa"/>
            <w:vMerge/>
            <w:tcBorders>
              <w:left w:val="nil"/>
              <w:right w:val="nil"/>
            </w:tcBorders>
            <w:shd w:val="clear" w:color="auto" w:fill="auto"/>
            <w:vAlign w:val="center"/>
            <w:hideMark/>
          </w:tcPr>
          <w:p w:rsidR="009558BF" w:rsidRPr="00627E79" w:rsidRDefault="009558BF" w:rsidP="006B0335">
            <w:pPr>
              <w:spacing w:after="0"/>
              <w:jc w:val="left"/>
              <w:rPr>
                <w:rFonts w:ascii="Arial Narrow" w:hAnsi="Arial Narrow"/>
                <w:color w:val="000000"/>
                <w:sz w:val="16"/>
                <w:szCs w:val="16"/>
                <w:lang w:val="es-ES" w:eastAsia="es-ES"/>
              </w:rPr>
            </w:pPr>
          </w:p>
        </w:tc>
      </w:tr>
      <w:tr w:rsidR="009558BF" w:rsidRPr="00627E79" w:rsidTr="009558BF">
        <w:trPr>
          <w:trHeight w:hRule="exact" w:val="369"/>
        </w:trPr>
        <w:tc>
          <w:tcPr>
            <w:tcW w:w="2380" w:type="dxa"/>
            <w:vMerge/>
            <w:tcBorders>
              <w:top w:val="single" w:sz="2" w:space="0" w:color="000000"/>
              <w:left w:val="nil"/>
              <w:bottom w:val="single" w:sz="2" w:space="0" w:color="000000"/>
              <w:right w:val="nil"/>
            </w:tcBorders>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2200" w:type="dxa"/>
            <w:tcBorders>
              <w:left w:val="nil"/>
              <w:right w:val="nil"/>
            </w:tcBorders>
            <w:shd w:val="clear" w:color="auto" w:fill="auto"/>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1980" w:type="dxa"/>
            <w:tcBorders>
              <w:top w:val="single" w:sz="2" w:space="0" w:color="000000"/>
              <w:left w:val="nil"/>
              <w:bottom w:val="single" w:sz="2"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Navarra de Gestión para la Admón., SA (NGA)</w:t>
            </w:r>
          </w:p>
        </w:tc>
        <w:tc>
          <w:tcPr>
            <w:tcW w:w="3236" w:type="dxa"/>
            <w:vMerge/>
            <w:tcBorders>
              <w:left w:val="nil"/>
              <w:right w:val="nil"/>
            </w:tcBorders>
            <w:shd w:val="clear" w:color="auto" w:fill="auto"/>
            <w:vAlign w:val="center"/>
            <w:hideMark/>
          </w:tcPr>
          <w:p w:rsidR="009558BF" w:rsidRPr="00627E79" w:rsidRDefault="009558BF" w:rsidP="006B0335">
            <w:pPr>
              <w:spacing w:after="0"/>
              <w:jc w:val="left"/>
              <w:rPr>
                <w:rFonts w:ascii="Arial Narrow" w:hAnsi="Arial Narrow"/>
                <w:color w:val="000000"/>
                <w:sz w:val="16"/>
                <w:szCs w:val="16"/>
                <w:lang w:val="es-ES" w:eastAsia="es-ES"/>
              </w:rPr>
            </w:pPr>
          </w:p>
        </w:tc>
      </w:tr>
      <w:tr w:rsidR="009558BF" w:rsidRPr="00627E79" w:rsidTr="009558BF">
        <w:trPr>
          <w:trHeight w:hRule="exact" w:val="369"/>
        </w:trPr>
        <w:tc>
          <w:tcPr>
            <w:tcW w:w="2380" w:type="dxa"/>
            <w:vMerge/>
            <w:tcBorders>
              <w:top w:val="single" w:sz="2" w:space="0" w:color="000000"/>
              <w:left w:val="nil"/>
              <w:bottom w:val="single" w:sz="4" w:space="0" w:color="000000"/>
              <w:right w:val="nil"/>
            </w:tcBorders>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c>
          <w:tcPr>
            <w:tcW w:w="2200" w:type="dxa"/>
            <w:tcBorders>
              <w:left w:val="nil"/>
              <w:bottom w:val="single" w:sz="4" w:space="0" w:color="auto"/>
              <w:right w:val="nil"/>
            </w:tcBorders>
            <w:shd w:val="clear" w:color="auto" w:fill="auto"/>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r w:rsidRPr="00627E79">
              <w:rPr>
                <w:rFonts w:ascii="Arial Narrow" w:hAnsi="Arial Narrow"/>
                <w:color w:val="000000"/>
                <w:sz w:val="16"/>
                <w:szCs w:val="16"/>
                <w:lang w:val="es-ES" w:eastAsia="es-ES"/>
              </w:rPr>
              <w:t> </w:t>
            </w:r>
          </w:p>
        </w:tc>
        <w:tc>
          <w:tcPr>
            <w:tcW w:w="1980" w:type="dxa"/>
            <w:tcBorders>
              <w:top w:val="single" w:sz="2" w:space="0" w:color="000000"/>
              <w:left w:val="nil"/>
              <w:bottom w:val="single" w:sz="4" w:space="0" w:color="000000"/>
              <w:right w:val="nil"/>
            </w:tcBorders>
            <w:shd w:val="clear" w:color="auto" w:fill="auto"/>
            <w:vAlign w:val="center"/>
            <w:hideMark/>
          </w:tcPr>
          <w:p w:rsidR="009558BF" w:rsidRPr="00627E79" w:rsidRDefault="009558BF" w:rsidP="006B0335">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Fondo Jóvenes Empresarios Navarros, SA</w:t>
            </w:r>
          </w:p>
        </w:tc>
        <w:tc>
          <w:tcPr>
            <w:tcW w:w="3236" w:type="dxa"/>
            <w:vMerge/>
            <w:tcBorders>
              <w:left w:val="nil"/>
              <w:bottom w:val="single" w:sz="4" w:space="0" w:color="000000"/>
              <w:right w:val="nil"/>
            </w:tcBorders>
            <w:shd w:val="clear" w:color="auto" w:fill="auto"/>
            <w:vAlign w:val="center"/>
            <w:hideMark/>
          </w:tcPr>
          <w:p w:rsidR="009558BF" w:rsidRPr="00627E79" w:rsidRDefault="009558BF" w:rsidP="006B0335">
            <w:pPr>
              <w:spacing w:after="0"/>
              <w:ind w:firstLine="0"/>
              <w:jc w:val="left"/>
              <w:rPr>
                <w:rFonts w:ascii="Arial Narrow" w:hAnsi="Arial Narrow"/>
                <w:color w:val="000000"/>
                <w:sz w:val="16"/>
                <w:szCs w:val="16"/>
                <w:lang w:val="es-ES" w:eastAsia="es-ES"/>
              </w:rPr>
            </w:pPr>
          </w:p>
        </w:tc>
      </w:tr>
    </w:tbl>
    <w:p w:rsidR="00871B5D" w:rsidRPr="00D21B4A" w:rsidRDefault="00871B5D" w:rsidP="00D21B4A">
      <w:pPr>
        <w:spacing w:after="100"/>
        <w:ind w:firstLine="0"/>
        <w:jc w:val="left"/>
      </w:pPr>
    </w:p>
    <w:tbl>
      <w:tblPr>
        <w:tblW w:w="9796" w:type="dxa"/>
        <w:tblInd w:w="55" w:type="dxa"/>
        <w:tblLayout w:type="fixed"/>
        <w:tblCellMar>
          <w:left w:w="70" w:type="dxa"/>
          <w:right w:w="70" w:type="dxa"/>
        </w:tblCellMar>
        <w:tblLook w:val="04A0" w:firstRow="1" w:lastRow="0" w:firstColumn="1" w:lastColumn="0" w:noHBand="0" w:noVBand="1"/>
      </w:tblPr>
      <w:tblGrid>
        <w:gridCol w:w="9796"/>
      </w:tblGrid>
      <w:tr w:rsidR="00871B5D" w:rsidRPr="00627E79" w:rsidTr="003D1559">
        <w:trPr>
          <w:trHeight w:hRule="exact" w:val="340"/>
        </w:trPr>
        <w:tc>
          <w:tcPr>
            <w:tcW w:w="9796" w:type="dxa"/>
            <w:tcBorders>
              <w:top w:val="single" w:sz="4" w:space="0" w:color="000000"/>
              <w:left w:val="nil"/>
              <w:bottom w:val="single" w:sz="2" w:space="0" w:color="000000"/>
              <w:right w:val="nil"/>
            </w:tcBorders>
            <w:shd w:val="clear" w:color="auto" w:fill="8DB3E2" w:themeFill="text2" w:themeFillTint="66"/>
            <w:vAlign w:val="center"/>
          </w:tcPr>
          <w:p w:rsidR="00871B5D" w:rsidRPr="00F46F6C" w:rsidRDefault="00F5359C" w:rsidP="00F5359C">
            <w:pPr>
              <w:pStyle w:val="Prrafodelista"/>
              <w:spacing w:after="0"/>
              <w:ind w:left="1080" w:firstLine="0"/>
              <w:rPr>
                <w:rFonts w:ascii="Arial" w:hAnsi="Arial" w:cs="Arial"/>
                <w:color w:val="000000"/>
                <w:sz w:val="16"/>
                <w:szCs w:val="16"/>
                <w:lang w:val="es-ES" w:eastAsia="es-ES"/>
              </w:rPr>
            </w:pPr>
            <w:r>
              <w:rPr>
                <w:rFonts w:ascii="Arial" w:hAnsi="Arial" w:cs="Arial"/>
                <w:color w:val="000000"/>
                <w:sz w:val="16"/>
                <w:szCs w:val="16"/>
                <w:lang w:eastAsia="es-ES"/>
              </w:rPr>
              <w:t xml:space="preserve">                            </w:t>
            </w:r>
            <w:r w:rsidR="0043715D">
              <w:rPr>
                <w:rFonts w:ascii="Arial" w:hAnsi="Arial" w:cs="Arial"/>
                <w:color w:val="000000"/>
                <w:sz w:val="16"/>
                <w:szCs w:val="16"/>
                <w:lang w:eastAsia="es-ES"/>
              </w:rPr>
              <w:t xml:space="preserve"> </w:t>
            </w:r>
            <w:r>
              <w:rPr>
                <w:rFonts w:ascii="Arial" w:hAnsi="Arial" w:cs="Arial"/>
                <w:color w:val="000000"/>
                <w:sz w:val="16"/>
                <w:szCs w:val="16"/>
                <w:lang w:eastAsia="es-ES"/>
              </w:rPr>
              <w:t xml:space="preserve"> B. </w:t>
            </w:r>
            <w:r w:rsidR="00871B5D" w:rsidRPr="00F46F6C">
              <w:rPr>
                <w:rFonts w:ascii="Arial" w:hAnsi="Arial" w:cs="Arial"/>
                <w:color w:val="000000"/>
                <w:sz w:val="16"/>
                <w:szCs w:val="16"/>
                <w:lang w:eastAsia="es-ES"/>
              </w:rPr>
              <w:t xml:space="preserve">Fusiones resultantes del segundo proceso de reordenación </w:t>
            </w:r>
          </w:p>
        </w:tc>
      </w:tr>
    </w:tbl>
    <w:p w:rsidR="00FF36C4" w:rsidRPr="00FF36C4" w:rsidRDefault="00FF36C4" w:rsidP="00FF36C4">
      <w:pPr>
        <w:tabs>
          <w:tab w:val="left" w:pos="2435"/>
          <w:tab w:val="left" w:pos="4635"/>
          <w:tab w:val="left" w:pos="6615"/>
        </w:tabs>
        <w:spacing w:after="0"/>
        <w:ind w:left="57" w:firstLine="0"/>
        <w:jc w:val="left"/>
        <w:rPr>
          <w:rFonts w:ascii="Arial" w:hAnsi="Arial" w:cs="Arial"/>
          <w:color w:val="000000"/>
          <w:sz w:val="10"/>
          <w:szCs w:val="10"/>
          <w:lang w:eastAsia="es-ES"/>
        </w:rPr>
      </w:pPr>
    </w:p>
    <w:tbl>
      <w:tblPr>
        <w:tblW w:w="9796" w:type="dxa"/>
        <w:tblInd w:w="55" w:type="dxa"/>
        <w:tblLayout w:type="fixed"/>
        <w:tblCellMar>
          <w:left w:w="70" w:type="dxa"/>
          <w:right w:w="70" w:type="dxa"/>
        </w:tblCellMar>
        <w:tblLook w:val="04A0" w:firstRow="1" w:lastRow="0" w:firstColumn="1" w:lastColumn="0" w:noHBand="0" w:noVBand="1"/>
      </w:tblPr>
      <w:tblGrid>
        <w:gridCol w:w="2380"/>
        <w:gridCol w:w="2200"/>
        <w:gridCol w:w="1980"/>
        <w:gridCol w:w="3236"/>
      </w:tblGrid>
      <w:tr w:rsidR="00871B5D" w:rsidRPr="00FC53A5" w:rsidTr="003D1559">
        <w:trPr>
          <w:trHeight w:hRule="exact" w:val="284"/>
        </w:trPr>
        <w:tc>
          <w:tcPr>
            <w:tcW w:w="2380" w:type="dxa"/>
            <w:tcBorders>
              <w:top w:val="single" w:sz="4" w:space="0" w:color="000000"/>
              <w:left w:val="nil"/>
              <w:bottom w:val="single" w:sz="2" w:space="0" w:color="000000"/>
              <w:right w:val="nil"/>
            </w:tcBorders>
            <w:shd w:val="clear" w:color="auto" w:fill="8DB3E2" w:themeFill="text2" w:themeFillTint="66"/>
            <w:vAlign w:val="center"/>
          </w:tcPr>
          <w:p w:rsidR="00871B5D" w:rsidRPr="00FC53A5" w:rsidRDefault="00871B5D" w:rsidP="00871B5D">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Empresa Pública resultante</w:t>
            </w:r>
          </w:p>
        </w:tc>
        <w:tc>
          <w:tcPr>
            <w:tcW w:w="2200" w:type="dxa"/>
            <w:tcBorders>
              <w:top w:val="single" w:sz="4" w:space="0" w:color="000000"/>
              <w:left w:val="nil"/>
              <w:bottom w:val="single" w:sz="2" w:space="0" w:color="000000"/>
              <w:right w:val="nil"/>
            </w:tcBorders>
            <w:shd w:val="clear" w:color="auto" w:fill="8DB3E2" w:themeFill="text2" w:themeFillTint="66"/>
            <w:vAlign w:val="center"/>
          </w:tcPr>
          <w:p w:rsidR="00871B5D" w:rsidRPr="00FC53A5" w:rsidRDefault="00871B5D" w:rsidP="00871B5D">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Sociedad absorbente/nueva</w:t>
            </w:r>
          </w:p>
        </w:tc>
        <w:tc>
          <w:tcPr>
            <w:tcW w:w="1980" w:type="dxa"/>
            <w:tcBorders>
              <w:top w:val="single" w:sz="4" w:space="0" w:color="000000"/>
              <w:left w:val="nil"/>
              <w:bottom w:val="single" w:sz="2" w:space="0" w:color="000000"/>
              <w:right w:val="nil"/>
            </w:tcBorders>
            <w:shd w:val="clear" w:color="auto" w:fill="8DB3E2" w:themeFill="text2" w:themeFillTint="66"/>
            <w:vAlign w:val="center"/>
          </w:tcPr>
          <w:p w:rsidR="00871B5D" w:rsidRPr="00FC53A5" w:rsidRDefault="00871B5D" w:rsidP="00871B5D">
            <w:pPr>
              <w:spacing w:after="0"/>
              <w:ind w:firstLine="0"/>
              <w:rPr>
                <w:rFonts w:ascii="Arial" w:hAnsi="Arial" w:cs="Arial"/>
                <w:color w:val="000000"/>
                <w:sz w:val="16"/>
                <w:szCs w:val="16"/>
                <w:lang w:eastAsia="es-ES"/>
              </w:rPr>
            </w:pPr>
            <w:r w:rsidRPr="00FC53A5">
              <w:rPr>
                <w:rFonts w:ascii="Arial" w:hAnsi="Arial" w:cs="Arial"/>
                <w:color w:val="000000"/>
                <w:sz w:val="16"/>
                <w:szCs w:val="16"/>
                <w:lang w:eastAsia="es-ES"/>
              </w:rPr>
              <w:t>Sociedades absorbidas</w:t>
            </w:r>
          </w:p>
        </w:tc>
        <w:tc>
          <w:tcPr>
            <w:tcW w:w="3236" w:type="dxa"/>
            <w:tcBorders>
              <w:top w:val="single" w:sz="4" w:space="0" w:color="000000"/>
              <w:left w:val="nil"/>
              <w:bottom w:val="single" w:sz="2" w:space="0" w:color="000000"/>
              <w:right w:val="nil"/>
            </w:tcBorders>
            <w:shd w:val="clear" w:color="auto" w:fill="8DB3E2" w:themeFill="text2" w:themeFillTint="66"/>
            <w:vAlign w:val="center"/>
          </w:tcPr>
          <w:p w:rsidR="00871B5D" w:rsidRPr="00FC53A5" w:rsidRDefault="00871B5D" w:rsidP="00871B5D">
            <w:pPr>
              <w:spacing w:after="0"/>
              <w:ind w:firstLine="0"/>
              <w:jc w:val="center"/>
              <w:rPr>
                <w:rFonts w:ascii="Arial" w:hAnsi="Arial" w:cs="Arial"/>
                <w:color w:val="000000"/>
                <w:sz w:val="16"/>
                <w:szCs w:val="16"/>
                <w:lang w:val="es-ES" w:eastAsia="es-ES"/>
              </w:rPr>
            </w:pPr>
            <w:r w:rsidRPr="00FC53A5">
              <w:rPr>
                <w:rFonts w:ascii="Arial" w:hAnsi="Arial" w:cs="Arial"/>
                <w:color w:val="000000"/>
                <w:sz w:val="16"/>
                <w:szCs w:val="16"/>
                <w:lang w:val="es-ES" w:eastAsia="es-ES"/>
              </w:rPr>
              <w:t>Actividad económi</w:t>
            </w:r>
            <w:r>
              <w:rPr>
                <w:rFonts w:ascii="Arial" w:hAnsi="Arial" w:cs="Arial"/>
                <w:color w:val="000000"/>
                <w:sz w:val="16"/>
                <w:szCs w:val="16"/>
                <w:lang w:val="es-ES" w:eastAsia="es-ES"/>
              </w:rPr>
              <w:t>c</w:t>
            </w:r>
            <w:r w:rsidRPr="00FC53A5">
              <w:rPr>
                <w:rFonts w:ascii="Arial" w:hAnsi="Arial" w:cs="Arial"/>
                <w:color w:val="000000"/>
                <w:sz w:val="16"/>
                <w:szCs w:val="16"/>
                <w:lang w:val="es-ES" w:eastAsia="es-ES"/>
              </w:rPr>
              <w:t>a</w:t>
            </w:r>
          </w:p>
        </w:tc>
      </w:tr>
      <w:tr w:rsidR="00871B5D"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71B5D" w:rsidRPr="00627E79" w:rsidRDefault="00871B5D" w:rsidP="00871B5D">
            <w:pPr>
              <w:spacing w:after="0"/>
              <w:ind w:firstLine="0"/>
              <w:rPr>
                <w:rFonts w:ascii="Arial Narrow" w:hAnsi="Arial Narrow"/>
                <w:color w:val="000000"/>
                <w:sz w:val="16"/>
                <w:szCs w:val="16"/>
                <w:lang w:val="es-ES" w:eastAsia="es-ES"/>
              </w:rPr>
            </w:pPr>
            <w:r>
              <w:rPr>
                <w:rFonts w:ascii="Arial Narrow" w:hAnsi="Arial Narrow"/>
                <w:color w:val="000000"/>
                <w:sz w:val="16"/>
                <w:szCs w:val="16"/>
                <w:lang w:eastAsia="es-ES"/>
              </w:rPr>
              <w:t>Navarra Infraestructuras, Cultura, Deporte y Ocio (NICDO)</w:t>
            </w:r>
          </w:p>
        </w:tc>
        <w:tc>
          <w:tcPr>
            <w:tcW w:w="2200" w:type="dxa"/>
            <w:tcBorders>
              <w:top w:val="single" w:sz="2" w:space="0" w:color="000000"/>
              <w:left w:val="nil"/>
              <w:bottom w:val="single" w:sz="2" w:space="0" w:color="000000"/>
              <w:right w:val="nil"/>
            </w:tcBorders>
            <w:shd w:val="clear" w:color="auto" w:fill="auto"/>
            <w:vAlign w:val="center"/>
            <w:hideMark/>
          </w:tcPr>
          <w:p w:rsidR="00871B5D" w:rsidRPr="00627E79" w:rsidRDefault="00871B5D" w:rsidP="00871B5D">
            <w:pPr>
              <w:spacing w:after="0"/>
              <w:ind w:firstLine="0"/>
              <w:rPr>
                <w:rFonts w:ascii="Arial Narrow" w:hAnsi="Arial Narrow"/>
                <w:color w:val="000000"/>
                <w:sz w:val="16"/>
                <w:szCs w:val="16"/>
                <w:lang w:val="es-ES" w:eastAsia="es-ES"/>
              </w:rPr>
            </w:pPr>
            <w:r>
              <w:rPr>
                <w:rFonts w:ascii="Arial Narrow" w:hAnsi="Arial Narrow"/>
                <w:color w:val="000000"/>
                <w:sz w:val="16"/>
                <w:szCs w:val="16"/>
                <w:lang w:eastAsia="es-ES"/>
              </w:rPr>
              <w:t>Navarra Deporte y Ocio (NDO)</w:t>
            </w:r>
          </w:p>
        </w:tc>
        <w:tc>
          <w:tcPr>
            <w:tcW w:w="1980" w:type="dxa"/>
            <w:tcBorders>
              <w:top w:val="single" w:sz="2" w:space="0" w:color="000000"/>
              <w:left w:val="nil"/>
              <w:bottom w:val="single" w:sz="2" w:space="0" w:color="000000"/>
              <w:right w:val="nil"/>
            </w:tcBorders>
            <w:shd w:val="clear" w:color="auto" w:fill="auto"/>
            <w:vAlign w:val="center"/>
            <w:hideMark/>
          </w:tcPr>
          <w:p w:rsidR="00871B5D" w:rsidRPr="00627E79" w:rsidRDefault="00F46F6C" w:rsidP="00871B5D">
            <w:pPr>
              <w:spacing w:after="0"/>
              <w:ind w:firstLine="0"/>
              <w:rPr>
                <w:rFonts w:ascii="Arial Narrow" w:hAnsi="Arial Narrow"/>
                <w:color w:val="000000"/>
                <w:sz w:val="16"/>
                <w:szCs w:val="16"/>
                <w:lang w:val="es-ES" w:eastAsia="es-ES"/>
              </w:rPr>
            </w:pPr>
            <w:r>
              <w:rPr>
                <w:rFonts w:ascii="Arial Narrow" w:hAnsi="Arial Narrow"/>
                <w:color w:val="000000"/>
                <w:sz w:val="16"/>
                <w:szCs w:val="16"/>
                <w:lang w:val="es-ES" w:eastAsia="es-ES"/>
              </w:rPr>
              <w:t>Empresa Navarra de Espacios Culturales (ENECSA)</w:t>
            </w:r>
          </w:p>
        </w:tc>
        <w:tc>
          <w:tcPr>
            <w:tcW w:w="3236" w:type="dxa"/>
            <w:tcBorders>
              <w:top w:val="single" w:sz="2" w:space="0" w:color="000000"/>
              <w:left w:val="nil"/>
              <w:bottom w:val="single" w:sz="2" w:space="0" w:color="000000"/>
              <w:right w:val="nil"/>
            </w:tcBorders>
            <w:shd w:val="clear" w:color="auto" w:fill="auto"/>
            <w:vAlign w:val="center"/>
            <w:hideMark/>
          </w:tcPr>
          <w:p w:rsidR="00871B5D" w:rsidRPr="00627E79" w:rsidRDefault="00F46F6C" w:rsidP="00871B5D">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eastAsia="es-ES"/>
              </w:rPr>
              <w:t>Espacios culturales</w:t>
            </w:r>
          </w:p>
        </w:tc>
      </w:tr>
      <w:tr w:rsidR="00871B5D" w:rsidRPr="00627E79" w:rsidTr="003D1559">
        <w:trPr>
          <w:trHeight w:hRule="exact" w:val="369"/>
        </w:trPr>
        <w:tc>
          <w:tcPr>
            <w:tcW w:w="2380" w:type="dxa"/>
            <w:tcBorders>
              <w:top w:val="single" w:sz="2" w:space="0" w:color="000000"/>
              <w:left w:val="nil"/>
              <w:bottom w:val="single" w:sz="2" w:space="0" w:color="000000"/>
              <w:right w:val="nil"/>
            </w:tcBorders>
            <w:shd w:val="clear" w:color="auto" w:fill="auto"/>
            <w:vAlign w:val="center"/>
            <w:hideMark/>
          </w:tcPr>
          <w:p w:rsidR="00871B5D" w:rsidRPr="00627E79" w:rsidRDefault="00F46F6C" w:rsidP="00871B5D">
            <w:pPr>
              <w:spacing w:after="0"/>
              <w:ind w:firstLine="0"/>
              <w:rPr>
                <w:rFonts w:ascii="Arial Narrow" w:hAnsi="Arial Narrow"/>
                <w:color w:val="000000"/>
                <w:sz w:val="16"/>
                <w:szCs w:val="16"/>
                <w:lang w:val="es-ES" w:eastAsia="es-ES"/>
              </w:rPr>
            </w:pPr>
            <w:r>
              <w:rPr>
                <w:rFonts w:ascii="Arial Narrow" w:hAnsi="Arial Narrow"/>
                <w:color w:val="000000"/>
                <w:sz w:val="16"/>
                <w:szCs w:val="16"/>
                <w:lang w:eastAsia="es-ES"/>
              </w:rPr>
              <w:t>Navarra de Suelo y Vivienda (NAS</w:t>
            </w:r>
            <w:r>
              <w:rPr>
                <w:rFonts w:ascii="Arial Narrow" w:hAnsi="Arial Narrow"/>
                <w:color w:val="000000"/>
                <w:sz w:val="16"/>
                <w:szCs w:val="16"/>
                <w:lang w:eastAsia="es-ES"/>
              </w:rPr>
              <w:t>U</w:t>
            </w:r>
            <w:r>
              <w:rPr>
                <w:rFonts w:ascii="Arial Narrow" w:hAnsi="Arial Narrow"/>
                <w:color w:val="000000"/>
                <w:sz w:val="16"/>
                <w:szCs w:val="16"/>
                <w:lang w:eastAsia="es-ES"/>
              </w:rPr>
              <w:t>VINSA)</w:t>
            </w:r>
          </w:p>
        </w:tc>
        <w:tc>
          <w:tcPr>
            <w:tcW w:w="2200" w:type="dxa"/>
            <w:tcBorders>
              <w:top w:val="single" w:sz="2" w:space="0" w:color="000000"/>
              <w:left w:val="nil"/>
              <w:bottom w:val="single" w:sz="2" w:space="0" w:color="000000"/>
              <w:right w:val="nil"/>
            </w:tcBorders>
            <w:shd w:val="clear" w:color="auto" w:fill="auto"/>
            <w:vAlign w:val="center"/>
            <w:hideMark/>
          </w:tcPr>
          <w:p w:rsidR="00871B5D" w:rsidRPr="00627E79" w:rsidRDefault="00F46F6C" w:rsidP="00871B5D">
            <w:pPr>
              <w:spacing w:after="0"/>
              <w:ind w:firstLine="0"/>
              <w:rPr>
                <w:rFonts w:ascii="Arial Narrow" w:hAnsi="Arial Narrow"/>
                <w:color w:val="000000"/>
                <w:sz w:val="16"/>
                <w:szCs w:val="16"/>
                <w:lang w:val="es-ES" w:eastAsia="es-ES"/>
              </w:rPr>
            </w:pPr>
            <w:r>
              <w:rPr>
                <w:rFonts w:ascii="Arial Narrow" w:hAnsi="Arial Narrow"/>
                <w:color w:val="000000"/>
                <w:sz w:val="16"/>
                <w:szCs w:val="16"/>
                <w:lang w:eastAsia="es-ES"/>
              </w:rPr>
              <w:t>Navarra de Suelo y Vivienda (NASUVINSA)</w:t>
            </w:r>
          </w:p>
        </w:tc>
        <w:tc>
          <w:tcPr>
            <w:tcW w:w="1980" w:type="dxa"/>
            <w:tcBorders>
              <w:top w:val="single" w:sz="2" w:space="0" w:color="000000"/>
              <w:left w:val="nil"/>
              <w:bottom w:val="single" w:sz="2" w:space="0" w:color="000000"/>
              <w:right w:val="nil"/>
            </w:tcBorders>
            <w:shd w:val="clear" w:color="auto" w:fill="auto"/>
            <w:vAlign w:val="center"/>
            <w:hideMark/>
          </w:tcPr>
          <w:p w:rsidR="00871B5D" w:rsidRPr="00627E79" w:rsidRDefault="00871B5D" w:rsidP="00871B5D">
            <w:pPr>
              <w:spacing w:after="0"/>
              <w:ind w:firstLine="0"/>
              <w:rPr>
                <w:rFonts w:ascii="Arial Narrow" w:hAnsi="Arial Narrow"/>
                <w:color w:val="000000"/>
                <w:sz w:val="16"/>
                <w:szCs w:val="16"/>
                <w:lang w:val="es-ES" w:eastAsia="es-ES"/>
              </w:rPr>
            </w:pPr>
            <w:r w:rsidRPr="00627E79">
              <w:rPr>
                <w:rFonts w:ascii="Arial Narrow" w:hAnsi="Arial Narrow"/>
                <w:color w:val="000000"/>
                <w:sz w:val="16"/>
                <w:szCs w:val="16"/>
                <w:lang w:eastAsia="es-ES"/>
              </w:rPr>
              <w:t>Agencia Navarra. Transporte. y Logística, SA (ANL)</w:t>
            </w:r>
          </w:p>
        </w:tc>
        <w:tc>
          <w:tcPr>
            <w:tcW w:w="3236" w:type="dxa"/>
            <w:tcBorders>
              <w:top w:val="single" w:sz="2" w:space="0" w:color="000000"/>
              <w:left w:val="nil"/>
              <w:bottom w:val="single" w:sz="2" w:space="0" w:color="000000"/>
              <w:right w:val="nil"/>
            </w:tcBorders>
            <w:shd w:val="clear" w:color="auto" w:fill="auto"/>
            <w:vAlign w:val="center"/>
            <w:hideMark/>
          </w:tcPr>
          <w:p w:rsidR="00871B5D" w:rsidRPr="00627E79" w:rsidRDefault="00871B5D" w:rsidP="00871B5D">
            <w:pPr>
              <w:spacing w:after="0"/>
              <w:ind w:firstLine="0"/>
              <w:jc w:val="center"/>
              <w:rPr>
                <w:rFonts w:ascii="Arial Narrow" w:hAnsi="Arial Narrow"/>
                <w:color w:val="000000"/>
                <w:sz w:val="16"/>
                <w:szCs w:val="16"/>
                <w:lang w:val="es-ES" w:eastAsia="es-ES"/>
              </w:rPr>
            </w:pPr>
            <w:r w:rsidRPr="00627E79">
              <w:rPr>
                <w:rFonts w:ascii="Arial Narrow" w:hAnsi="Arial Narrow"/>
                <w:color w:val="000000"/>
                <w:sz w:val="16"/>
                <w:szCs w:val="16"/>
                <w:lang w:eastAsia="es-ES"/>
              </w:rPr>
              <w:t>Transporte y Logística</w:t>
            </w:r>
          </w:p>
        </w:tc>
      </w:tr>
    </w:tbl>
    <w:p w:rsidR="00CB61E6" w:rsidRPr="008E1462" w:rsidRDefault="00CB61E6">
      <w:pPr>
        <w:spacing w:after="0"/>
        <w:ind w:firstLine="0"/>
        <w:jc w:val="left"/>
        <w:rPr>
          <w:rFonts w:ascii="Arial" w:hAnsi="Arial"/>
          <w:bCs/>
          <w:iCs/>
          <w:spacing w:val="10"/>
          <w:kern w:val="28"/>
          <w:sz w:val="16"/>
          <w:szCs w:val="16"/>
        </w:rPr>
      </w:pPr>
      <w:r w:rsidRPr="008E1462">
        <w:rPr>
          <w:sz w:val="16"/>
          <w:szCs w:val="16"/>
        </w:rPr>
        <w:br w:type="page"/>
      </w:r>
    </w:p>
    <w:p w:rsidR="00EE74A5" w:rsidRPr="00B14A6C" w:rsidRDefault="004F527D" w:rsidP="008A62F7">
      <w:pPr>
        <w:pStyle w:val="atitulo2"/>
        <w:spacing w:before="240" w:after="320"/>
        <w:rPr>
          <w:color w:val="auto"/>
        </w:rPr>
      </w:pPr>
      <w:bookmarkStart w:id="54" w:name="_Toc527376683"/>
      <w:r w:rsidRPr="00B14A6C">
        <w:rPr>
          <w:color w:val="auto"/>
        </w:rPr>
        <w:lastRenderedPageBreak/>
        <w:t xml:space="preserve">Anexo </w:t>
      </w:r>
      <w:r w:rsidR="00EB6C9F">
        <w:rPr>
          <w:color w:val="auto"/>
        </w:rPr>
        <w:t>4</w:t>
      </w:r>
      <w:r w:rsidRPr="00B14A6C">
        <w:rPr>
          <w:color w:val="auto"/>
        </w:rPr>
        <w:t xml:space="preserve">. Relación de sociedades públicas y </w:t>
      </w:r>
      <w:r w:rsidR="009558BF">
        <w:rPr>
          <w:color w:val="auto"/>
        </w:rPr>
        <w:t xml:space="preserve">su </w:t>
      </w:r>
      <w:r w:rsidRPr="00B14A6C">
        <w:rPr>
          <w:color w:val="auto"/>
        </w:rPr>
        <w:t>evolución</w:t>
      </w:r>
      <w:bookmarkEnd w:id="54"/>
      <w:r w:rsidR="00F427B2">
        <w:rPr>
          <w:color w:val="auto"/>
        </w:rPr>
        <w:t xml:space="preserve"> </w:t>
      </w:r>
      <w:r w:rsidR="00416407">
        <w:rPr>
          <w:color w:val="auto"/>
        </w:rPr>
        <w:t xml:space="preserve"> </w:t>
      </w:r>
    </w:p>
    <w:tbl>
      <w:tblPr>
        <w:tblW w:w="8815" w:type="dxa"/>
        <w:jc w:val="center"/>
        <w:tblLayout w:type="fixed"/>
        <w:tblCellMar>
          <w:left w:w="70" w:type="dxa"/>
          <w:right w:w="70" w:type="dxa"/>
        </w:tblCellMar>
        <w:tblLook w:val="04A0" w:firstRow="1" w:lastRow="0" w:firstColumn="1" w:lastColumn="0" w:noHBand="0" w:noVBand="1"/>
      </w:tblPr>
      <w:tblGrid>
        <w:gridCol w:w="4705"/>
        <w:gridCol w:w="567"/>
        <w:gridCol w:w="567"/>
        <w:gridCol w:w="567"/>
        <w:gridCol w:w="567"/>
        <w:gridCol w:w="567"/>
        <w:gridCol w:w="567"/>
        <w:gridCol w:w="708"/>
      </w:tblGrid>
      <w:tr w:rsidR="00EE74A5" w:rsidRPr="002172DB" w:rsidTr="00C06A57">
        <w:trPr>
          <w:trHeight w:val="312"/>
          <w:jc w:val="center"/>
        </w:trPr>
        <w:tc>
          <w:tcPr>
            <w:tcW w:w="4705" w:type="dxa"/>
            <w:tcBorders>
              <w:top w:val="single" w:sz="4" w:space="0" w:color="auto"/>
              <w:bottom w:val="single" w:sz="4" w:space="0" w:color="auto"/>
            </w:tcBorders>
            <w:shd w:val="clear" w:color="auto" w:fill="8DB3E2" w:themeFill="text2" w:themeFillTint="66"/>
            <w:noWrap/>
            <w:vAlign w:val="center"/>
            <w:hideMark/>
          </w:tcPr>
          <w:p w:rsidR="00EE74A5" w:rsidRPr="002172DB" w:rsidRDefault="005266E0" w:rsidP="002172DB">
            <w:pPr>
              <w:spacing w:after="0"/>
              <w:ind w:firstLine="0"/>
              <w:jc w:val="left"/>
              <w:rPr>
                <w:rFonts w:ascii="Arial" w:hAnsi="Arial" w:cs="Arial"/>
                <w:color w:val="000000"/>
                <w:sz w:val="16"/>
                <w:szCs w:val="16"/>
                <w:lang w:val="es-ES" w:eastAsia="es-ES"/>
              </w:rPr>
            </w:pPr>
            <w:r w:rsidRPr="002172DB">
              <w:rPr>
                <w:rFonts w:ascii="Arial" w:hAnsi="Arial" w:cs="Arial"/>
                <w:color w:val="000000"/>
                <w:sz w:val="16"/>
                <w:szCs w:val="16"/>
                <w:lang w:val="es-ES" w:eastAsia="es-ES"/>
              </w:rPr>
              <w:t>Denominación</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2010</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2011</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2012</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2013</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2014</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2015</w:t>
            </w:r>
          </w:p>
        </w:tc>
        <w:tc>
          <w:tcPr>
            <w:tcW w:w="708"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color w:val="000000"/>
                <w:sz w:val="16"/>
                <w:szCs w:val="16"/>
                <w:lang w:val="es-ES" w:eastAsia="es-ES"/>
              </w:rPr>
            </w:pPr>
            <w:r w:rsidRPr="002172DB">
              <w:rPr>
                <w:rFonts w:ascii="Arial" w:hAnsi="Arial" w:cs="Arial"/>
                <w:color w:val="000000"/>
                <w:sz w:val="16"/>
                <w:szCs w:val="16"/>
                <w:lang w:val="es-ES" w:eastAsia="es-ES"/>
              </w:rPr>
              <w:t>2016</w:t>
            </w:r>
          </w:p>
        </w:tc>
      </w:tr>
      <w:tr w:rsidR="00EE74A5" w:rsidRPr="002172DB" w:rsidTr="00C06A57">
        <w:trPr>
          <w:trHeight w:val="238"/>
          <w:jc w:val="center"/>
        </w:trPr>
        <w:tc>
          <w:tcPr>
            <w:tcW w:w="4705"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Agencia Navarra de Innovación y Tecnología, SA</w:t>
            </w: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4"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Agencia Navarra del Transporte y la Logística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Agencia Navarra d</w:t>
            </w:r>
            <w:r w:rsidR="00A34146">
              <w:rPr>
                <w:rFonts w:ascii="Arial Narrow" w:hAnsi="Arial Narrow"/>
                <w:color w:val="000000"/>
                <w:sz w:val="16"/>
                <w:szCs w:val="16"/>
                <w:lang w:val="es-ES" w:eastAsia="es-ES"/>
              </w:rPr>
              <w:t>el Transporte y la Logística SA</w:t>
            </w:r>
            <w:r w:rsidR="009A4B18">
              <w:rPr>
                <w:rFonts w:ascii="Arial Narrow" w:hAnsi="Arial Narrow"/>
                <w:color w:val="000000"/>
                <w:sz w:val="16"/>
                <w:szCs w:val="16"/>
                <w:lang w:val="es-ES" w:eastAsia="es-ES"/>
              </w:rPr>
              <w:t>U (antes Ciudad del Tran</w:t>
            </w:r>
            <w:r w:rsidR="009A4B18">
              <w:rPr>
                <w:rFonts w:ascii="Arial Narrow" w:hAnsi="Arial Narrow"/>
                <w:color w:val="000000"/>
                <w:sz w:val="16"/>
                <w:szCs w:val="16"/>
                <w:lang w:val="es-ES" w:eastAsia="es-ES"/>
              </w:rPr>
              <w:t>s</w:t>
            </w:r>
            <w:r w:rsidR="009A4B18">
              <w:rPr>
                <w:rFonts w:ascii="Arial Narrow" w:hAnsi="Arial Narrow"/>
                <w:color w:val="000000"/>
                <w:sz w:val="16"/>
                <w:szCs w:val="16"/>
                <w:lang w:val="es-ES" w:eastAsia="es-ES"/>
              </w:rPr>
              <w:t>porte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Centro Europeo de Empresas e Innovación,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Centro Europeo de Empresas e Innovación, S.L.</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Centro Navarro de Autoaprendizaje de Idiomas,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Ciudad Agroalimentaria de </w:t>
            </w:r>
            <w:r w:rsidR="009A4B18">
              <w:rPr>
                <w:rFonts w:ascii="Arial Narrow" w:hAnsi="Arial Narrow"/>
                <w:color w:val="000000"/>
                <w:sz w:val="16"/>
                <w:szCs w:val="16"/>
                <w:lang w:val="es-ES" w:eastAsia="es-ES"/>
              </w:rPr>
              <w:t>Tudela, S.L. 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Corporación Pública Empresarial de Navarra, SLU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Echauri Forestal, SLU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Empresa Navarra de Espacios Culturales, S.A</w:t>
            </w:r>
            <w:r w:rsidR="009A4B18">
              <w:rPr>
                <w:rFonts w:ascii="Arial Narrow" w:hAnsi="Arial Narrow"/>
                <w:color w:val="000000"/>
                <w:sz w:val="16"/>
                <w:szCs w:val="16"/>
                <w:lang w:val="es-ES" w:eastAsia="es-ES"/>
              </w:rPr>
              <w:t xml:space="preserve"> (antes Baluarte, Palacio de Congresos y Auditoria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Fondo Jóvenes Empresarios Navarros, SAU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Gestión Ambiental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Gestión de Deudas,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Instituto de Calidad Agroalimentaria de Navarra, SA </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Instituto Técnico y de Gestión Agrícola,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Instituto Técnico y de Gestión Ganadero,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FE5063">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Instituto Navarro de Tecnologías e Infraestructuras Agroalimentarias, S.A.</w:t>
            </w:r>
            <w:r w:rsidR="00A34146">
              <w:rPr>
                <w:rFonts w:ascii="Arial Narrow" w:hAnsi="Arial Narrow"/>
                <w:color w:val="000000"/>
                <w:sz w:val="16"/>
                <w:szCs w:val="16"/>
                <w:lang w:val="es-ES" w:eastAsia="es-ES"/>
              </w:rPr>
              <w:t>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Natural Climate Systems,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Financiación y Control,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Navarra de Gestión para la Administración, SA </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Infraestructuras Locales,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Medio Ambiente Industrial,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Servicios y Tecnologías,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Suelo Industrial,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Suelo Residencial,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Navarra de Suelo y Vivienda, S.A.U. </w:t>
            </w:r>
            <w:r w:rsidR="003218D5">
              <w:rPr>
                <w:rFonts w:ascii="Arial Narrow" w:hAnsi="Arial Narrow"/>
                <w:color w:val="000000"/>
                <w:sz w:val="16"/>
                <w:szCs w:val="16"/>
                <w:lang w:val="es-ES" w:eastAsia="es-ES"/>
              </w:rPr>
              <w:t>(antes Viviendas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 Verificaciones Legales,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Navarra Deporte y Ocio, S.L.</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Obras Públicas y Telecomunicaciones de Navarra, SA </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Planetario de Pamplona,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Potasas de Subiza, SA</w:t>
            </w:r>
            <w:r w:rsidR="009A4B18">
              <w:rPr>
                <w:rFonts w:ascii="Arial Narrow" w:hAnsi="Arial Narrow"/>
                <w:color w:val="000000"/>
                <w:sz w:val="16"/>
                <w:szCs w:val="16"/>
                <w:lang w:val="es-ES" w:eastAsia="es-ES"/>
              </w:rPr>
              <w:t>U</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Producción Informática de Navarra, SL </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Riegos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Salinas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Sociedad de Desarrollo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Sociedad de Desarrollo de Navarra, S.L.</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Sociedad de Promoción de Inversiones e Infraestructuras de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Start Up Capital Navarra,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C64C02" w:rsidRPr="002172DB" w:rsidTr="00C06A57">
        <w:trPr>
          <w:trHeight w:val="238"/>
          <w:jc w:val="center"/>
        </w:trPr>
        <w:tc>
          <w:tcPr>
            <w:tcW w:w="4705"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left"/>
              <w:rPr>
                <w:rFonts w:ascii="Arial Narrow" w:hAnsi="Arial Narrow"/>
                <w:color w:val="000000"/>
                <w:sz w:val="16"/>
                <w:szCs w:val="16"/>
                <w:lang w:val="es-ES" w:eastAsia="es-ES"/>
              </w:rPr>
            </w:pPr>
            <w:r>
              <w:rPr>
                <w:rFonts w:ascii="Arial Narrow" w:hAnsi="Arial Narrow"/>
                <w:color w:val="000000"/>
                <w:sz w:val="16"/>
                <w:szCs w:val="16"/>
                <w:lang w:val="es-ES" w:eastAsia="es-ES"/>
              </w:rPr>
              <w:t xml:space="preserve">  Subgrupo Burnizko S.A.</w:t>
            </w: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tcPr>
          <w:p w:rsidR="00C64C02" w:rsidRPr="002172DB" w:rsidRDefault="00C64C02"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Territorio Roncalia SL</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Trabajos Instrumental, SL</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EE74A5" w:rsidRPr="002172DB" w:rsidTr="00C06A57">
        <w:trPr>
          <w:trHeight w:val="238"/>
          <w:jc w:val="center"/>
        </w:trPr>
        <w:tc>
          <w:tcPr>
            <w:tcW w:w="4705"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Trabajos Catastrales, SA</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708" w:type="dxa"/>
            <w:tcBorders>
              <w:top w:val="single" w:sz="2" w:space="0" w:color="auto"/>
              <w:bottom w:val="single" w:sz="2" w:space="0" w:color="auto"/>
            </w:tcBorders>
            <w:shd w:val="clear" w:color="auto" w:fill="auto"/>
            <w:noWrap/>
            <w:vAlign w:val="center"/>
            <w:hideMark/>
          </w:tcPr>
          <w:p w:rsidR="00EE74A5" w:rsidRPr="002172DB" w:rsidRDefault="00EE74A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r>
      <w:tr w:rsidR="00651C65" w:rsidRPr="002172DB" w:rsidTr="00C06A57">
        <w:trPr>
          <w:trHeight w:val="238"/>
          <w:jc w:val="center"/>
        </w:trPr>
        <w:tc>
          <w:tcPr>
            <w:tcW w:w="4705"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left"/>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 xml:space="preserve">  Tuckland Footwear S.L.</w:t>
            </w: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r w:rsidRPr="002172DB">
              <w:rPr>
                <w:rFonts w:ascii="Arial Narrow" w:hAnsi="Arial Narrow"/>
                <w:color w:val="000000"/>
                <w:sz w:val="16"/>
                <w:szCs w:val="16"/>
                <w:lang w:val="es-ES" w:eastAsia="es-ES"/>
              </w:rPr>
              <w:t>X</w:t>
            </w: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p>
        </w:tc>
        <w:tc>
          <w:tcPr>
            <w:tcW w:w="567"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p>
        </w:tc>
        <w:tc>
          <w:tcPr>
            <w:tcW w:w="708" w:type="dxa"/>
            <w:tcBorders>
              <w:top w:val="single" w:sz="2" w:space="0" w:color="auto"/>
              <w:bottom w:val="single" w:sz="4" w:space="0" w:color="auto"/>
            </w:tcBorders>
            <w:shd w:val="clear" w:color="auto" w:fill="auto"/>
            <w:noWrap/>
            <w:vAlign w:val="center"/>
          </w:tcPr>
          <w:p w:rsidR="00651C65" w:rsidRPr="002172DB" w:rsidRDefault="00651C65" w:rsidP="002172DB">
            <w:pPr>
              <w:spacing w:after="0"/>
              <w:ind w:firstLine="0"/>
              <w:jc w:val="center"/>
              <w:rPr>
                <w:rFonts w:ascii="Arial Narrow" w:hAnsi="Arial Narrow"/>
                <w:color w:val="000000"/>
                <w:sz w:val="16"/>
                <w:szCs w:val="16"/>
                <w:lang w:val="es-ES" w:eastAsia="es-ES"/>
              </w:rPr>
            </w:pPr>
          </w:p>
        </w:tc>
      </w:tr>
      <w:tr w:rsidR="00EE74A5" w:rsidRPr="002172DB" w:rsidTr="00C06A57">
        <w:trPr>
          <w:trHeight w:val="284"/>
          <w:jc w:val="center"/>
        </w:trPr>
        <w:tc>
          <w:tcPr>
            <w:tcW w:w="4705" w:type="dxa"/>
            <w:tcBorders>
              <w:top w:val="single" w:sz="4" w:space="0" w:color="auto"/>
              <w:bottom w:val="single" w:sz="4" w:space="0" w:color="auto"/>
            </w:tcBorders>
            <w:shd w:val="clear" w:color="auto" w:fill="8DB3E2" w:themeFill="text2" w:themeFillTint="66"/>
            <w:noWrap/>
            <w:vAlign w:val="center"/>
            <w:hideMark/>
          </w:tcPr>
          <w:p w:rsidR="00EE74A5" w:rsidRPr="002172DB" w:rsidRDefault="00C20F4E" w:rsidP="002172DB">
            <w:pPr>
              <w:spacing w:after="0"/>
              <w:ind w:firstLine="0"/>
              <w:jc w:val="left"/>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Total</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651C65" w:rsidP="002172DB">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39</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651C65" w:rsidP="00F46F6C">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2</w:t>
            </w:r>
            <w:r w:rsidR="00F46F6C">
              <w:rPr>
                <w:rFonts w:ascii="Arial" w:hAnsi="Arial" w:cs="Arial"/>
                <w:bCs/>
                <w:color w:val="000000"/>
                <w:sz w:val="16"/>
                <w:szCs w:val="16"/>
                <w:lang w:val="es-ES" w:eastAsia="es-ES"/>
              </w:rPr>
              <w:t>0</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F46F6C" w:rsidP="002172DB">
            <w:pPr>
              <w:spacing w:after="0"/>
              <w:ind w:firstLine="0"/>
              <w:jc w:val="center"/>
              <w:rPr>
                <w:rFonts w:ascii="Arial" w:hAnsi="Arial" w:cs="Arial"/>
                <w:bCs/>
                <w:color w:val="000000"/>
                <w:sz w:val="16"/>
                <w:szCs w:val="16"/>
                <w:lang w:val="es-ES" w:eastAsia="es-ES"/>
              </w:rPr>
            </w:pPr>
            <w:r>
              <w:rPr>
                <w:rFonts w:ascii="Arial" w:hAnsi="Arial" w:cs="Arial"/>
                <w:bCs/>
                <w:color w:val="000000"/>
                <w:sz w:val="16"/>
                <w:szCs w:val="16"/>
                <w:lang w:val="es-ES" w:eastAsia="es-ES"/>
              </w:rPr>
              <w:t>19</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17</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16</w:t>
            </w:r>
          </w:p>
        </w:tc>
        <w:tc>
          <w:tcPr>
            <w:tcW w:w="567"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16</w:t>
            </w:r>
          </w:p>
        </w:tc>
        <w:tc>
          <w:tcPr>
            <w:tcW w:w="708" w:type="dxa"/>
            <w:tcBorders>
              <w:top w:val="single" w:sz="4" w:space="0" w:color="auto"/>
              <w:bottom w:val="single" w:sz="4" w:space="0" w:color="auto"/>
            </w:tcBorders>
            <w:shd w:val="clear" w:color="auto" w:fill="8DB3E2" w:themeFill="text2" w:themeFillTint="66"/>
            <w:noWrap/>
            <w:vAlign w:val="center"/>
            <w:hideMark/>
          </w:tcPr>
          <w:p w:rsidR="00EE74A5" w:rsidRPr="002172DB" w:rsidRDefault="00EE74A5" w:rsidP="002172DB">
            <w:pPr>
              <w:spacing w:after="0"/>
              <w:ind w:firstLine="0"/>
              <w:jc w:val="center"/>
              <w:rPr>
                <w:rFonts w:ascii="Arial" w:hAnsi="Arial" w:cs="Arial"/>
                <w:bCs/>
                <w:color w:val="000000"/>
                <w:sz w:val="16"/>
                <w:szCs w:val="16"/>
                <w:lang w:val="es-ES" w:eastAsia="es-ES"/>
              </w:rPr>
            </w:pPr>
            <w:r w:rsidRPr="002172DB">
              <w:rPr>
                <w:rFonts w:ascii="Arial" w:hAnsi="Arial" w:cs="Arial"/>
                <w:bCs/>
                <w:color w:val="000000"/>
                <w:sz w:val="16"/>
                <w:szCs w:val="16"/>
                <w:lang w:val="es-ES" w:eastAsia="es-ES"/>
              </w:rPr>
              <w:t>17</w:t>
            </w:r>
          </w:p>
        </w:tc>
      </w:tr>
    </w:tbl>
    <w:p w:rsidR="00CB61E6" w:rsidRDefault="00CB61E6">
      <w:pPr>
        <w:spacing w:after="0"/>
        <w:ind w:firstLine="0"/>
        <w:jc w:val="left"/>
        <w:rPr>
          <w:rFonts w:ascii="Arial" w:hAnsi="Arial"/>
          <w:bCs/>
          <w:iCs/>
          <w:color w:val="000000"/>
          <w:spacing w:val="10"/>
          <w:kern w:val="28"/>
          <w:sz w:val="25"/>
          <w:szCs w:val="26"/>
        </w:rPr>
      </w:pPr>
      <w:r>
        <w:br w:type="page"/>
      </w:r>
    </w:p>
    <w:p w:rsidR="00A60BE1" w:rsidRPr="004026C7" w:rsidRDefault="004F527D" w:rsidP="008F25B9">
      <w:pPr>
        <w:pStyle w:val="atitulo2"/>
        <w:spacing w:before="240" w:after="320"/>
      </w:pPr>
      <w:bookmarkStart w:id="55" w:name="_Toc527376684"/>
      <w:r w:rsidRPr="004026C7">
        <w:lastRenderedPageBreak/>
        <w:t xml:space="preserve">Anexo </w:t>
      </w:r>
      <w:r w:rsidR="00EB6C9F">
        <w:t>5</w:t>
      </w:r>
      <w:r w:rsidRPr="004026C7">
        <w:t xml:space="preserve">. Relación de fundaciones públicas y </w:t>
      </w:r>
      <w:r w:rsidR="009558BF">
        <w:t xml:space="preserve">su </w:t>
      </w:r>
      <w:r w:rsidRPr="004026C7">
        <w:t>evolución</w:t>
      </w:r>
      <w:bookmarkEnd w:id="55"/>
      <w:r w:rsidR="008B24C8">
        <w:t xml:space="preserve"> </w:t>
      </w:r>
    </w:p>
    <w:tbl>
      <w:tblPr>
        <w:tblW w:w="8853" w:type="dxa"/>
        <w:jc w:val="center"/>
        <w:tblCellMar>
          <w:left w:w="70" w:type="dxa"/>
          <w:right w:w="70" w:type="dxa"/>
        </w:tblCellMar>
        <w:tblLook w:val="04A0" w:firstRow="1" w:lastRow="0" w:firstColumn="1" w:lastColumn="0" w:noHBand="0" w:noVBand="1"/>
      </w:tblPr>
      <w:tblGrid>
        <w:gridCol w:w="5336"/>
        <w:gridCol w:w="541"/>
        <w:gridCol w:w="496"/>
        <w:gridCol w:w="496"/>
        <w:gridCol w:w="496"/>
        <w:gridCol w:w="496"/>
        <w:gridCol w:w="496"/>
        <w:gridCol w:w="496"/>
      </w:tblGrid>
      <w:tr w:rsidR="00A60BE1" w:rsidRPr="00D33060" w:rsidTr="009E6F9B">
        <w:trPr>
          <w:trHeight w:val="315"/>
          <w:jc w:val="center"/>
        </w:trPr>
        <w:tc>
          <w:tcPr>
            <w:tcW w:w="533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left"/>
              <w:rPr>
                <w:rFonts w:ascii="Arial" w:hAnsi="Arial" w:cs="Arial"/>
                <w:color w:val="000000"/>
                <w:sz w:val="16"/>
                <w:szCs w:val="16"/>
                <w:lang w:val="es-ES" w:eastAsia="es-ES"/>
              </w:rPr>
            </w:pPr>
            <w:r w:rsidRPr="00D33060">
              <w:rPr>
                <w:rFonts w:ascii="Arial" w:hAnsi="Arial" w:cs="Arial"/>
                <w:color w:val="000000"/>
                <w:sz w:val="16"/>
                <w:szCs w:val="16"/>
                <w:lang w:val="es-ES" w:eastAsia="es-ES"/>
              </w:rPr>
              <w:t>Fundaciones Públicas</w:t>
            </w:r>
          </w:p>
        </w:tc>
        <w:tc>
          <w:tcPr>
            <w:tcW w:w="541"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 2010</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2011</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2012</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2013</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2014</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2015</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color w:val="000000"/>
                <w:sz w:val="16"/>
                <w:szCs w:val="16"/>
                <w:lang w:val="es-ES" w:eastAsia="es-ES"/>
              </w:rPr>
            </w:pPr>
            <w:r w:rsidRPr="00D33060">
              <w:rPr>
                <w:rFonts w:ascii="Arial" w:hAnsi="Arial" w:cs="Arial"/>
                <w:color w:val="000000"/>
                <w:sz w:val="16"/>
                <w:szCs w:val="16"/>
                <w:lang w:val="es-ES" w:eastAsia="es-ES"/>
              </w:rPr>
              <w:t>2016</w:t>
            </w:r>
          </w:p>
        </w:tc>
      </w:tr>
      <w:tr w:rsidR="00A60BE1" w:rsidRPr="00D33060" w:rsidTr="009E6F9B">
        <w:trPr>
          <w:trHeight w:val="255"/>
          <w:jc w:val="center"/>
        </w:trPr>
        <w:tc>
          <w:tcPr>
            <w:tcW w:w="533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Fundación Baluarte </w:t>
            </w:r>
          </w:p>
        </w:tc>
        <w:tc>
          <w:tcPr>
            <w:tcW w:w="541"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4"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r>
      <w:tr w:rsidR="00A60BE1" w:rsidRPr="00D33060" w:rsidTr="009E6F9B">
        <w:trPr>
          <w:trHeight w:val="255"/>
          <w:jc w:val="center"/>
        </w:trPr>
        <w:tc>
          <w:tcPr>
            <w:tcW w:w="533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xml:space="preserve">Fundación para la Formación en Energías Renovables </w:t>
            </w:r>
          </w:p>
        </w:tc>
        <w:tc>
          <w:tcPr>
            <w:tcW w:w="541"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r>
      <w:tr w:rsidR="00A60BE1" w:rsidRPr="00D33060" w:rsidTr="009E6F9B">
        <w:trPr>
          <w:trHeight w:val="255"/>
          <w:jc w:val="center"/>
        </w:trPr>
        <w:tc>
          <w:tcPr>
            <w:tcW w:w="533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Fundación Miguel Servet </w:t>
            </w:r>
          </w:p>
        </w:tc>
        <w:tc>
          <w:tcPr>
            <w:tcW w:w="541"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r>
      <w:tr w:rsidR="00A60BE1" w:rsidRPr="00D33060" w:rsidTr="009E6F9B">
        <w:trPr>
          <w:trHeight w:val="255"/>
          <w:jc w:val="center"/>
        </w:trPr>
        <w:tc>
          <w:tcPr>
            <w:tcW w:w="533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xml:space="preserve">Fundación Navarra para la Excelencia </w:t>
            </w:r>
          </w:p>
        </w:tc>
        <w:tc>
          <w:tcPr>
            <w:tcW w:w="541"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r>
      <w:tr w:rsidR="00A60BE1" w:rsidRPr="00D33060" w:rsidTr="009E6F9B">
        <w:trPr>
          <w:trHeight w:val="255"/>
          <w:jc w:val="center"/>
        </w:trPr>
        <w:tc>
          <w:tcPr>
            <w:tcW w:w="533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Fundación para la Conservación del Patrimonio Histórico de Navarra </w:t>
            </w:r>
          </w:p>
        </w:tc>
        <w:tc>
          <w:tcPr>
            <w:tcW w:w="541"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r>
      <w:tr w:rsidR="00A60BE1" w:rsidRPr="00D33060" w:rsidTr="009E6F9B">
        <w:trPr>
          <w:trHeight w:val="255"/>
          <w:jc w:val="center"/>
        </w:trPr>
        <w:tc>
          <w:tcPr>
            <w:tcW w:w="533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Fundación para la Tutela de las Personas Adultas </w:t>
            </w:r>
          </w:p>
        </w:tc>
        <w:tc>
          <w:tcPr>
            <w:tcW w:w="541"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2"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r>
      <w:tr w:rsidR="00A60BE1" w:rsidRPr="00D33060" w:rsidTr="009E6F9B">
        <w:trPr>
          <w:trHeight w:val="255"/>
          <w:jc w:val="center"/>
        </w:trPr>
        <w:tc>
          <w:tcPr>
            <w:tcW w:w="533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left"/>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xml:space="preserve">Fundación Instituto Navarro Artes Audiovisuales y Cinematografía </w:t>
            </w:r>
          </w:p>
        </w:tc>
        <w:tc>
          <w:tcPr>
            <w:tcW w:w="541"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X</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c>
          <w:tcPr>
            <w:tcW w:w="496" w:type="dxa"/>
            <w:tcBorders>
              <w:top w:val="single" w:sz="2" w:space="0" w:color="auto"/>
              <w:left w:val="nil"/>
              <w:bottom w:val="single" w:sz="4" w:space="0" w:color="auto"/>
              <w:right w:val="nil"/>
            </w:tcBorders>
            <w:shd w:val="clear" w:color="auto" w:fill="auto"/>
            <w:noWrap/>
            <w:vAlign w:val="center"/>
            <w:hideMark/>
          </w:tcPr>
          <w:p w:rsidR="00A60BE1" w:rsidRPr="00D33060" w:rsidRDefault="00A60BE1" w:rsidP="006B0335">
            <w:pPr>
              <w:spacing w:after="0"/>
              <w:ind w:firstLine="0"/>
              <w:jc w:val="center"/>
              <w:rPr>
                <w:rFonts w:ascii="Arial Narrow" w:hAnsi="Arial Narrow"/>
                <w:color w:val="000000"/>
                <w:sz w:val="16"/>
                <w:szCs w:val="16"/>
                <w:lang w:val="es-ES" w:eastAsia="es-ES"/>
              </w:rPr>
            </w:pPr>
            <w:r w:rsidRPr="00D33060">
              <w:rPr>
                <w:rFonts w:ascii="Arial Narrow" w:hAnsi="Arial Narrow"/>
                <w:color w:val="000000"/>
                <w:sz w:val="16"/>
                <w:szCs w:val="16"/>
                <w:lang w:val="es-ES" w:eastAsia="es-ES"/>
              </w:rPr>
              <w:t> </w:t>
            </w:r>
          </w:p>
        </w:tc>
      </w:tr>
      <w:tr w:rsidR="00A60BE1" w:rsidRPr="00D33060" w:rsidTr="009E6F9B">
        <w:trPr>
          <w:trHeight w:val="315"/>
          <w:jc w:val="center"/>
        </w:trPr>
        <w:tc>
          <w:tcPr>
            <w:tcW w:w="5336" w:type="dxa"/>
            <w:tcBorders>
              <w:top w:val="single" w:sz="4" w:space="0" w:color="auto"/>
              <w:left w:val="nil"/>
              <w:bottom w:val="single" w:sz="4" w:space="0" w:color="auto"/>
              <w:right w:val="nil"/>
            </w:tcBorders>
            <w:shd w:val="clear" w:color="000000" w:fill="8DB4E2"/>
            <w:noWrap/>
            <w:vAlign w:val="center"/>
            <w:hideMark/>
          </w:tcPr>
          <w:p w:rsidR="00A60BE1" w:rsidRPr="00D33060" w:rsidRDefault="00D33060" w:rsidP="006B0335">
            <w:pPr>
              <w:spacing w:after="0"/>
              <w:ind w:firstLine="0"/>
              <w:jc w:val="left"/>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Total</w:t>
            </w:r>
          </w:p>
        </w:tc>
        <w:tc>
          <w:tcPr>
            <w:tcW w:w="541"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7</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7</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7</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7</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6</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4</w:t>
            </w:r>
          </w:p>
        </w:tc>
        <w:tc>
          <w:tcPr>
            <w:tcW w:w="496" w:type="dxa"/>
            <w:tcBorders>
              <w:top w:val="single" w:sz="4" w:space="0" w:color="auto"/>
              <w:left w:val="nil"/>
              <w:bottom w:val="single" w:sz="4" w:space="0" w:color="auto"/>
              <w:right w:val="nil"/>
            </w:tcBorders>
            <w:shd w:val="clear" w:color="000000" w:fill="8DB4E2"/>
            <w:noWrap/>
            <w:vAlign w:val="center"/>
            <w:hideMark/>
          </w:tcPr>
          <w:p w:rsidR="00A60BE1" w:rsidRPr="00D33060" w:rsidRDefault="00A60BE1" w:rsidP="006B0335">
            <w:pPr>
              <w:spacing w:after="0"/>
              <w:ind w:firstLine="0"/>
              <w:jc w:val="center"/>
              <w:rPr>
                <w:rFonts w:ascii="Arial" w:hAnsi="Arial" w:cs="Arial"/>
                <w:bCs/>
                <w:color w:val="000000"/>
                <w:sz w:val="16"/>
                <w:szCs w:val="16"/>
                <w:lang w:val="es-ES" w:eastAsia="es-ES"/>
              </w:rPr>
            </w:pPr>
            <w:r w:rsidRPr="00D33060">
              <w:rPr>
                <w:rFonts w:ascii="Arial" w:hAnsi="Arial" w:cs="Arial"/>
                <w:bCs/>
                <w:color w:val="000000"/>
                <w:sz w:val="16"/>
                <w:szCs w:val="16"/>
                <w:lang w:val="es-ES" w:eastAsia="es-ES"/>
              </w:rPr>
              <w:t>4</w:t>
            </w:r>
          </w:p>
        </w:tc>
      </w:tr>
    </w:tbl>
    <w:p w:rsidR="00A60BE1" w:rsidRDefault="00A60BE1" w:rsidP="00A60BE1">
      <w:pPr>
        <w:ind w:firstLine="0"/>
        <w:rPr>
          <w:sz w:val="26"/>
          <w:szCs w:val="26"/>
        </w:rPr>
      </w:pPr>
    </w:p>
    <w:p w:rsidR="00FE5063" w:rsidRDefault="00042563" w:rsidP="00A60BE1">
      <w:pPr>
        <w:ind w:firstLine="0"/>
        <w:rPr>
          <w:sz w:val="26"/>
          <w:szCs w:val="26"/>
        </w:rPr>
      </w:pPr>
      <w:r>
        <w:rPr>
          <w:sz w:val="26"/>
          <w:szCs w:val="26"/>
        </w:rPr>
        <w:t xml:space="preserve"> </w:t>
      </w:r>
    </w:p>
    <w:sectPr w:rsidR="00FE5063" w:rsidSect="00612C33">
      <w:headerReference w:type="even" r:id="rId14"/>
      <w:footerReference w:type="default" r:id="rId15"/>
      <w:type w:val="oddPage"/>
      <w:pgSz w:w="11907" w:h="16840" w:code="9"/>
      <w:pgMar w:top="2109" w:right="1632"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1A" w:rsidRDefault="00BF1A1A">
      <w:r>
        <w:separator/>
      </w:r>
    </w:p>
    <w:p w:rsidR="00BF1A1A" w:rsidRDefault="00BF1A1A"/>
    <w:p w:rsidR="00BF1A1A" w:rsidRDefault="00BF1A1A"/>
    <w:p w:rsidR="00BF1A1A" w:rsidRDefault="00BF1A1A"/>
  </w:endnote>
  <w:endnote w:type="continuationSeparator" w:id="0">
    <w:p w:rsidR="00BF1A1A" w:rsidRDefault="00BF1A1A">
      <w:r>
        <w:continuationSeparator/>
      </w:r>
    </w:p>
    <w:p w:rsidR="00BF1A1A" w:rsidRDefault="00BF1A1A"/>
    <w:p w:rsidR="00BF1A1A" w:rsidRDefault="00BF1A1A"/>
    <w:p w:rsidR="00BF1A1A" w:rsidRDefault="00BF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Default="00BF1A1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A1A" w:rsidRDefault="00BF1A1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Pr="00F03814" w:rsidRDefault="00BF1A1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0817D8C" wp14:editId="32BA47A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BF1A1A" w:rsidRPr="00F74E38" w:rsidRDefault="00BF1A1A" w:rsidP="00F03814">
    <w:pPr>
      <w:pStyle w:val="Piedepgina"/>
      <w:tabs>
        <w:tab w:val="clear" w:pos="4252"/>
        <w:tab w:val="clear" w:pos="8504"/>
        <w:tab w:val="center" w:pos="4560"/>
      </w:tabs>
      <w:ind w:right="360"/>
      <w:jc w:val="left"/>
      <w:rPr>
        <w:rStyle w:val="Nmerodepgina"/>
      </w:rPr>
    </w:pPr>
  </w:p>
  <w:p w:rsidR="00BF1A1A" w:rsidRPr="00C13453" w:rsidRDefault="00BF1A1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Default="00BF1A1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Pr="00F03814" w:rsidRDefault="00BF1A1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976A7D9" wp14:editId="581239D9">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10FE9">
      <w:rPr>
        <w:rStyle w:val="Nmerodepgina"/>
        <w:noProof/>
        <w:szCs w:val="24"/>
      </w:rPr>
      <w:t>32</w:t>
    </w:r>
    <w:r w:rsidRPr="001D4F09">
      <w:rPr>
        <w:rStyle w:val="Nmerodepgina"/>
        <w:szCs w:val="24"/>
      </w:rPr>
      <w:fldChar w:fldCharType="end"/>
    </w:r>
    <w:r w:rsidRPr="001D4F09">
      <w:rPr>
        <w:rStyle w:val="Nmerodepgina"/>
        <w:szCs w:val="24"/>
      </w:rPr>
      <w:t xml:space="preserve"> -</w:t>
    </w:r>
  </w:p>
  <w:p w:rsidR="00BF1A1A" w:rsidRPr="00C13453" w:rsidRDefault="00BF1A1A" w:rsidP="00D2472C">
    <w:pPr>
      <w:pStyle w:val="BorradorProvisional"/>
      <w:ind w:left="0"/>
      <w:jc w:val="center"/>
    </w:pPr>
  </w:p>
  <w:p w:rsidR="00BF1A1A" w:rsidRDefault="00BF1A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1A" w:rsidRDefault="00BF1A1A">
      <w:r>
        <w:separator/>
      </w:r>
    </w:p>
  </w:footnote>
  <w:footnote w:type="continuationSeparator" w:id="0">
    <w:p w:rsidR="00BF1A1A" w:rsidRDefault="00BF1A1A">
      <w:r>
        <w:continuationSeparator/>
      </w:r>
    </w:p>
    <w:p w:rsidR="00BF1A1A" w:rsidRDefault="00BF1A1A"/>
    <w:p w:rsidR="00BF1A1A" w:rsidRDefault="00BF1A1A"/>
    <w:p w:rsidR="00BF1A1A" w:rsidRDefault="00BF1A1A"/>
  </w:footnote>
  <w:footnote w:id="1">
    <w:p w:rsidR="00BF1A1A" w:rsidRDefault="00BF1A1A" w:rsidP="00AB4A69">
      <w:pPr>
        <w:pStyle w:val="Textonotapie"/>
      </w:pPr>
      <w:r>
        <w:rPr>
          <w:rStyle w:val="Refdenotaalpie"/>
        </w:rPr>
        <w:footnoteRef/>
      </w:r>
      <w:r>
        <w:t xml:space="preserve"> Son sociedades públicas  las que la Administración de la Comunidad Foral de Navarra ostenta una participación directa o indirecta superior al 50 por ciento, o bien se </w:t>
      </w:r>
      <w:r w:rsidRPr="00EF65A0">
        <w:t>disponga</w:t>
      </w:r>
      <w:r>
        <w:t xml:space="preserve"> </w:t>
      </w:r>
      <w:r w:rsidRPr="00EF65A0">
        <w:t>de capacidad para nombrar más de la mitad de los miembros de sus órganos de administración, de dirección o de vigilancia; o dispongan de la mayoría de los votos correspondientes a las participaciones emitidas por la sociedad</w:t>
      </w:r>
      <w:r>
        <w:t xml:space="preserve">. </w:t>
      </w:r>
    </w:p>
  </w:footnote>
  <w:footnote w:id="2">
    <w:p w:rsidR="00BF1A1A" w:rsidRDefault="00BF1A1A" w:rsidP="00AB4A69">
      <w:pPr>
        <w:pStyle w:val="Textonotapie"/>
      </w:pPr>
      <w:r>
        <w:rPr>
          <w:rStyle w:val="Refdenotaalpie"/>
        </w:rPr>
        <w:footnoteRef/>
      </w:r>
      <w:r>
        <w:t xml:space="preserve"> Son fundaciones públicas las creadas directamente por la Administración de la Comunidad Foral con aportación mayoritaria en su patrimonio fundacional y aquéllas otras </w:t>
      </w:r>
      <w:r w:rsidRPr="002D15D3">
        <w:rPr>
          <w:szCs w:val="26"/>
        </w:rPr>
        <w:t xml:space="preserve">que teniendo carácter privado en el momento de su creación, por no concurrir en ellas los requisitos </w:t>
      </w:r>
      <w:r>
        <w:rPr>
          <w:szCs w:val="26"/>
        </w:rPr>
        <w:t>iniciales exigidos</w:t>
      </w:r>
      <w:r w:rsidRPr="002D15D3">
        <w:rPr>
          <w:szCs w:val="26"/>
        </w:rPr>
        <w:t>, sobrevenidamente los reúnan, juntamente con la exigencia de que la representación de la Administración en sus órganos de g</w:t>
      </w:r>
      <w:r w:rsidRPr="002D15D3">
        <w:rPr>
          <w:szCs w:val="26"/>
        </w:rPr>
        <w:t>o</w:t>
      </w:r>
      <w:r w:rsidRPr="002D15D3">
        <w:rPr>
          <w:szCs w:val="26"/>
        </w:rPr>
        <w:t>bierno sea mayoritaria</w:t>
      </w:r>
      <w:r>
        <w:rPr>
          <w:szCs w:val="26"/>
        </w:rPr>
        <w:t xml:space="preserve">. </w:t>
      </w:r>
    </w:p>
  </w:footnote>
  <w:footnote w:id="3">
    <w:p w:rsidR="00BF1A1A" w:rsidRDefault="00BF1A1A" w:rsidP="00AB4A69">
      <w:pPr>
        <w:pStyle w:val="Textonotapie"/>
      </w:pPr>
      <w:r>
        <w:rPr>
          <w:rStyle w:val="Refdenotaalpie"/>
        </w:rPr>
        <w:footnoteRef/>
      </w:r>
      <w:r>
        <w:t xml:space="preserve"> Se corresponden con el dato medio del periodo 2010-2016</w:t>
      </w:r>
    </w:p>
  </w:footnote>
  <w:footnote w:id="4">
    <w:p w:rsidR="00BF1A1A" w:rsidRPr="002A6555" w:rsidRDefault="00BF1A1A" w:rsidP="00AB4A69">
      <w:pPr>
        <w:pStyle w:val="Textonotapie"/>
      </w:pPr>
      <w:r w:rsidRPr="002A6555">
        <w:rPr>
          <w:rStyle w:val="Refdenotaalpie"/>
        </w:rPr>
        <w:footnoteRef/>
      </w:r>
      <w:r w:rsidRPr="002A6555">
        <w:t xml:space="preserve"> Orden que desarrolla las obligaciones de suministro e información previstas en la Ley Orgánica 2/2012 de  Estabilidad Presupuestaria y Sostenibilidad Financiera.</w:t>
      </w:r>
    </w:p>
  </w:footnote>
  <w:footnote w:id="5">
    <w:p w:rsidR="00BF1A1A" w:rsidRDefault="00BF1A1A" w:rsidP="00B63E7F">
      <w:pPr>
        <w:pStyle w:val="Textonotapie"/>
      </w:pPr>
      <w:r>
        <w:rPr>
          <w:rStyle w:val="Refdenotaalpie"/>
        </w:rPr>
        <w:footnoteRef/>
      </w:r>
      <w:r>
        <w:t xml:space="preserve"> Actualmente Departamento de Presidencia, Función Pública, Interior y Justicia</w:t>
      </w:r>
    </w:p>
  </w:footnote>
  <w:footnote w:id="6">
    <w:p w:rsidR="00BF1A1A" w:rsidRDefault="00BF1A1A" w:rsidP="00B63E7F">
      <w:pPr>
        <w:pStyle w:val="Textonotapie"/>
      </w:pPr>
      <w:r>
        <w:rPr>
          <w:rStyle w:val="Refdenotaalpie"/>
        </w:rPr>
        <w:footnoteRef/>
      </w:r>
      <w:r>
        <w:t xml:space="preserve"> Actualmente Departamento de Desarrollo Rural, Medio Ambiente y Administración Local.</w:t>
      </w:r>
    </w:p>
  </w:footnote>
  <w:footnote w:id="7">
    <w:p w:rsidR="00BF1A1A" w:rsidRDefault="00BF1A1A" w:rsidP="00B63E7F">
      <w:pPr>
        <w:pStyle w:val="Textonotapie"/>
      </w:pPr>
      <w:r>
        <w:rPr>
          <w:rStyle w:val="Refdenotaalpie"/>
        </w:rPr>
        <w:footnoteRef/>
      </w:r>
      <w:r>
        <w:t xml:space="preserve"> Actualmente Departamento de Cultura, Deporte y Juventud</w:t>
      </w:r>
    </w:p>
  </w:footnote>
  <w:footnote w:id="8">
    <w:p w:rsidR="00BF1A1A" w:rsidRDefault="00BF1A1A" w:rsidP="00626CCB">
      <w:pPr>
        <w:pStyle w:val="Textonotapie"/>
        <w:ind w:left="-98" w:firstLine="0"/>
      </w:pPr>
      <w:r>
        <w:t xml:space="preserve"> </w:t>
      </w:r>
      <w:r w:rsidRPr="007E0391">
        <w:rPr>
          <w:sz w:val="18"/>
          <w:szCs w:val="18"/>
        </w:rPr>
        <w:t xml:space="preserve">           </w:t>
      </w:r>
      <w:r>
        <w:t xml:space="preserve"> </w:t>
      </w:r>
      <w:r>
        <w:rPr>
          <w:rStyle w:val="Refdenotaalpie"/>
        </w:rPr>
        <w:footnoteRef/>
      </w:r>
      <w:r>
        <w:t xml:space="preserve"> Requisito exigido por la Disposición Transitoria Tercera de la Ley Foral 8/2009.</w:t>
      </w:r>
    </w:p>
  </w:footnote>
  <w:footnote w:id="9">
    <w:p w:rsidR="00BF1A1A" w:rsidRDefault="00BF1A1A" w:rsidP="00AB4A69">
      <w:pPr>
        <w:pStyle w:val="Textonotapie"/>
      </w:pPr>
      <w:r>
        <w:rPr>
          <w:rStyle w:val="Refdenotaalpie"/>
        </w:rPr>
        <w:footnoteRef/>
      </w:r>
      <w:r>
        <w:t xml:space="preserve"> El artículo 12 de la Directiva 2014/24/CE establece la obligación de que más del 80 % de las activ</w:t>
      </w:r>
      <w:r>
        <w:t>i</w:t>
      </w:r>
      <w:r>
        <w:t xml:space="preserve">dades de esa persona jurídica se lleven a cabo en el ejercicio de los cometidos que le han sido confiados por el poder adjudicador que la controla. </w:t>
      </w:r>
    </w:p>
  </w:footnote>
  <w:footnote w:id="10">
    <w:p w:rsidR="00BF1A1A" w:rsidRPr="00097C28" w:rsidRDefault="00BF1A1A" w:rsidP="00AB4A69">
      <w:pPr>
        <w:pStyle w:val="Textonotapie"/>
        <w:rPr>
          <w:sz w:val="19"/>
          <w:szCs w:val="19"/>
        </w:rPr>
      </w:pPr>
      <w:r>
        <w:rPr>
          <w:rStyle w:val="Refdenotaalpie"/>
        </w:rPr>
        <w:footnoteRef/>
      </w:r>
      <w:r w:rsidRPr="00097C28">
        <w:rPr>
          <w:sz w:val="19"/>
          <w:szCs w:val="19"/>
        </w:rPr>
        <w:t xml:space="preserve"> </w:t>
      </w:r>
      <w:r>
        <w:rPr>
          <w:sz w:val="19"/>
          <w:szCs w:val="19"/>
        </w:rPr>
        <w:t>L</w:t>
      </w:r>
      <w:r w:rsidRPr="00097C28">
        <w:rPr>
          <w:sz w:val="19"/>
          <w:szCs w:val="19"/>
          <w:lang w:val="es-ES"/>
        </w:rPr>
        <w:t>as Fundaciones Yesa, Valle de Erro-Roncesvalles, Itoiz-Canal de Navarra y Centro de Recursos A</w:t>
      </w:r>
      <w:r w:rsidRPr="00097C28">
        <w:rPr>
          <w:sz w:val="19"/>
          <w:szCs w:val="19"/>
          <w:lang w:val="es-ES"/>
        </w:rPr>
        <w:t>m</w:t>
      </w:r>
      <w:r w:rsidRPr="00097C28">
        <w:rPr>
          <w:sz w:val="19"/>
          <w:szCs w:val="19"/>
          <w:lang w:val="es-ES"/>
        </w:rPr>
        <w:t xml:space="preserve">bientales figuran en el citado Acuerdo y en la información del MINHAFP </w:t>
      </w:r>
      <w:r>
        <w:rPr>
          <w:sz w:val="19"/>
          <w:szCs w:val="19"/>
          <w:lang w:val="es-ES"/>
        </w:rPr>
        <w:t>. N</w:t>
      </w:r>
      <w:r w:rsidRPr="00097C28">
        <w:rPr>
          <w:sz w:val="19"/>
          <w:szCs w:val="19"/>
          <w:lang w:val="es-ES"/>
        </w:rPr>
        <w:t>o son objeto de fiscalización  en</w:t>
      </w:r>
      <w:r>
        <w:rPr>
          <w:sz w:val="19"/>
          <w:szCs w:val="19"/>
          <w:lang w:val="es-ES"/>
        </w:rPr>
        <w:t xml:space="preserve"> la realización de este trabajo al no tener la consideración de fundaciones públicas.</w:t>
      </w:r>
    </w:p>
  </w:footnote>
  <w:footnote w:id="11">
    <w:p w:rsidR="00BF1A1A" w:rsidRPr="00871EA0" w:rsidRDefault="00BF1A1A" w:rsidP="00AB4A69">
      <w:pPr>
        <w:rPr>
          <w:sz w:val="2"/>
          <w:szCs w:val="2"/>
        </w:rPr>
      </w:pPr>
    </w:p>
  </w:footnote>
  <w:footnote w:id="12">
    <w:p w:rsidR="00BF1A1A" w:rsidRDefault="00BF1A1A">
      <w:pPr>
        <w:pStyle w:val="Textonotapie"/>
      </w:pPr>
      <w:r>
        <w:rPr>
          <w:rStyle w:val="Refdenotaalpie"/>
        </w:rPr>
        <w:footnoteRef/>
      </w:r>
      <w:r>
        <w:t xml:space="preserve"> Se estima dividiendo el gasto de personal por la plantilla media al cierre del ejercicio. </w:t>
      </w:r>
    </w:p>
  </w:footnote>
  <w:footnote w:id="13">
    <w:p w:rsidR="00BF1A1A" w:rsidRDefault="00BF1A1A">
      <w:pPr>
        <w:pStyle w:val="Textonotapie"/>
      </w:pPr>
      <w:r>
        <w:rPr>
          <w:rStyle w:val="Refdenotaalpie"/>
        </w:rPr>
        <w:footnoteRef/>
      </w:r>
      <w:r>
        <w:t xml:space="preserve"> Información facilitada por CPEN</w:t>
      </w:r>
    </w:p>
  </w:footnote>
  <w:footnote w:id="14">
    <w:p w:rsidR="00BF1A1A" w:rsidRDefault="00BF1A1A" w:rsidP="00EB6705">
      <w:pPr>
        <w:pStyle w:val="Textonotapie"/>
      </w:pPr>
      <w:r>
        <w:rPr>
          <w:rStyle w:val="Refdenotaalpie"/>
        </w:rPr>
        <w:footnoteRef/>
      </w:r>
      <w:r>
        <w:t xml:space="preserve"> Situaciones del personal en comisión de servicios o excedencia en los términos del Decreto Foral L</w:t>
      </w:r>
      <w:r w:rsidRPr="003238EB">
        <w:t>egislativo 251/1993, de 30 de ag</w:t>
      </w:r>
      <w:r>
        <w:t>osto, por el que se aprueba el Texto Refundido del Estatuto del Personal al servicio de las Administraciones Públicas de N</w:t>
      </w:r>
      <w:r w:rsidRPr="003238EB">
        <w:t>avarra</w:t>
      </w:r>
    </w:p>
    <w:p w:rsidR="00BF1A1A" w:rsidRDefault="00BF1A1A">
      <w:pPr>
        <w:pStyle w:val="Textonotapie"/>
      </w:pPr>
    </w:p>
  </w:footnote>
  <w:footnote w:id="15">
    <w:p w:rsidR="00BF1A1A" w:rsidRDefault="00BF1A1A">
      <w:pPr>
        <w:pStyle w:val="Textonotapie"/>
      </w:pPr>
      <w:r>
        <w:rPr>
          <w:rStyle w:val="Refdenotaalpie"/>
        </w:rPr>
        <w:footnoteRef/>
      </w:r>
      <w:r>
        <w:t xml:space="preserve"> Actualmente Departamento de Presidencia, Función Pública, Interior y Justicia</w:t>
      </w:r>
    </w:p>
  </w:footnote>
  <w:footnote w:id="16">
    <w:p w:rsidR="00BF1A1A" w:rsidRDefault="00BF1A1A">
      <w:pPr>
        <w:pStyle w:val="Textonotapie"/>
      </w:pPr>
      <w:r>
        <w:rPr>
          <w:rStyle w:val="Refdenotaalpie"/>
        </w:rPr>
        <w:footnoteRef/>
      </w:r>
      <w:r>
        <w:t xml:space="preserve"> Actualmente Departamento de Desarrollo Rural, Medio Ambiente y Administración Local</w:t>
      </w:r>
    </w:p>
  </w:footnote>
  <w:footnote w:id="17">
    <w:p w:rsidR="00BF1A1A" w:rsidRDefault="00BF1A1A">
      <w:pPr>
        <w:pStyle w:val="Textonotapie"/>
      </w:pPr>
      <w:r>
        <w:rPr>
          <w:rStyle w:val="Refdenotaalpie"/>
        </w:rPr>
        <w:footnoteRef/>
      </w:r>
      <w:r>
        <w:t xml:space="preserve"> Se corresponden con 13 sociedades participadas directamente y cuatro sociedades participadas i</w:t>
      </w:r>
      <w:r>
        <w:t>n</w:t>
      </w:r>
      <w:r>
        <w:t>directamente.</w:t>
      </w:r>
    </w:p>
  </w:footnote>
  <w:footnote w:id="18">
    <w:p w:rsidR="00BF1A1A" w:rsidRDefault="00BF1A1A">
      <w:pPr>
        <w:pStyle w:val="Textonotapie"/>
      </w:pPr>
      <w:r>
        <w:rPr>
          <w:rStyle w:val="Refdenotaalpie"/>
        </w:rPr>
        <w:footnoteRef/>
      </w:r>
      <w:r>
        <w:t xml:space="preserve"> Informe de la Cámara de Comptos de enero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Default="00BF1A1A"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1D932F3" wp14:editId="148470AB">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BF1A1A" w:rsidRPr="0059650E" w:rsidRDefault="00BF1A1A" w:rsidP="00891D73">
    <w:pPr>
      <w:pStyle w:val="Encabezado"/>
      <w:pBdr>
        <w:bottom w:val="single" w:sz="4" w:space="1" w:color="auto"/>
      </w:pBdr>
      <w:ind w:firstLine="0"/>
      <w:rPr>
        <w:lang w:val="es-ES"/>
      </w:rPr>
    </w:pPr>
    <w:r>
      <w:rPr>
        <w:lang w:val="es-ES"/>
      </w:rPr>
      <w:t xml:space="preserve">INFORME </w:t>
    </w:r>
    <w:r w:rsidR="003825C2">
      <w:rPr>
        <w:lang w:val="es-ES"/>
      </w:rPr>
      <w:t>de fiscalización</w:t>
    </w:r>
    <w:r>
      <w:rPr>
        <w:lang w:val="es-ES"/>
      </w:rPr>
      <w:t xml:space="preserve"> SOBRE LA REESTRUCTURACIÓN DEL SECTOR PÚBLICO foral de navarra (2010-2016)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Default="00BF1A1A" w:rsidP="006A2D41">
    <w:pPr>
      <w:pStyle w:val="Encabezado"/>
      <w:ind w:firstLine="0"/>
      <w:jc w:val="left"/>
    </w:pPr>
    <w:r>
      <w:rPr>
        <w:noProof/>
        <w:lang w:val="es-ES" w:eastAsia="es-ES"/>
      </w:rPr>
      <w:drawing>
        <wp:inline distT="0" distB="0" distL="0" distR="0" wp14:anchorId="207AF6AA" wp14:editId="2855A99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1A" w:rsidRDefault="00BF1A1A"/>
  <w:p w:rsidR="00BF1A1A" w:rsidRDefault="00BF1A1A"/>
  <w:p w:rsidR="00BF1A1A" w:rsidRDefault="00BF1A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A91"/>
    <w:multiLevelType w:val="hybridMultilevel"/>
    <w:tmpl w:val="FCD4D98C"/>
    <w:lvl w:ilvl="0" w:tplc="92AC495E">
      <w:start w:val="3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0C31B8E"/>
    <w:multiLevelType w:val="hybridMultilevel"/>
    <w:tmpl w:val="A468B7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2E439AB"/>
    <w:multiLevelType w:val="hybridMultilevel"/>
    <w:tmpl w:val="34A29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EC0F26"/>
    <w:multiLevelType w:val="hybridMultilevel"/>
    <w:tmpl w:val="BD68D120"/>
    <w:lvl w:ilvl="0" w:tplc="316459D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28ED3BB0"/>
    <w:multiLevelType w:val="hybridMultilevel"/>
    <w:tmpl w:val="C7B4DE3E"/>
    <w:lvl w:ilvl="0" w:tplc="EC041D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34B66228"/>
    <w:multiLevelType w:val="hybridMultilevel"/>
    <w:tmpl w:val="C8C4863A"/>
    <w:lvl w:ilvl="0" w:tplc="5E5C74CA">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36481F5A"/>
    <w:multiLevelType w:val="hybridMultilevel"/>
    <w:tmpl w:val="D44CFD7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36C03504"/>
    <w:multiLevelType w:val="hybridMultilevel"/>
    <w:tmpl w:val="34A29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5D5E1D"/>
    <w:multiLevelType w:val="hybridMultilevel"/>
    <w:tmpl w:val="62A85BE8"/>
    <w:lvl w:ilvl="0" w:tplc="7D36ED48">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E7C5994"/>
    <w:multiLevelType w:val="hybridMultilevel"/>
    <w:tmpl w:val="B3D6C160"/>
    <w:lvl w:ilvl="0" w:tplc="EE340186">
      <w:start w:val="1"/>
      <w:numFmt w:val="lowerLetter"/>
      <w:lvlText w:val="%1)"/>
      <w:lvlJc w:val="left"/>
      <w:pPr>
        <w:ind w:left="644" w:hanging="360"/>
      </w:pPr>
      <w:rPr>
        <w:rFonts w:eastAsiaTheme="minorHAnsi"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400545B2"/>
    <w:multiLevelType w:val="hybridMultilevel"/>
    <w:tmpl w:val="20F0DA1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45D415E7"/>
    <w:multiLevelType w:val="hybridMultilevel"/>
    <w:tmpl w:val="34A29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091D65"/>
    <w:multiLevelType w:val="hybridMultilevel"/>
    <w:tmpl w:val="20E2C3D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2F2BA8"/>
    <w:multiLevelType w:val="hybridMultilevel"/>
    <w:tmpl w:val="91D402EC"/>
    <w:lvl w:ilvl="0" w:tplc="7CDC95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9440695"/>
    <w:multiLevelType w:val="hybridMultilevel"/>
    <w:tmpl w:val="6B1478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4C837E4F"/>
    <w:multiLevelType w:val="hybridMultilevel"/>
    <w:tmpl w:val="F34C4184"/>
    <w:lvl w:ilvl="0" w:tplc="3D6CEB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4D3E7DBE"/>
    <w:multiLevelType w:val="hybridMultilevel"/>
    <w:tmpl w:val="80D4D34E"/>
    <w:lvl w:ilvl="0" w:tplc="F0AEF7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4D7E1432"/>
    <w:multiLevelType w:val="hybridMultilevel"/>
    <w:tmpl w:val="DE3C5B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4E0300F7"/>
    <w:multiLevelType w:val="hybridMultilevel"/>
    <w:tmpl w:val="BDD07344"/>
    <w:lvl w:ilvl="0" w:tplc="DDB63D7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4F4B280A"/>
    <w:multiLevelType w:val="hybridMultilevel"/>
    <w:tmpl w:val="EDAEC60A"/>
    <w:lvl w:ilvl="0" w:tplc="29421B6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5031304C"/>
    <w:multiLevelType w:val="hybridMultilevel"/>
    <w:tmpl w:val="2400931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51266A61"/>
    <w:multiLevelType w:val="hybridMultilevel"/>
    <w:tmpl w:val="34A29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B64B0E"/>
    <w:multiLevelType w:val="hybridMultilevel"/>
    <w:tmpl w:val="5F6E7F4A"/>
    <w:lvl w:ilvl="0" w:tplc="BE80CD10">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68D1BED"/>
    <w:multiLevelType w:val="hybridMultilevel"/>
    <w:tmpl w:val="35AA22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5826BF"/>
    <w:multiLevelType w:val="hybridMultilevel"/>
    <w:tmpl w:val="22F8E7C0"/>
    <w:lvl w:ilvl="0" w:tplc="316459D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630A419F"/>
    <w:multiLevelType w:val="hybridMultilevel"/>
    <w:tmpl w:val="F87A14AA"/>
    <w:lvl w:ilvl="0" w:tplc="4BB2702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nsid w:val="6A726738"/>
    <w:multiLevelType w:val="hybridMultilevel"/>
    <w:tmpl w:val="3B62A9F2"/>
    <w:lvl w:ilvl="0" w:tplc="8508F40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6BEB587B"/>
    <w:multiLevelType w:val="hybridMultilevel"/>
    <w:tmpl w:val="497A54D2"/>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72F446D8"/>
    <w:multiLevelType w:val="hybridMultilevel"/>
    <w:tmpl w:val="158AA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30F58D7"/>
    <w:multiLevelType w:val="hybridMultilevel"/>
    <w:tmpl w:val="34A29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E3F08EC"/>
    <w:multiLevelType w:val="hybridMultilevel"/>
    <w:tmpl w:val="DE2604DC"/>
    <w:lvl w:ilvl="0" w:tplc="F2DED7E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7"/>
  </w:num>
  <w:num w:numId="2">
    <w:abstractNumId w:val="1"/>
  </w:num>
  <w:num w:numId="3">
    <w:abstractNumId w:val="13"/>
  </w:num>
  <w:num w:numId="4">
    <w:abstractNumId w:val="2"/>
  </w:num>
  <w:num w:numId="5">
    <w:abstractNumId w:val="30"/>
  </w:num>
  <w:num w:numId="6">
    <w:abstractNumId w:val="18"/>
  </w:num>
  <w:num w:numId="7">
    <w:abstractNumId w:val="15"/>
  </w:num>
  <w:num w:numId="8">
    <w:abstractNumId w:val="29"/>
  </w:num>
  <w:num w:numId="9">
    <w:abstractNumId w:val="24"/>
  </w:num>
  <w:num w:numId="10">
    <w:abstractNumId w:val="14"/>
  </w:num>
  <w:num w:numId="11">
    <w:abstractNumId w:val="11"/>
  </w:num>
  <w:num w:numId="12">
    <w:abstractNumId w:val="0"/>
  </w:num>
  <w:num w:numId="13">
    <w:abstractNumId w:val="7"/>
  </w:num>
  <w:num w:numId="14">
    <w:abstractNumId w:val="20"/>
  </w:num>
  <w:num w:numId="15">
    <w:abstractNumId w:val="12"/>
  </w:num>
  <w:num w:numId="16">
    <w:abstractNumId w:val="31"/>
  </w:num>
  <w:num w:numId="17">
    <w:abstractNumId w:val="3"/>
  </w:num>
  <w:num w:numId="18">
    <w:abstractNumId w:val="8"/>
  </w:num>
  <w:num w:numId="19">
    <w:abstractNumId w:val="22"/>
  </w:num>
  <w:num w:numId="20">
    <w:abstractNumId w:val="16"/>
  </w:num>
  <w:num w:numId="21">
    <w:abstractNumId w:val="6"/>
  </w:num>
  <w:num w:numId="22">
    <w:abstractNumId w:val="9"/>
  </w:num>
  <w:num w:numId="23">
    <w:abstractNumId w:val="32"/>
  </w:num>
  <w:num w:numId="24">
    <w:abstractNumId w:val="21"/>
  </w:num>
  <w:num w:numId="25">
    <w:abstractNumId w:val="28"/>
  </w:num>
  <w:num w:numId="26">
    <w:abstractNumId w:val="17"/>
  </w:num>
  <w:num w:numId="27">
    <w:abstractNumId w:val="5"/>
  </w:num>
  <w:num w:numId="28">
    <w:abstractNumId w:val="23"/>
  </w:num>
  <w:num w:numId="29">
    <w:abstractNumId w:val="26"/>
  </w:num>
  <w:num w:numId="30">
    <w:abstractNumId w:val="25"/>
  </w:num>
  <w:num w:numId="31">
    <w:abstractNumId w:val="4"/>
  </w:num>
  <w:num w:numId="32">
    <w:abstractNumId w:val="19"/>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93"/>
    <w:rsid w:val="000019D8"/>
    <w:rsid w:val="00002542"/>
    <w:rsid w:val="00004620"/>
    <w:rsid w:val="00005918"/>
    <w:rsid w:val="00006736"/>
    <w:rsid w:val="00006A97"/>
    <w:rsid w:val="00010FE9"/>
    <w:rsid w:val="0001123B"/>
    <w:rsid w:val="00012A7F"/>
    <w:rsid w:val="0001366B"/>
    <w:rsid w:val="00015A31"/>
    <w:rsid w:val="00017008"/>
    <w:rsid w:val="00017A3A"/>
    <w:rsid w:val="00017CE4"/>
    <w:rsid w:val="00022E16"/>
    <w:rsid w:val="00023AB9"/>
    <w:rsid w:val="000251B5"/>
    <w:rsid w:val="000340C9"/>
    <w:rsid w:val="000359BC"/>
    <w:rsid w:val="00036E42"/>
    <w:rsid w:val="0004099E"/>
    <w:rsid w:val="00042563"/>
    <w:rsid w:val="0004373B"/>
    <w:rsid w:val="000448FA"/>
    <w:rsid w:val="00045D36"/>
    <w:rsid w:val="000506C7"/>
    <w:rsid w:val="0005098E"/>
    <w:rsid w:val="0005168E"/>
    <w:rsid w:val="00051E18"/>
    <w:rsid w:val="00053A42"/>
    <w:rsid w:val="0005517D"/>
    <w:rsid w:val="00056C71"/>
    <w:rsid w:val="0006057A"/>
    <w:rsid w:val="000608A1"/>
    <w:rsid w:val="0006133D"/>
    <w:rsid w:val="00063585"/>
    <w:rsid w:val="000671B4"/>
    <w:rsid w:val="00070A90"/>
    <w:rsid w:val="00071CD0"/>
    <w:rsid w:val="00075692"/>
    <w:rsid w:val="000757EC"/>
    <w:rsid w:val="00080B3D"/>
    <w:rsid w:val="00084224"/>
    <w:rsid w:val="00087543"/>
    <w:rsid w:val="00087B8D"/>
    <w:rsid w:val="0009072D"/>
    <w:rsid w:val="000915BC"/>
    <w:rsid w:val="00093D67"/>
    <w:rsid w:val="00093E60"/>
    <w:rsid w:val="0009569B"/>
    <w:rsid w:val="0009672A"/>
    <w:rsid w:val="0009739B"/>
    <w:rsid w:val="00097C28"/>
    <w:rsid w:val="000A18B7"/>
    <w:rsid w:val="000A1AC5"/>
    <w:rsid w:val="000A2BB3"/>
    <w:rsid w:val="000A2C1E"/>
    <w:rsid w:val="000A4697"/>
    <w:rsid w:val="000A6322"/>
    <w:rsid w:val="000B158A"/>
    <w:rsid w:val="000B2728"/>
    <w:rsid w:val="000B3943"/>
    <w:rsid w:val="000B4477"/>
    <w:rsid w:val="000B496F"/>
    <w:rsid w:val="000B5037"/>
    <w:rsid w:val="000B5F1E"/>
    <w:rsid w:val="000B62C5"/>
    <w:rsid w:val="000B684B"/>
    <w:rsid w:val="000C0704"/>
    <w:rsid w:val="000C2B07"/>
    <w:rsid w:val="000C39CC"/>
    <w:rsid w:val="000C4002"/>
    <w:rsid w:val="000C7566"/>
    <w:rsid w:val="000C79E0"/>
    <w:rsid w:val="000D13E7"/>
    <w:rsid w:val="000D1758"/>
    <w:rsid w:val="000D188E"/>
    <w:rsid w:val="000D1DB3"/>
    <w:rsid w:val="000D39C8"/>
    <w:rsid w:val="000D5335"/>
    <w:rsid w:val="000E0E15"/>
    <w:rsid w:val="000E1A3E"/>
    <w:rsid w:val="000E1E9C"/>
    <w:rsid w:val="000E54F4"/>
    <w:rsid w:val="000E5FC0"/>
    <w:rsid w:val="000E63B3"/>
    <w:rsid w:val="000E6573"/>
    <w:rsid w:val="000E7B86"/>
    <w:rsid w:val="000F1B2C"/>
    <w:rsid w:val="000F2B66"/>
    <w:rsid w:val="000F3D83"/>
    <w:rsid w:val="000F6FB5"/>
    <w:rsid w:val="001004D0"/>
    <w:rsid w:val="00100F12"/>
    <w:rsid w:val="0010130A"/>
    <w:rsid w:val="00102BB7"/>
    <w:rsid w:val="00102DA7"/>
    <w:rsid w:val="00103589"/>
    <w:rsid w:val="00104070"/>
    <w:rsid w:val="001045C9"/>
    <w:rsid w:val="00105D38"/>
    <w:rsid w:val="00107B6D"/>
    <w:rsid w:val="00107CC1"/>
    <w:rsid w:val="001117DC"/>
    <w:rsid w:val="00111A92"/>
    <w:rsid w:val="001136DF"/>
    <w:rsid w:val="001145C3"/>
    <w:rsid w:val="0011619B"/>
    <w:rsid w:val="001161D2"/>
    <w:rsid w:val="0012268E"/>
    <w:rsid w:val="00122C02"/>
    <w:rsid w:val="0012320A"/>
    <w:rsid w:val="00126322"/>
    <w:rsid w:val="00126E1A"/>
    <w:rsid w:val="00131B2C"/>
    <w:rsid w:val="00131DF1"/>
    <w:rsid w:val="00132C38"/>
    <w:rsid w:val="00132F76"/>
    <w:rsid w:val="00133984"/>
    <w:rsid w:val="0013528B"/>
    <w:rsid w:val="001364E0"/>
    <w:rsid w:val="001365C4"/>
    <w:rsid w:val="00136E0E"/>
    <w:rsid w:val="0014118E"/>
    <w:rsid w:val="0014147D"/>
    <w:rsid w:val="00141D29"/>
    <w:rsid w:val="001421AC"/>
    <w:rsid w:val="00142BCE"/>
    <w:rsid w:val="00144ED3"/>
    <w:rsid w:val="00144EFE"/>
    <w:rsid w:val="0014506A"/>
    <w:rsid w:val="001460F6"/>
    <w:rsid w:val="0014728F"/>
    <w:rsid w:val="001521A2"/>
    <w:rsid w:val="00152358"/>
    <w:rsid w:val="00155BFF"/>
    <w:rsid w:val="00157C2D"/>
    <w:rsid w:val="00157CA3"/>
    <w:rsid w:val="00160E5F"/>
    <w:rsid w:val="00160F66"/>
    <w:rsid w:val="001623E1"/>
    <w:rsid w:val="001633AF"/>
    <w:rsid w:val="00164537"/>
    <w:rsid w:val="00165908"/>
    <w:rsid w:val="00166A6C"/>
    <w:rsid w:val="0017115B"/>
    <w:rsid w:val="00173399"/>
    <w:rsid w:val="00173EDD"/>
    <w:rsid w:val="0017402B"/>
    <w:rsid w:val="00181D37"/>
    <w:rsid w:val="001835B7"/>
    <w:rsid w:val="0018426B"/>
    <w:rsid w:val="00184A55"/>
    <w:rsid w:val="0018562E"/>
    <w:rsid w:val="00185A37"/>
    <w:rsid w:val="0018676B"/>
    <w:rsid w:val="001917ED"/>
    <w:rsid w:val="00191895"/>
    <w:rsid w:val="00191C99"/>
    <w:rsid w:val="00192F3A"/>
    <w:rsid w:val="00194097"/>
    <w:rsid w:val="00194309"/>
    <w:rsid w:val="00194540"/>
    <w:rsid w:val="0019660E"/>
    <w:rsid w:val="001A0244"/>
    <w:rsid w:val="001A2326"/>
    <w:rsid w:val="001A4F64"/>
    <w:rsid w:val="001B0D0E"/>
    <w:rsid w:val="001B0DC2"/>
    <w:rsid w:val="001B147A"/>
    <w:rsid w:val="001B343F"/>
    <w:rsid w:val="001B39E2"/>
    <w:rsid w:val="001C14F6"/>
    <w:rsid w:val="001C2B26"/>
    <w:rsid w:val="001C3A32"/>
    <w:rsid w:val="001C5D1C"/>
    <w:rsid w:val="001D14DC"/>
    <w:rsid w:val="001D25C6"/>
    <w:rsid w:val="001D4F09"/>
    <w:rsid w:val="001D585C"/>
    <w:rsid w:val="001E61D3"/>
    <w:rsid w:val="001E6D42"/>
    <w:rsid w:val="001E7D8D"/>
    <w:rsid w:val="001F0570"/>
    <w:rsid w:val="001F1482"/>
    <w:rsid w:val="001F20D7"/>
    <w:rsid w:val="001F2493"/>
    <w:rsid w:val="001F497E"/>
    <w:rsid w:val="001F5F90"/>
    <w:rsid w:val="001F6CBB"/>
    <w:rsid w:val="001F7744"/>
    <w:rsid w:val="002014EB"/>
    <w:rsid w:val="00201E9B"/>
    <w:rsid w:val="002021CF"/>
    <w:rsid w:val="00202B1A"/>
    <w:rsid w:val="00203635"/>
    <w:rsid w:val="00204979"/>
    <w:rsid w:val="00204D89"/>
    <w:rsid w:val="00204DA6"/>
    <w:rsid w:val="00206D5E"/>
    <w:rsid w:val="00207099"/>
    <w:rsid w:val="0021004C"/>
    <w:rsid w:val="00211D69"/>
    <w:rsid w:val="00213211"/>
    <w:rsid w:val="00216C49"/>
    <w:rsid w:val="002172DB"/>
    <w:rsid w:val="002179DB"/>
    <w:rsid w:val="00220802"/>
    <w:rsid w:val="00221154"/>
    <w:rsid w:val="00223E86"/>
    <w:rsid w:val="00225785"/>
    <w:rsid w:val="00226CAD"/>
    <w:rsid w:val="00227E48"/>
    <w:rsid w:val="00230577"/>
    <w:rsid w:val="00230985"/>
    <w:rsid w:val="0023209D"/>
    <w:rsid w:val="00232925"/>
    <w:rsid w:val="002333F8"/>
    <w:rsid w:val="00233D79"/>
    <w:rsid w:val="00237657"/>
    <w:rsid w:val="0023787B"/>
    <w:rsid w:val="00237B81"/>
    <w:rsid w:val="0024131B"/>
    <w:rsid w:val="00242BA7"/>
    <w:rsid w:val="0024328E"/>
    <w:rsid w:val="002437B5"/>
    <w:rsid w:val="00244EF1"/>
    <w:rsid w:val="00244F3D"/>
    <w:rsid w:val="0024648B"/>
    <w:rsid w:val="00246F21"/>
    <w:rsid w:val="0025202A"/>
    <w:rsid w:val="002531B9"/>
    <w:rsid w:val="00253280"/>
    <w:rsid w:val="00253E78"/>
    <w:rsid w:val="00254B41"/>
    <w:rsid w:val="00255CB5"/>
    <w:rsid w:val="00257DDA"/>
    <w:rsid w:val="00257F4B"/>
    <w:rsid w:val="0026022C"/>
    <w:rsid w:val="00261341"/>
    <w:rsid w:val="00262C3C"/>
    <w:rsid w:val="00262C65"/>
    <w:rsid w:val="002634CD"/>
    <w:rsid w:val="00263A5F"/>
    <w:rsid w:val="00264C88"/>
    <w:rsid w:val="0026532C"/>
    <w:rsid w:val="0026575D"/>
    <w:rsid w:val="002675C9"/>
    <w:rsid w:val="002705B0"/>
    <w:rsid w:val="002717A6"/>
    <w:rsid w:val="00272015"/>
    <w:rsid w:val="002726B7"/>
    <w:rsid w:val="00273C10"/>
    <w:rsid w:val="00274B4C"/>
    <w:rsid w:val="00274CEA"/>
    <w:rsid w:val="00276264"/>
    <w:rsid w:val="00277040"/>
    <w:rsid w:val="00277213"/>
    <w:rsid w:val="00277FAA"/>
    <w:rsid w:val="00281DCA"/>
    <w:rsid w:val="0028212D"/>
    <w:rsid w:val="002834AC"/>
    <w:rsid w:val="00290DE5"/>
    <w:rsid w:val="002940A8"/>
    <w:rsid w:val="00297B04"/>
    <w:rsid w:val="00297CC8"/>
    <w:rsid w:val="002A056C"/>
    <w:rsid w:val="002A42AD"/>
    <w:rsid w:val="002A6555"/>
    <w:rsid w:val="002A66A5"/>
    <w:rsid w:val="002A6AA1"/>
    <w:rsid w:val="002A6EBB"/>
    <w:rsid w:val="002A7200"/>
    <w:rsid w:val="002A770F"/>
    <w:rsid w:val="002B0D33"/>
    <w:rsid w:val="002B21E9"/>
    <w:rsid w:val="002B2B87"/>
    <w:rsid w:val="002B4E0F"/>
    <w:rsid w:val="002B5754"/>
    <w:rsid w:val="002B7253"/>
    <w:rsid w:val="002B7C1F"/>
    <w:rsid w:val="002C1683"/>
    <w:rsid w:val="002C20D3"/>
    <w:rsid w:val="002C58A0"/>
    <w:rsid w:val="002C61E2"/>
    <w:rsid w:val="002C628F"/>
    <w:rsid w:val="002C7026"/>
    <w:rsid w:val="002C7E08"/>
    <w:rsid w:val="002D089F"/>
    <w:rsid w:val="002D15D3"/>
    <w:rsid w:val="002D5635"/>
    <w:rsid w:val="002D5C97"/>
    <w:rsid w:val="002D654D"/>
    <w:rsid w:val="002D65E8"/>
    <w:rsid w:val="002D7D32"/>
    <w:rsid w:val="002E02E5"/>
    <w:rsid w:val="002E0478"/>
    <w:rsid w:val="002E0791"/>
    <w:rsid w:val="002E1B92"/>
    <w:rsid w:val="002E2236"/>
    <w:rsid w:val="002E30FE"/>
    <w:rsid w:val="002E4C1E"/>
    <w:rsid w:val="002E4E5E"/>
    <w:rsid w:val="002E7B81"/>
    <w:rsid w:val="002F09FB"/>
    <w:rsid w:val="002F0FE3"/>
    <w:rsid w:val="002F12E3"/>
    <w:rsid w:val="002F1AF0"/>
    <w:rsid w:val="002F2530"/>
    <w:rsid w:val="002F272A"/>
    <w:rsid w:val="002F3225"/>
    <w:rsid w:val="002F3DE2"/>
    <w:rsid w:val="002F51FB"/>
    <w:rsid w:val="002F53B4"/>
    <w:rsid w:val="002F5514"/>
    <w:rsid w:val="002F5D83"/>
    <w:rsid w:val="002F76D6"/>
    <w:rsid w:val="00302248"/>
    <w:rsid w:val="00303506"/>
    <w:rsid w:val="00304B01"/>
    <w:rsid w:val="00307057"/>
    <w:rsid w:val="003102C8"/>
    <w:rsid w:val="003110F1"/>
    <w:rsid w:val="003114EF"/>
    <w:rsid w:val="00312505"/>
    <w:rsid w:val="00312819"/>
    <w:rsid w:val="00312E9C"/>
    <w:rsid w:val="00313875"/>
    <w:rsid w:val="00317FEF"/>
    <w:rsid w:val="003203BF"/>
    <w:rsid w:val="00321369"/>
    <w:rsid w:val="003214CC"/>
    <w:rsid w:val="003218D5"/>
    <w:rsid w:val="00321A6B"/>
    <w:rsid w:val="0032437F"/>
    <w:rsid w:val="00330787"/>
    <w:rsid w:val="00332F86"/>
    <w:rsid w:val="00334690"/>
    <w:rsid w:val="00337493"/>
    <w:rsid w:val="00337A06"/>
    <w:rsid w:val="00341488"/>
    <w:rsid w:val="0034285F"/>
    <w:rsid w:val="003452AB"/>
    <w:rsid w:val="00345988"/>
    <w:rsid w:val="003464A4"/>
    <w:rsid w:val="00346565"/>
    <w:rsid w:val="00351684"/>
    <w:rsid w:val="00353085"/>
    <w:rsid w:val="00354458"/>
    <w:rsid w:val="0035621C"/>
    <w:rsid w:val="00356313"/>
    <w:rsid w:val="00357253"/>
    <w:rsid w:val="00360ADD"/>
    <w:rsid w:val="00361933"/>
    <w:rsid w:val="00361EDC"/>
    <w:rsid w:val="00363653"/>
    <w:rsid w:val="00363796"/>
    <w:rsid w:val="0036509D"/>
    <w:rsid w:val="0037134C"/>
    <w:rsid w:val="0037183D"/>
    <w:rsid w:val="0037228C"/>
    <w:rsid w:val="003738FD"/>
    <w:rsid w:val="00373F5A"/>
    <w:rsid w:val="00374B34"/>
    <w:rsid w:val="00380CDB"/>
    <w:rsid w:val="003810BE"/>
    <w:rsid w:val="003817D4"/>
    <w:rsid w:val="0038244F"/>
    <w:rsid w:val="003825C2"/>
    <w:rsid w:val="00384E8E"/>
    <w:rsid w:val="00385147"/>
    <w:rsid w:val="0038593D"/>
    <w:rsid w:val="00386F6C"/>
    <w:rsid w:val="00387709"/>
    <w:rsid w:val="00387794"/>
    <w:rsid w:val="00390729"/>
    <w:rsid w:val="0039286F"/>
    <w:rsid w:val="00396288"/>
    <w:rsid w:val="00397162"/>
    <w:rsid w:val="00397510"/>
    <w:rsid w:val="003A0021"/>
    <w:rsid w:val="003A143E"/>
    <w:rsid w:val="003A23E5"/>
    <w:rsid w:val="003A335E"/>
    <w:rsid w:val="003A3DD2"/>
    <w:rsid w:val="003A7131"/>
    <w:rsid w:val="003B1B27"/>
    <w:rsid w:val="003B26B9"/>
    <w:rsid w:val="003B3573"/>
    <w:rsid w:val="003B5813"/>
    <w:rsid w:val="003C03EA"/>
    <w:rsid w:val="003C196B"/>
    <w:rsid w:val="003C53CD"/>
    <w:rsid w:val="003C5E5A"/>
    <w:rsid w:val="003C6E1D"/>
    <w:rsid w:val="003D058C"/>
    <w:rsid w:val="003D0DE5"/>
    <w:rsid w:val="003D103F"/>
    <w:rsid w:val="003D1559"/>
    <w:rsid w:val="003D214E"/>
    <w:rsid w:val="003D3D6D"/>
    <w:rsid w:val="003D6F0C"/>
    <w:rsid w:val="003D76B1"/>
    <w:rsid w:val="003E0634"/>
    <w:rsid w:val="003E17A6"/>
    <w:rsid w:val="003E2507"/>
    <w:rsid w:val="003E305C"/>
    <w:rsid w:val="003E4AA5"/>
    <w:rsid w:val="003E5BA9"/>
    <w:rsid w:val="003E6037"/>
    <w:rsid w:val="003E747D"/>
    <w:rsid w:val="003F1CEC"/>
    <w:rsid w:val="003F32F3"/>
    <w:rsid w:val="003F43BF"/>
    <w:rsid w:val="003F53DB"/>
    <w:rsid w:val="003F6BE4"/>
    <w:rsid w:val="004007B0"/>
    <w:rsid w:val="00402509"/>
    <w:rsid w:val="004026C7"/>
    <w:rsid w:val="00403CF8"/>
    <w:rsid w:val="004057CA"/>
    <w:rsid w:val="00407459"/>
    <w:rsid w:val="00410CA6"/>
    <w:rsid w:val="00414D01"/>
    <w:rsid w:val="00415E68"/>
    <w:rsid w:val="00416407"/>
    <w:rsid w:val="0041674D"/>
    <w:rsid w:val="004170FE"/>
    <w:rsid w:val="00417B1C"/>
    <w:rsid w:val="004209E6"/>
    <w:rsid w:val="0042324B"/>
    <w:rsid w:val="004234E8"/>
    <w:rsid w:val="00426805"/>
    <w:rsid w:val="00430150"/>
    <w:rsid w:val="004302F9"/>
    <w:rsid w:val="0043085D"/>
    <w:rsid w:val="0043229B"/>
    <w:rsid w:val="00432D48"/>
    <w:rsid w:val="00435287"/>
    <w:rsid w:val="00435647"/>
    <w:rsid w:val="004365D2"/>
    <w:rsid w:val="0043715D"/>
    <w:rsid w:val="00437689"/>
    <w:rsid w:val="00440A22"/>
    <w:rsid w:val="004415C5"/>
    <w:rsid w:val="00443457"/>
    <w:rsid w:val="0044452D"/>
    <w:rsid w:val="004529AE"/>
    <w:rsid w:val="0045550E"/>
    <w:rsid w:val="00456456"/>
    <w:rsid w:val="00462367"/>
    <w:rsid w:val="0046297B"/>
    <w:rsid w:val="00463E95"/>
    <w:rsid w:val="0046490C"/>
    <w:rsid w:val="00467AA9"/>
    <w:rsid w:val="00470287"/>
    <w:rsid w:val="00470674"/>
    <w:rsid w:val="00470733"/>
    <w:rsid w:val="0047317F"/>
    <w:rsid w:val="0047675F"/>
    <w:rsid w:val="0047695E"/>
    <w:rsid w:val="00477498"/>
    <w:rsid w:val="00477C53"/>
    <w:rsid w:val="0048241D"/>
    <w:rsid w:val="00482E79"/>
    <w:rsid w:val="00485380"/>
    <w:rsid w:val="004937DE"/>
    <w:rsid w:val="00493A4F"/>
    <w:rsid w:val="00493D87"/>
    <w:rsid w:val="004943F8"/>
    <w:rsid w:val="004945C3"/>
    <w:rsid w:val="004950D4"/>
    <w:rsid w:val="00496997"/>
    <w:rsid w:val="004A0506"/>
    <w:rsid w:val="004A2342"/>
    <w:rsid w:val="004A2F62"/>
    <w:rsid w:val="004B0A40"/>
    <w:rsid w:val="004B1DB8"/>
    <w:rsid w:val="004B2F01"/>
    <w:rsid w:val="004B4182"/>
    <w:rsid w:val="004B4538"/>
    <w:rsid w:val="004B58D4"/>
    <w:rsid w:val="004B6733"/>
    <w:rsid w:val="004B6FB6"/>
    <w:rsid w:val="004B6FDC"/>
    <w:rsid w:val="004B786F"/>
    <w:rsid w:val="004B7E4C"/>
    <w:rsid w:val="004C08B5"/>
    <w:rsid w:val="004C2A76"/>
    <w:rsid w:val="004C3423"/>
    <w:rsid w:val="004C571D"/>
    <w:rsid w:val="004C5B32"/>
    <w:rsid w:val="004C634B"/>
    <w:rsid w:val="004C70D2"/>
    <w:rsid w:val="004D2EB0"/>
    <w:rsid w:val="004D35A2"/>
    <w:rsid w:val="004D5FD1"/>
    <w:rsid w:val="004E4F0E"/>
    <w:rsid w:val="004E5F1C"/>
    <w:rsid w:val="004E641E"/>
    <w:rsid w:val="004F2A74"/>
    <w:rsid w:val="004F44CD"/>
    <w:rsid w:val="004F527D"/>
    <w:rsid w:val="004F7C93"/>
    <w:rsid w:val="00502796"/>
    <w:rsid w:val="00502C93"/>
    <w:rsid w:val="005034A6"/>
    <w:rsid w:val="00506105"/>
    <w:rsid w:val="00506E38"/>
    <w:rsid w:val="00513162"/>
    <w:rsid w:val="0051430C"/>
    <w:rsid w:val="005171FB"/>
    <w:rsid w:val="00523F91"/>
    <w:rsid w:val="00524597"/>
    <w:rsid w:val="00524DC4"/>
    <w:rsid w:val="00525809"/>
    <w:rsid w:val="005266E0"/>
    <w:rsid w:val="00533F95"/>
    <w:rsid w:val="00535130"/>
    <w:rsid w:val="005364EA"/>
    <w:rsid w:val="00537302"/>
    <w:rsid w:val="00537649"/>
    <w:rsid w:val="005411CA"/>
    <w:rsid w:val="00542449"/>
    <w:rsid w:val="00546EAD"/>
    <w:rsid w:val="00547823"/>
    <w:rsid w:val="00551028"/>
    <w:rsid w:val="0055174B"/>
    <w:rsid w:val="005541C9"/>
    <w:rsid w:val="00554AF8"/>
    <w:rsid w:val="00555509"/>
    <w:rsid w:val="00561278"/>
    <w:rsid w:val="0056162A"/>
    <w:rsid w:val="00561C5B"/>
    <w:rsid w:val="00561D47"/>
    <w:rsid w:val="00563DBA"/>
    <w:rsid w:val="00564F2D"/>
    <w:rsid w:val="00565665"/>
    <w:rsid w:val="00565938"/>
    <w:rsid w:val="00565F40"/>
    <w:rsid w:val="00566CDA"/>
    <w:rsid w:val="0056727E"/>
    <w:rsid w:val="00567BA6"/>
    <w:rsid w:val="00567C9C"/>
    <w:rsid w:val="00570033"/>
    <w:rsid w:val="00570147"/>
    <w:rsid w:val="00570934"/>
    <w:rsid w:val="005717B1"/>
    <w:rsid w:val="0057307E"/>
    <w:rsid w:val="00573615"/>
    <w:rsid w:val="005739A5"/>
    <w:rsid w:val="00573A4C"/>
    <w:rsid w:val="00574B79"/>
    <w:rsid w:val="00574D12"/>
    <w:rsid w:val="00575FD3"/>
    <w:rsid w:val="00576A6E"/>
    <w:rsid w:val="005800B4"/>
    <w:rsid w:val="0058070B"/>
    <w:rsid w:val="0058296F"/>
    <w:rsid w:val="00585F71"/>
    <w:rsid w:val="00586C20"/>
    <w:rsid w:val="00591822"/>
    <w:rsid w:val="0059369A"/>
    <w:rsid w:val="00595E80"/>
    <w:rsid w:val="00595FBB"/>
    <w:rsid w:val="0059650E"/>
    <w:rsid w:val="00596953"/>
    <w:rsid w:val="0059785D"/>
    <w:rsid w:val="005A4E38"/>
    <w:rsid w:val="005A6030"/>
    <w:rsid w:val="005A6C2C"/>
    <w:rsid w:val="005B2F9C"/>
    <w:rsid w:val="005B57AD"/>
    <w:rsid w:val="005B65CE"/>
    <w:rsid w:val="005B722E"/>
    <w:rsid w:val="005B7561"/>
    <w:rsid w:val="005C02FE"/>
    <w:rsid w:val="005C0934"/>
    <w:rsid w:val="005C0F0E"/>
    <w:rsid w:val="005C1891"/>
    <w:rsid w:val="005C2BFF"/>
    <w:rsid w:val="005C32DE"/>
    <w:rsid w:val="005C39F9"/>
    <w:rsid w:val="005C4447"/>
    <w:rsid w:val="005C50AC"/>
    <w:rsid w:val="005C6406"/>
    <w:rsid w:val="005C78F0"/>
    <w:rsid w:val="005D0D45"/>
    <w:rsid w:val="005D119A"/>
    <w:rsid w:val="005D2942"/>
    <w:rsid w:val="005D2BC6"/>
    <w:rsid w:val="005D5366"/>
    <w:rsid w:val="005D5FB1"/>
    <w:rsid w:val="005D64F8"/>
    <w:rsid w:val="005D69D1"/>
    <w:rsid w:val="005E2092"/>
    <w:rsid w:val="005E210D"/>
    <w:rsid w:val="005E2DA4"/>
    <w:rsid w:val="005F2425"/>
    <w:rsid w:val="005F2DBE"/>
    <w:rsid w:val="005F466E"/>
    <w:rsid w:val="005F5EC7"/>
    <w:rsid w:val="005F602D"/>
    <w:rsid w:val="005F7207"/>
    <w:rsid w:val="005F7FA6"/>
    <w:rsid w:val="005F7FCF"/>
    <w:rsid w:val="006027D2"/>
    <w:rsid w:val="00603F97"/>
    <w:rsid w:val="00607691"/>
    <w:rsid w:val="00607F5E"/>
    <w:rsid w:val="0061062C"/>
    <w:rsid w:val="00612C33"/>
    <w:rsid w:val="00612D36"/>
    <w:rsid w:val="00613026"/>
    <w:rsid w:val="00613183"/>
    <w:rsid w:val="006133F0"/>
    <w:rsid w:val="00613FA1"/>
    <w:rsid w:val="00616888"/>
    <w:rsid w:val="006176BE"/>
    <w:rsid w:val="0062021F"/>
    <w:rsid w:val="006212CB"/>
    <w:rsid w:val="00625294"/>
    <w:rsid w:val="00626CCB"/>
    <w:rsid w:val="006279F9"/>
    <w:rsid w:val="00627E79"/>
    <w:rsid w:val="00630D9A"/>
    <w:rsid w:val="006310FF"/>
    <w:rsid w:val="00632649"/>
    <w:rsid w:val="00632DF6"/>
    <w:rsid w:val="00633005"/>
    <w:rsid w:val="00634015"/>
    <w:rsid w:val="006369EE"/>
    <w:rsid w:val="0064167A"/>
    <w:rsid w:val="00642E51"/>
    <w:rsid w:val="0064700E"/>
    <w:rsid w:val="00650183"/>
    <w:rsid w:val="00650677"/>
    <w:rsid w:val="00651C65"/>
    <w:rsid w:val="00652A5E"/>
    <w:rsid w:val="00652EAC"/>
    <w:rsid w:val="00654AA1"/>
    <w:rsid w:val="00657A47"/>
    <w:rsid w:val="00661202"/>
    <w:rsid w:val="00663193"/>
    <w:rsid w:val="006631CF"/>
    <w:rsid w:val="0066727E"/>
    <w:rsid w:val="0067259E"/>
    <w:rsid w:val="006736A9"/>
    <w:rsid w:val="00673BC7"/>
    <w:rsid w:val="00673EB0"/>
    <w:rsid w:val="0067466E"/>
    <w:rsid w:val="00674975"/>
    <w:rsid w:val="00675D39"/>
    <w:rsid w:val="00681748"/>
    <w:rsid w:val="00684415"/>
    <w:rsid w:val="0068560B"/>
    <w:rsid w:val="00687C85"/>
    <w:rsid w:val="00690300"/>
    <w:rsid w:val="00690468"/>
    <w:rsid w:val="00692BE4"/>
    <w:rsid w:val="00697849"/>
    <w:rsid w:val="006A0265"/>
    <w:rsid w:val="006A1087"/>
    <w:rsid w:val="006A1277"/>
    <w:rsid w:val="006A2602"/>
    <w:rsid w:val="006A2D41"/>
    <w:rsid w:val="006A2DC9"/>
    <w:rsid w:val="006A4531"/>
    <w:rsid w:val="006A67E1"/>
    <w:rsid w:val="006B0335"/>
    <w:rsid w:val="006B4B31"/>
    <w:rsid w:val="006C36FB"/>
    <w:rsid w:val="006C5E10"/>
    <w:rsid w:val="006C7D62"/>
    <w:rsid w:val="006D0B23"/>
    <w:rsid w:val="006D0CCD"/>
    <w:rsid w:val="006D0F4F"/>
    <w:rsid w:val="006D140F"/>
    <w:rsid w:val="006D2D50"/>
    <w:rsid w:val="006D2ED6"/>
    <w:rsid w:val="006D5685"/>
    <w:rsid w:val="006E1987"/>
    <w:rsid w:val="006E23B2"/>
    <w:rsid w:val="006E26D6"/>
    <w:rsid w:val="006E3417"/>
    <w:rsid w:val="006E355F"/>
    <w:rsid w:val="006E3B05"/>
    <w:rsid w:val="006E50DD"/>
    <w:rsid w:val="006E5207"/>
    <w:rsid w:val="006E54A0"/>
    <w:rsid w:val="006F375D"/>
    <w:rsid w:val="006F5C70"/>
    <w:rsid w:val="006F66EB"/>
    <w:rsid w:val="006F6A20"/>
    <w:rsid w:val="006F6F6B"/>
    <w:rsid w:val="00703C86"/>
    <w:rsid w:val="0070412C"/>
    <w:rsid w:val="007043B7"/>
    <w:rsid w:val="007047B2"/>
    <w:rsid w:val="00704DE7"/>
    <w:rsid w:val="00706868"/>
    <w:rsid w:val="007078B8"/>
    <w:rsid w:val="00707F24"/>
    <w:rsid w:val="00710698"/>
    <w:rsid w:val="007119ED"/>
    <w:rsid w:val="00712504"/>
    <w:rsid w:val="00713001"/>
    <w:rsid w:val="007130A5"/>
    <w:rsid w:val="007144A0"/>
    <w:rsid w:val="00715E32"/>
    <w:rsid w:val="007162D1"/>
    <w:rsid w:val="00716463"/>
    <w:rsid w:val="0071706E"/>
    <w:rsid w:val="007202AF"/>
    <w:rsid w:val="00720A29"/>
    <w:rsid w:val="00727292"/>
    <w:rsid w:val="007275C0"/>
    <w:rsid w:val="007314B6"/>
    <w:rsid w:val="00733729"/>
    <w:rsid w:val="007343D0"/>
    <w:rsid w:val="00736D70"/>
    <w:rsid w:val="00737513"/>
    <w:rsid w:val="00742795"/>
    <w:rsid w:val="00742F6A"/>
    <w:rsid w:val="00743804"/>
    <w:rsid w:val="007446E8"/>
    <w:rsid w:val="00745CDA"/>
    <w:rsid w:val="007460FC"/>
    <w:rsid w:val="00747DFB"/>
    <w:rsid w:val="007502D6"/>
    <w:rsid w:val="00751553"/>
    <w:rsid w:val="0075165E"/>
    <w:rsid w:val="00754372"/>
    <w:rsid w:val="00754E10"/>
    <w:rsid w:val="00755FC7"/>
    <w:rsid w:val="00756B31"/>
    <w:rsid w:val="00757A0A"/>
    <w:rsid w:val="0076116B"/>
    <w:rsid w:val="00762A29"/>
    <w:rsid w:val="0076327D"/>
    <w:rsid w:val="007634FE"/>
    <w:rsid w:val="007656C8"/>
    <w:rsid w:val="00767745"/>
    <w:rsid w:val="0077052D"/>
    <w:rsid w:val="007707FC"/>
    <w:rsid w:val="00770BE3"/>
    <w:rsid w:val="0077177A"/>
    <w:rsid w:val="007719A0"/>
    <w:rsid w:val="00771B9D"/>
    <w:rsid w:val="007728A8"/>
    <w:rsid w:val="00773097"/>
    <w:rsid w:val="007758AF"/>
    <w:rsid w:val="00777DB4"/>
    <w:rsid w:val="007822A0"/>
    <w:rsid w:val="007822FD"/>
    <w:rsid w:val="00783A87"/>
    <w:rsid w:val="00785A76"/>
    <w:rsid w:val="00786731"/>
    <w:rsid w:val="00787723"/>
    <w:rsid w:val="00787852"/>
    <w:rsid w:val="00787981"/>
    <w:rsid w:val="00790B86"/>
    <w:rsid w:val="007915BC"/>
    <w:rsid w:val="00792C67"/>
    <w:rsid w:val="00793316"/>
    <w:rsid w:val="007967FA"/>
    <w:rsid w:val="00797E7A"/>
    <w:rsid w:val="007A08D1"/>
    <w:rsid w:val="007A0EA6"/>
    <w:rsid w:val="007A2D9E"/>
    <w:rsid w:val="007A3620"/>
    <w:rsid w:val="007A7004"/>
    <w:rsid w:val="007A7539"/>
    <w:rsid w:val="007B0381"/>
    <w:rsid w:val="007B07F8"/>
    <w:rsid w:val="007B0F3D"/>
    <w:rsid w:val="007B148D"/>
    <w:rsid w:val="007B18C8"/>
    <w:rsid w:val="007B2268"/>
    <w:rsid w:val="007B28DE"/>
    <w:rsid w:val="007B5D55"/>
    <w:rsid w:val="007B7A5F"/>
    <w:rsid w:val="007C033A"/>
    <w:rsid w:val="007C22DC"/>
    <w:rsid w:val="007C297C"/>
    <w:rsid w:val="007C2D33"/>
    <w:rsid w:val="007C36BE"/>
    <w:rsid w:val="007C3887"/>
    <w:rsid w:val="007C4DCF"/>
    <w:rsid w:val="007C635F"/>
    <w:rsid w:val="007C6AD2"/>
    <w:rsid w:val="007C6F82"/>
    <w:rsid w:val="007D02DA"/>
    <w:rsid w:val="007D53ED"/>
    <w:rsid w:val="007D6001"/>
    <w:rsid w:val="007D73DE"/>
    <w:rsid w:val="007D77ED"/>
    <w:rsid w:val="007D7F94"/>
    <w:rsid w:val="007E0391"/>
    <w:rsid w:val="007E1B76"/>
    <w:rsid w:val="007E219A"/>
    <w:rsid w:val="007E37BF"/>
    <w:rsid w:val="007E42C9"/>
    <w:rsid w:val="007E6593"/>
    <w:rsid w:val="007F0606"/>
    <w:rsid w:val="007F096F"/>
    <w:rsid w:val="007F1101"/>
    <w:rsid w:val="007F2CB1"/>
    <w:rsid w:val="007F34E2"/>
    <w:rsid w:val="007F4683"/>
    <w:rsid w:val="007F6BDC"/>
    <w:rsid w:val="00803D20"/>
    <w:rsid w:val="00803ED0"/>
    <w:rsid w:val="00807AD0"/>
    <w:rsid w:val="00810007"/>
    <w:rsid w:val="00810691"/>
    <w:rsid w:val="008109CB"/>
    <w:rsid w:val="008112A0"/>
    <w:rsid w:val="0081190A"/>
    <w:rsid w:val="0081353A"/>
    <w:rsid w:val="00814827"/>
    <w:rsid w:val="0081696D"/>
    <w:rsid w:val="00816E01"/>
    <w:rsid w:val="008173D0"/>
    <w:rsid w:val="008221DA"/>
    <w:rsid w:val="00822214"/>
    <w:rsid w:val="00823235"/>
    <w:rsid w:val="008243E9"/>
    <w:rsid w:val="00824922"/>
    <w:rsid w:val="008249F1"/>
    <w:rsid w:val="00824AF2"/>
    <w:rsid w:val="0082593A"/>
    <w:rsid w:val="00826686"/>
    <w:rsid w:val="008312EA"/>
    <w:rsid w:val="00835563"/>
    <w:rsid w:val="00836511"/>
    <w:rsid w:val="00836B02"/>
    <w:rsid w:val="00836EC6"/>
    <w:rsid w:val="008370FD"/>
    <w:rsid w:val="0083725F"/>
    <w:rsid w:val="0083741E"/>
    <w:rsid w:val="00837985"/>
    <w:rsid w:val="00840E3D"/>
    <w:rsid w:val="008417C7"/>
    <w:rsid w:val="008418D9"/>
    <w:rsid w:val="00841D8C"/>
    <w:rsid w:val="00842220"/>
    <w:rsid w:val="008437A2"/>
    <w:rsid w:val="00844111"/>
    <w:rsid w:val="00844F74"/>
    <w:rsid w:val="00845C14"/>
    <w:rsid w:val="00845F98"/>
    <w:rsid w:val="00846382"/>
    <w:rsid w:val="00850F57"/>
    <w:rsid w:val="00852478"/>
    <w:rsid w:val="008536C2"/>
    <w:rsid w:val="008600C7"/>
    <w:rsid w:val="008617D0"/>
    <w:rsid w:val="00861A60"/>
    <w:rsid w:val="00862357"/>
    <w:rsid w:val="00862D02"/>
    <w:rsid w:val="00862DAE"/>
    <w:rsid w:val="008631E8"/>
    <w:rsid w:val="00863728"/>
    <w:rsid w:val="008637B9"/>
    <w:rsid w:val="0086395C"/>
    <w:rsid w:val="00864194"/>
    <w:rsid w:val="00870399"/>
    <w:rsid w:val="008706F9"/>
    <w:rsid w:val="0087097C"/>
    <w:rsid w:val="008711EC"/>
    <w:rsid w:val="008718FE"/>
    <w:rsid w:val="00871B5D"/>
    <w:rsid w:val="00871EA0"/>
    <w:rsid w:val="00872946"/>
    <w:rsid w:val="00881B3A"/>
    <w:rsid w:val="00881C41"/>
    <w:rsid w:val="00882EE6"/>
    <w:rsid w:val="0088303D"/>
    <w:rsid w:val="00883928"/>
    <w:rsid w:val="00883DDE"/>
    <w:rsid w:val="00885386"/>
    <w:rsid w:val="00886D35"/>
    <w:rsid w:val="008910D0"/>
    <w:rsid w:val="00891D73"/>
    <w:rsid w:val="00892A44"/>
    <w:rsid w:val="008A1C4A"/>
    <w:rsid w:val="008A2DE8"/>
    <w:rsid w:val="008A312D"/>
    <w:rsid w:val="008A3E09"/>
    <w:rsid w:val="008A3E57"/>
    <w:rsid w:val="008A5EFF"/>
    <w:rsid w:val="008A62F7"/>
    <w:rsid w:val="008A77A7"/>
    <w:rsid w:val="008B24C8"/>
    <w:rsid w:val="008B3F34"/>
    <w:rsid w:val="008C0487"/>
    <w:rsid w:val="008C1228"/>
    <w:rsid w:val="008C265C"/>
    <w:rsid w:val="008C56B9"/>
    <w:rsid w:val="008C5BF9"/>
    <w:rsid w:val="008D05E0"/>
    <w:rsid w:val="008D0F88"/>
    <w:rsid w:val="008D1C82"/>
    <w:rsid w:val="008D2600"/>
    <w:rsid w:val="008D4630"/>
    <w:rsid w:val="008D494B"/>
    <w:rsid w:val="008D5923"/>
    <w:rsid w:val="008E0AC0"/>
    <w:rsid w:val="008E1462"/>
    <w:rsid w:val="008E221A"/>
    <w:rsid w:val="008E3FFE"/>
    <w:rsid w:val="008E60BE"/>
    <w:rsid w:val="008E6B74"/>
    <w:rsid w:val="008E7186"/>
    <w:rsid w:val="008F0FAF"/>
    <w:rsid w:val="008F158F"/>
    <w:rsid w:val="008F22F0"/>
    <w:rsid w:val="008F25B9"/>
    <w:rsid w:val="008F4262"/>
    <w:rsid w:val="008F46CD"/>
    <w:rsid w:val="008F6480"/>
    <w:rsid w:val="008F7740"/>
    <w:rsid w:val="008F7B81"/>
    <w:rsid w:val="00900CA2"/>
    <w:rsid w:val="0090348C"/>
    <w:rsid w:val="00903653"/>
    <w:rsid w:val="009076A5"/>
    <w:rsid w:val="00910A52"/>
    <w:rsid w:val="00911479"/>
    <w:rsid w:val="009126F6"/>
    <w:rsid w:val="0091484D"/>
    <w:rsid w:val="00915B7E"/>
    <w:rsid w:val="00920E4A"/>
    <w:rsid w:val="0092318C"/>
    <w:rsid w:val="00925555"/>
    <w:rsid w:val="00925E71"/>
    <w:rsid w:val="00931578"/>
    <w:rsid w:val="0093329F"/>
    <w:rsid w:val="00933D2D"/>
    <w:rsid w:val="00934679"/>
    <w:rsid w:val="009365E3"/>
    <w:rsid w:val="00937043"/>
    <w:rsid w:val="00943FF5"/>
    <w:rsid w:val="009444FA"/>
    <w:rsid w:val="009445D3"/>
    <w:rsid w:val="009468FA"/>
    <w:rsid w:val="00947BF2"/>
    <w:rsid w:val="009558BF"/>
    <w:rsid w:val="00955A8A"/>
    <w:rsid w:val="00955CD9"/>
    <w:rsid w:val="00960E9C"/>
    <w:rsid w:val="00960FDF"/>
    <w:rsid w:val="0096400D"/>
    <w:rsid w:val="00965A18"/>
    <w:rsid w:val="00966600"/>
    <w:rsid w:val="009671D9"/>
    <w:rsid w:val="00971352"/>
    <w:rsid w:val="00975D2C"/>
    <w:rsid w:val="00975E5B"/>
    <w:rsid w:val="00977333"/>
    <w:rsid w:val="0097738D"/>
    <w:rsid w:val="00977C8F"/>
    <w:rsid w:val="00977F94"/>
    <w:rsid w:val="0098078E"/>
    <w:rsid w:val="00980F55"/>
    <w:rsid w:val="00982D05"/>
    <w:rsid w:val="00983A8B"/>
    <w:rsid w:val="00985410"/>
    <w:rsid w:val="009863E9"/>
    <w:rsid w:val="00987D04"/>
    <w:rsid w:val="00991CC0"/>
    <w:rsid w:val="00992E20"/>
    <w:rsid w:val="009936FC"/>
    <w:rsid w:val="00993925"/>
    <w:rsid w:val="00993977"/>
    <w:rsid w:val="00994CCB"/>
    <w:rsid w:val="00997529"/>
    <w:rsid w:val="009A05D1"/>
    <w:rsid w:val="009A28AC"/>
    <w:rsid w:val="009A3A5B"/>
    <w:rsid w:val="009A3F2A"/>
    <w:rsid w:val="009A4B18"/>
    <w:rsid w:val="009A5762"/>
    <w:rsid w:val="009B2AAC"/>
    <w:rsid w:val="009B3521"/>
    <w:rsid w:val="009B541C"/>
    <w:rsid w:val="009B5D90"/>
    <w:rsid w:val="009B6DDF"/>
    <w:rsid w:val="009C4213"/>
    <w:rsid w:val="009C4460"/>
    <w:rsid w:val="009C627D"/>
    <w:rsid w:val="009C6F79"/>
    <w:rsid w:val="009D0508"/>
    <w:rsid w:val="009D2FC9"/>
    <w:rsid w:val="009D4EB8"/>
    <w:rsid w:val="009D7192"/>
    <w:rsid w:val="009E0E38"/>
    <w:rsid w:val="009E1A35"/>
    <w:rsid w:val="009E41BD"/>
    <w:rsid w:val="009E5E0F"/>
    <w:rsid w:val="009E6F9B"/>
    <w:rsid w:val="009E7B17"/>
    <w:rsid w:val="009F09AA"/>
    <w:rsid w:val="009F2C16"/>
    <w:rsid w:val="009F2C1B"/>
    <w:rsid w:val="009F335C"/>
    <w:rsid w:val="009F380B"/>
    <w:rsid w:val="009F49E0"/>
    <w:rsid w:val="00A002B5"/>
    <w:rsid w:val="00A0260C"/>
    <w:rsid w:val="00A02B02"/>
    <w:rsid w:val="00A041B5"/>
    <w:rsid w:val="00A044FC"/>
    <w:rsid w:val="00A04F8C"/>
    <w:rsid w:val="00A05158"/>
    <w:rsid w:val="00A06942"/>
    <w:rsid w:val="00A13BF5"/>
    <w:rsid w:val="00A14837"/>
    <w:rsid w:val="00A1533C"/>
    <w:rsid w:val="00A17B6C"/>
    <w:rsid w:val="00A20E14"/>
    <w:rsid w:val="00A225E3"/>
    <w:rsid w:val="00A23A26"/>
    <w:rsid w:val="00A24A8F"/>
    <w:rsid w:val="00A25708"/>
    <w:rsid w:val="00A25BF0"/>
    <w:rsid w:val="00A2629D"/>
    <w:rsid w:val="00A2639F"/>
    <w:rsid w:val="00A27BC2"/>
    <w:rsid w:val="00A3026E"/>
    <w:rsid w:val="00A31F2E"/>
    <w:rsid w:val="00A34146"/>
    <w:rsid w:val="00A379C8"/>
    <w:rsid w:val="00A41D6D"/>
    <w:rsid w:val="00A4576A"/>
    <w:rsid w:val="00A45AD0"/>
    <w:rsid w:val="00A45EE9"/>
    <w:rsid w:val="00A47111"/>
    <w:rsid w:val="00A478E9"/>
    <w:rsid w:val="00A5141F"/>
    <w:rsid w:val="00A52177"/>
    <w:rsid w:val="00A52D47"/>
    <w:rsid w:val="00A53C14"/>
    <w:rsid w:val="00A55AA8"/>
    <w:rsid w:val="00A56C90"/>
    <w:rsid w:val="00A60BE1"/>
    <w:rsid w:val="00A61410"/>
    <w:rsid w:val="00A6198A"/>
    <w:rsid w:val="00A639C4"/>
    <w:rsid w:val="00A65108"/>
    <w:rsid w:val="00A7067F"/>
    <w:rsid w:val="00A707A7"/>
    <w:rsid w:val="00A718FD"/>
    <w:rsid w:val="00A72341"/>
    <w:rsid w:val="00A7258D"/>
    <w:rsid w:val="00A73BF1"/>
    <w:rsid w:val="00A7410B"/>
    <w:rsid w:val="00A74A6E"/>
    <w:rsid w:val="00A774D1"/>
    <w:rsid w:val="00A776ED"/>
    <w:rsid w:val="00A80E50"/>
    <w:rsid w:val="00A8137F"/>
    <w:rsid w:val="00A81D07"/>
    <w:rsid w:val="00A83663"/>
    <w:rsid w:val="00A83B0F"/>
    <w:rsid w:val="00A84216"/>
    <w:rsid w:val="00A847F9"/>
    <w:rsid w:val="00A8534B"/>
    <w:rsid w:val="00A8695D"/>
    <w:rsid w:val="00A90161"/>
    <w:rsid w:val="00A90BFA"/>
    <w:rsid w:val="00A919AF"/>
    <w:rsid w:val="00A92BF3"/>
    <w:rsid w:val="00A943C8"/>
    <w:rsid w:val="00A94873"/>
    <w:rsid w:val="00A94BDA"/>
    <w:rsid w:val="00A950A4"/>
    <w:rsid w:val="00A9520D"/>
    <w:rsid w:val="00A966C2"/>
    <w:rsid w:val="00A9747D"/>
    <w:rsid w:val="00AA00A6"/>
    <w:rsid w:val="00AA448F"/>
    <w:rsid w:val="00AA4E57"/>
    <w:rsid w:val="00AA6BA8"/>
    <w:rsid w:val="00AA7A4C"/>
    <w:rsid w:val="00AA7F5A"/>
    <w:rsid w:val="00AB0131"/>
    <w:rsid w:val="00AB2340"/>
    <w:rsid w:val="00AB2C95"/>
    <w:rsid w:val="00AB4029"/>
    <w:rsid w:val="00AB4A69"/>
    <w:rsid w:val="00AB5FE4"/>
    <w:rsid w:val="00AB6515"/>
    <w:rsid w:val="00AB659D"/>
    <w:rsid w:val="00AC04DA"/>
    <w:rsid w:val="00AC123A"/>
    <w:rsid w:val="00AC229F"/>
    <w:rsid w:val="00AC6BF0"/>
    <w:rsid w:val="00AC7E44"/>
    <w:rsid w:val="00AD34FD"/>
    <w:rsid w:val="00AD5D75"/>
    <w:rsid w:val="00AD7671"/>
    <w:rsid w:val="00AD7F66"/>
    <w:rsid w:val="00AE115C"/>
    <w:rsid w:val="00AE2D97"/>
    <w:rsid w:val="00AE32E5"/>
    <w:rsid w:val="00AE3FDF"/>
    <w:rsid w:val="00AE53E8"/>
    <w:rsid w:val="00AE6FE4"/>
    <w:rsid w:val="00AE78C8"/>
    <w:rsid w:val="00AF2059"/>
    <w:rsid w:val="00AF3D84"/>
    <w:rsid w:val="00AF4161"/>
    <w:rsid w:val="00AF4173"/>
    <w:rsid w:val="00AF580B"/>
    <w:rsid w:val="00AF6AAA"/>
    <w:rsid w:val="00AF783A"/>
    <w:rsid w:val="00B007C8"/>
    <w:rsid w:val="00B01FC7"/>
    <w:rsid w:val="00B02CFF"/>
    <w:rsid w:val="00B06337"/>
    <w:rsid w:val="00B06392"/>
    <w:rsid w:val="00B117B9"/>
    <w:rsid w:val="00B11E07"/>
    <w:rsid w:val="00B14410"/>
    <w:rsid w:val="00B14A6C"/>
    <w:rsid w:val="00B1558D"/>
    <w:rsid w:val="00B15E61"/>
    <w:rsid w:val="00B17FD3"/>
    <w:rsid w:val="00B20E58"/>
    <w:rsid w:val="00B24F35"/>
    <w:rsid w:val="00B2609D"/>
    <w:rsid w:val="00B32C88"/>
    <w:rsid w:val="00B34747"/>
    <w:rsid w:val="00B360BE"/>
    <w:rsid w:val="00B36E55"/>
    <w:rsid w:val="00B36F5A"/>
    <w:rsid w:val="00B402D6"/>
    <w:rsid w:val="00B419BA"/>
    <w:rsid w:val="00B419F0"/>
    <w:rsid w:val="00B424B7"/>
    <w:rsid w:val="00B42E01"/>
    <w:rsid w:val="00B42E49"/>
    <w:rsid w:val="00B44906"/>
    <w:rsid w:val="00B4654D"/>
    <w:rsid w:val="00B4788E"/>
    <w:rsid w:val="00B50903"/>
    <w:rsid w:val="00B52F71"/>
    <w:rsid w:val="00B54BD7"/>
    <w:rsid w:val="00B56B21"/>
    <w:rsid w:val="00B57B9D"/>
    <w:rsid w:val="00B62FFE"/>
    <w:rsid w:val="00B63E7F"/>
    <w:rsid w:val="00B65013"/>
    <w:rsid w:val="00B70612"/>
    <w:rsid w:val="00B7123A"/>
    <w:rsid w:val="00B71398"/>
    <w:rsid w:val="00B7435C"/>
    <w:rsid w:val="00B76F38"/>
    <w:rsid w:val="00B8085D"/>
    <w:rsid w:val="00B81816"/>
    <w:rsid w:val="00B81A0C"/>
    <w:rsid w:val="00B81EFF"/>
    <w:rsid w:val="00B836BB"/>
    <w:rsid w:val="00B838C7"/>
    <w:rsid w:val="00B84122"/>
    <w:rsid w:val="00B862B0"/>
    <w:rsid w:val="00B87268"/>
    <w:rsid w:val="00B90AAA"/>
    <w:rsid w:val="00B933EE"/>
    <w:rsid w:val="00B96816"/>
    <w:rsid w:val="00BA1AF4"/>
    <w:rsid w:val="00BA2B7C"/>
    <w:rsid w:val="00BA31CA"/>
    <w:rsid w:val="00BA44C8"/>
    <w:rsid w:val="00BA5AB8"/>
    <w:rsid w:val="00BA6401"/>
    <w:rsid w:val="00BA771A"/>
    <w:rsid w:val="00BB142A"/>
    <w:rsid w:val="00BB1A45"/>
    <w:rsid w:val="00BB2DD4"/>
    <w:rsid w:val="00BB34B9"/>
    <w:rsid w:val="00BB35C2"/>
    <w:rsid w:val="00BB4C77"/>
    <w:rsid w:val="00BB553B"/>
    <w:rsid w:val="00BC28D7"/>
    <w:rsid w:val="00BC376C"/>
    <w:rsid w:val="00BC3955"/>
    <w:rsid w:val="00BC5919"/>
    <w:rsid w:val="00BC6321"/>
    <w:rsid w:val="00BC7817"/>
    <w:rsid w:val="00BD37EA"/>
    <w:rsid w:val="00BD3819"/>
    <w:rsid w:val="00BD642D"/>
    <w:rsid w:val="00BD6756"/>
    <w:rsid w:val="00BD68D1"/>
    <w:rsid w:val="00BD6988"/>
    <w:rsid w:val="00BE1549"/>
    <w:rsid w:val="00BE1A77"/>
    <w:rsid w:val="00BE1D70"/>
    <w:rsid w:val="00BE3736"/>
    <w:rsid w:val="00BE4742"/>
    <w:rsid w:val="00BE7383"/>
    <w:rsid w:val="00BE754D"/>
    <w:rsid w:val="00BE7CCE"/>
    <w:rsid w:val="00BF1A1A"/>
    <w:rsid w:val="00BF1DB9"/>
    <w:rsid w:val="00BF2DB8"/>
    <w:rsid w:val="00BF3322"/>
    <w:rsid w:val="00BF6D10"/>
    <w:rsid w:val="00BF6E79"/>
    <w:rsid w:val="00C006BD"/>
    <w:rsid w:val="00C029C8"/>
    <w:rsid w:val="00C03F6C"/>
    <w:rsid w:val="00C0573A"/>
    <w:rsid w:val="00C0581A"/>
    <w:rsid w:val="00C06A57"/>
    <w:rsid w:val="00C06BC9"/>
    <w:rsid w:val="00C12108"/>
    <w:rsid w:val="00C121D9"/>
    <w:rsid w:val="00C122AA"/>
    <w:rsid w:val="00C13453"/>
    <w:rsid w:val="00C20F4E"/>
    <w:rsid w:val="00C220F9"/>
    <w:rsid w:val="00C24A5F"/>
    <w:rsid w:val="00C2541C"/>
    <w:rsid w:val="00C25736"/>
    <w:rsid w:val="00C26862"/>
    <w:rsid w:val="00C2787C"/>
    <w:rsid w:val="00C30458"/>
    <w:rsid w:val="00C31DA6"/>
    <w:rsid w:val="00C32493"/>
    <w:rsid w:val="00C331B9"/>
    <w:rsid w:val="00C33260"/>
    <w:rsid w:val="00C34878"/>
    <w:rsid w:val="00C429DB"/>
    <w:rsid w:val="00C4598F"/>
    <w:rsid w:val="00C50360"/>
    <w:rsid w:val="00C54289"/>
    <w:rsid w:val="00C54E12"/>
    <w:rsid w:val="00C5537C"/>
    <w:rsid w:val="00C55468"/>
    <w:rsid w:val="00C603A3"/>
    <w:rsid w:val="00C613E7"/>
    <w:rsid w:val="00C622C3"/>
    <w:rsid w:val="00C63BD5"/>
    <w:rsid w:val="00C64C02"/>
    <w:rsid w:val="00C74906"/>
    <w:rsid w:val="00C778F1"/>
    <w:rsid w:val="00C778FE"/>
    <w:rsid w:val="00C800BA"/>
    <w:rsid w:val="00C81B40"/>
    <w:rsid w:val="00C81FEA"/>
    <w:rsid w:val="00C83969"/>
    <w:rsid w:val="00C83EF4"/>
    <w:rsid w:val="00C841C7"/>
    <w:rsid w:val="00C862AC"/>
    <w:rsid w:val="00C86C95"/>
    <w:rsid w:val="00C87CAA"/>
    <w:rsid w:val="00C96195"/>
    <w:rsid w:val="00CA01EC"/>
    <w:rsid w:val="00CA05EB"/>
    <w:rsid w:val="00CA1740"/>
    <w:rsid w:val="00CA3515"/>
    <w:rsid w:val="00CA3A05"/>
    <w:rsid w:val="00CA5F7B"/>
    <w:rsid w:val="00CA789D"/>
    <w:rsid w:val="00CB14E9"/>
    <w:rsid w:val="00CB35C9"/>
    <w:rsid w:val="00CB4396"/>
    <w:rsid w:val="00CB61E6"/>
    <w:rsid w:val="00CB6D90"/>
    <w:rsid w:val="00CB72C3"/>
    <w:rsid w:val="00CC12ED"/>
    <w:rsid w:val="00CC23BC"/>
    <w:rsid w:val="00CC42F8"/>
    <w:rsid w:val="00CC450A"/>
    <w:rsid w:val="00CC45E4"/>
    <w:rsid w:val="00CC71F4"/>
    <w:rsid w:val="00CD019F"/>
    <w:rsid w:val="00CD258F"/>
    <w:rsid w:val="00CD2747"/>
    <w:rsid w:val="00CD27C5"/>
    <w:rsid w:val="00CD437C"/>
    <w:rsid w:val="00CD4833"/>
    <w:rsid w:val="00CD63D5"/>
    <w:rsid w:val="00CE228C"/>
    <w:rsid w:val="00CE2F8A"/>
    <w:rsid w:val="00CE3433"/>
    <w:rsid w:val="00CE355B"/>
    <w:rsid w:val="00CE38E4"/>
    <w:rsid w:val="00CE4169"/>
    <w:rsid w:val="00CE48F6"/>
    <w:rsid w:val="00CE75A2"/>
    <w:rsid w:val="00CE7894"/>
    <w:rsid w:val="00CF06A1"/>
    <w:rsid w:val="00CF089B"/>
    <w:rsid w:val="00CF1467"/>
    <w:rsid w:val="00CF1609"/>
    <w:rsid w:val="00CF1B1B"/>
    <w:rsid w:val="00CF3010"/>
    <w:rsid w:val="00CF38F4"/>
    <w:rsid w:val="00CF43B5"/>
    <w:rsid w:val="00CF48D6"/>
    <w:rsid w:val="00CF57D6"/>
    <w:rsid w:val="00CF6C1B"/>
    <w:rsid w:val="00D019D5"/>
    <w:rsid w:val="00D0350F"/>
    <w:rsid w:val="00D040FE"/>
    <w:rsid w:val="00D11494"/>
    <w:rsid w:val="00D114D7"/>
    <w:rsid w:val="00D168FD"/>
    <w:rsid w:val="00D16F64"/>
    <w:rsid w:val="00D17755"/>
    <w:rsid w:val="00D206AF"/>
    <w:rsid w:val="00D21B4A"/>
    <w:rsid w:val="00D22150"/>
    <w:rsid w:val="00D226BF"/>
    <w:rsid w:val="00D22D3C"/>
    <w:rsid w:val="00D23A18"/>
    <w:rsid w:val="00D2472C"/>
    <w:rsid w:val="00D25169"/>
    <w:rsid w:val="00D2579E"/>
    <w:rsid w:val="00D26299"/>
    <w:rsid w:val="00D26D2F"/>
    <w:rsid w:val="00D279BA"/>
    <w:rsid w:val="00D320DB"/>
    <w:rsid w:val="00D33060"/>
    <w:rsid w:val="00D36FAC"/>
    <w:rsid w:val="00D373DA"/>
    <w:rsid w:val="00D4035E"/>
    <w:rsid w:val="00D404B5"/>
    <w:rsid w:val="00D40940"/>
    <w:rsid w:val="00D42524"/>
    <w:rsid w:val="00D447CB"/>
    <w:rsid w:val="00D44C2B"/>
    <w:rsid w:val="00D47D16"/>
    <w:rsid w:val="00D505F4"/>
    <w:rsid w:val="00D51CE1"/>
    <w:rsid w:val="00D562F2"/>
    <w:rsid w:val="00D57A37"/>
    <w:rsid w:val="00D61B93"/>
    <w:rsid w:val="00D659A6"/>
    <w:rsid w:val="00D674F7"/>
    <w:rsid w:val="00D67E4A"/>
    <w:rsid w:val="00D718E7"/>
    <w:rsid w:val="00D743D2"/>
    <w:rsid w:val="00D74699"/>
    <w:rsid w:val="00D763FD"/>
    <w:rsid w:val="00D771D2"/>
    <w:rsid w:val="00D80259"/>
    <w:rsid w:val="00D854BA"/>
    <w:rsid w:val="00D87FA9"/>
    <w:rsid w:val="00D90AD1"/>
    <w:rsid w:val="00D90D48"/>
    <w:rsid w:val="00D91B88"/>
    <w:rsid w:val="00D920BD"/>
    <w:rsid w:val="00D941F7"/>
    <w:rsid w:val="00D957CC"/>
    <w:rsid w:val="00D968EF"/>
    <w:rsid w:val="00DA107B"/>
    <w:rsid w:val="00DA140C"/>
    <w:rsid w:val="00DA2E5B"/>
    <w:rsid w:val="00DA38AB"/>
    <w:rsid w:val="00DA4DDF"/>
    <w:rsid w:val="00DB01E1"/>
    <w:rsid w:val="00DB0804"/>
    <w:rsid w:val="00DB2426"/>
    <w:rsid w:val="00DB2FC4"/>
    <w:rsid w:val="00DB4D3B"/>
    <w:rsid w:val="00DB6621"/>
    <w:rsid w:val="00DB6F5F"/>
    <w:rsid w:val="00DC382A"/>
    <w:rsid w:val="00DD015E"/>
    <w:rsid w:val="00DD21F4"/>
    <w:rsid w:val="00DD22D2"/>
    <w:rsid w:val="00DD2EC7"/>
    <w:rsid w:val="00DD44FA"/>
    <w:rsid w:val="00DE1923"/>
    <w:rsid w:val="00DE2B33"/>
    <w:rsid w:val="00DE3672"/>
    <w:rsid w:val="00DE638B"/>
    <w:rsid w:val="00DE72EE"/>
    <w:rsid w:val="00DE788E"/>
    <w:rsid w:val="00DF37E5"/>
    <w:rsid w:val="00DF6600"/>
    <w:rsid w:val="00DF684D"/>
    <w:rsid w:val="00DF6A0F"/>
    <w:rsid w:val="00E00273"/>
    <w:rsid w:val="00E00C2E"/>
    <w:rsid w:val="00E01A3E"/>
    <w:rsid w:val="00E034FE"/>
    <w:rsid w:val="00E035E2"/>
    <w:rsid w:val="00E041E5"/>
    <w:rsid w:val="00E04888"/>
    <w:rsid w:val="00E0499C"/>
    <w:rsid w:val="00E0541F"/>
    <w:rsid w:val="00E06076"/>
    <w:rsid w:val="00E0763B"/>
    <w:rsid w:val="00E10302"/>
    <w:rsid w:val="00E110D2"/>
    <w:rsid w:val="00E1401C"/>
    <w:rsid w:val="00E16C7D"/>
    <w:rsid w:val="00E179B9"/>
    <w:rsid w:val="00E179EE"/>
    <w:rsid w:val="00E17B85"/>
    <w:rsid w:val="00E17EC5"/>
    <w:rsid w:val="00E20723"/>
    <w:rsid w:val="00E21B26"/>
    <w:rsid w:val="00E25E84"/>
    <w:rsid w:val="00E25F69"/>
    <w:rsid w:val="00E26BFD"/>
    <w:rsid w:val="00E2767C"/>
    <w:rsid w:val="00E2769A"/>
    <w:rsid w:val="00E27E90"/>
    <w:rsid w:val="00E30299"/>
    <w:rsid w:val="00E33D02"/>
    <w:rsid w:val="00E3403B"/>
    <w:rsid w:val="00E34F2C"/>
    <w:rsid w:val="00E35578"/>
    <w:rsid w:val="00E35D79"/>
    <w:rsid w:val="00E36D00"/>
    <w:rsid w:val="00E36EA9"/>
    <w:rsid w:val="00E4168B"/>
    <w:rsid w:val="00E41E59"/>
    <w:rsid w:val="00E4224A"/>
    <w:rsid w:val="00E4641E"/>
    <w:rsid w:val="00E46FF5"/>
    <w:rsid w:val="00E519AE"/>
    <w:rsid w:val="00E54E42"/>
    <w:rsid w:val="00E57AF7"/>
    <w:rsid w:val="00E6241B"/>
    <w:rsid w:val="00E63C83"/>
    <w:rsid w:val="00E64456"/>
    <w:rsid w:val="00E64FCC"/>
    <w:rsid w:val="00E65371"/>
    <w:rsid w:val="00E656CF"/>
    <w:rsid w:val="00E703B6"/>
    <w:rsid w:val="00E7049D"/>
    <w:rsid w:val="00E709C8"/>
    <w:rsid w:val="00E70EC9"/>
    <w:rsid w:val="00E72200"/>
    <w:rsid w:val="00E72B1B"/>
    <w:rsid w:val="00E742F9"/>
    <w:rsid w:val="00E747CA"/>
    <w:rsid w:val="00E75D47"/>
    <w:rsid w:val="00E766F5"/>
    <w:rsid w:val="00E76F68"/>
    <w:rsid w:val="00E82948"/>
    <w:rsid w:val="00E85602"/>
    <w:rsid w:val="00E90218"/>
    <w:rsid w:val="00E913BB"/>
    <w:rsid w:val="00E93744"/>
    <w:rsid w:val="00E957AC"/>
    <w:rsid w:val="00E95BCC"/>
    <w:rsid w:val="00E95F2E"/>
    <w:rsid w:val="00EA1508"/>
    <w:rsid w:val="00EA1541"/>
    <w:rsid w:val="00EA32E4"/>
    <w:rsid w:val="00EA58D6"/>
    <w:rsid w:val="00EA7E36"/>
    <w:rsid w:val="00EB0898"/>
    <w:rsid w:val="00EB2578"/>
    <w:rsid w:val="00EB2BFF"/>
    <w:rsid w:val="00EB3B81"/>
    <w:rsid w:val="00EB627B"/>
    <w:rsid w:val="00EB6705"/>
    <w:rsid w:val="00EB6C9F"/>
    <w:rsid w:val="00EB6D94"/>
    <w:rsid w:val="00EC3A63"/>
    <w:rsid w:val="00EC4183"/>
    <w:rsid w:val="00EC6468"/>
    <w:rsid w:val="00EC6708"/>
    <w:rsid w:val="00ED038F"/>
    <w:rsid w:val="00ED0ABE"/>
    <w:rsid w:val="00ED120A"/>
    <w:rsid w:val="00ED207C"/>
    <w:rsid w:val="00ED325A"/>
    <w:rsid w:val="00ED3F41"/>
    <w:rsid w:val="00ED5615"/>
    <w:rsid w:val="00ED5C9A"/>
    <w:rsid w:val="00ED692E"/>
    <w:rsid w:val="00ED69AF"/>
    <w:rsid w:val="00EE1847"/>
    <w:rsid w:val="00EE240E"/>
    <w:rsid w:val="00EE5096"/>
    <w:rsid w:val="00EE688E"/>
    <w:rsid w:val="00EE6A6D"/>
    <w:rsid w:val="00EE74A5"/>
    <w:rsid w:val="00EF03E2"/>
    <w:rsid w:val="00EF134E"/>
    <w:rsid w:val="00EF20F3"/>
    <w:rsid w:val="00EF3FC0"/>
    <w:rsid w:val="00EF65A0"/>
    <w:rsid w:val="00EF7F8B"/>
    <w:rsid w:val="00F02D6F"/>
    <w:rsid w:val="00F03814"/>
    <w:rsid w:val="00F058FE"/>
    <w:rsid w:val="00F05ADD"/>
    <w:rsid w:val="00F05FB9"/>
    <w:rsid w:val="00F06213"/>
    <w:rsid w:val="00F0719B"/>
    <w:rsid w:val="00F07A09"/>
    <w:rsid w:val="00F07B2D"/>
    <w:rsid w:val="00F11467"/>
    <w:rsid w:val="00F1373D"/>
    <w:rsid w:val="00F1390C"/>
    <w:rsid w:val="00F14D98"/>
    <w:rsid w:val="00F1571C"/>
    <w:rsid w:val="00F20C5E"/>
    <w:rsid w:val="00F2402D"/>
    <w:rsid w:val="00F30CC5"/>
    <w:rsid w:val="00F30E92"/>
    <w:rsid w:val="00F34AB6"/>
    <w:rsid w:val="00F3537A"/>
    <w:rsid w:val="00F36886"/>
    <w:rsid w:val="00F36A1D"/>
    <w:rsid w:val="00F37746"/>
    <w:rsid w:val="00F427B2"/>
    <w:rsid w:val="00F4287E"/>
    <w:rsid w:val="00F44278"/>
    <w:rsid w:val="00F450AA"/>
    <w:rsid w:val="00F46DE6"/>
    <w:rsid w:val="00F46F6C"/>
    <w:rsid w:val="00F47695"/>
    <w:rsid w:val="00F502D2"/>
    <w:rsid w:val="00F51B65"/>
    <w:rsid w:val="00F52AAB"/>
    <w:rsid w:val="00F52EB6"/>
    <w:rsid w:val="00F5359C"/>
    <w:rsid w:val="00F55260"/>
    <w:rsid w:val="00F553E5"/>
    <w:rsid w:val="00F6316B"/>
    <w:rsid w:val="00F6439A"/>
    <w:rsid w:val="00F64545"/>
    <w:rsid w:val="00F65AE0"/>
    <w:rsid w:val="00F70B20"/>
    <w:rsid w:val="00F73303"/>
    <w:rsid w:val="00F74E38"/>
    <w:rsid w:val="00F751A3"/>
    <w:rsid w:val="00F751D9"/>
    <w:rsid w:val="00F76BF5"/>
    <w:rsid w:val="00F76D6F"/>
    <w:rsid w:val="00F778B0"/>
    <w:rsid w:val="00F80941"/>
    <w:rsid w:val="00F816A3"/>
    <w:rsid w:val="00F83BC2"/>
    <w:rsid w:val="00F83C98"/>
    <w:rsid w:val="00F86871"/>
    <w:rsid w:val="00F91455"/>
    <w:rsid w:val="00F92396"/>
    <w:rsid w:val="00F92EC1"/>
    <w:rsid w:val="00F9478C"/>
    <w:rsid w:val="00F94C47"/>
    <w:rsid w:val="00F95D0A"/>
    <w:rsid w:val="00FA0421"/>
    <w:rsid w:val="00FA0EF3"/>
    <w:rsid w:val="00FA0F13"/>
    <w:rsid w:val="00FA1C94"/>
    <w:rsid w:val="00FA3389"/>
    <w:rsid w:val="00FA3476"/>
    <w:rsid w:val="00FA495F"/>
    <w:rsid w:val="00FA50EB"/>
    <w:rsid w:val="00FB0C10"/>
    <w:rsid w:val="00FB1680"/>
    <w:rsid w:val="00FB3C36"/>
    <w:rsid w:val="00FB4280"/>
    <w:rsid w:val="00FB4350"/>
    <w:rsid w:val="00FB58E1"/>
    <w:rsid w:val="00FB649A"/>
    <w:rsid w:val="00FB718D"/>
    <w:rsid w:val="00FB7CCE"/>
    <w:rsid w:val="00FC01C8"/>
    <w:rsid w:val="00FC093C"/>
    <w:rsid w:val="00FC1A43"/>
    <w:rsid w:val="00FC1B40"/>
    <w:rsid w:val="00FC493D"/>
    <w:rsid w:val="00FC5027"/>
    <w:rsid w:val="00FC50C7"/>
    <w:rsid w:val="00FC511D"/>
    <w:rsid w:val="00FC5211"/>
    <w:rsid w:val="00FC53A5"/>
    <w:rsid w:val="00FC5CFB"/>
    <w:rsid w:val="00FC5D9E"/>
    <w:rsid w:val="00FC5FB3"/>
    <w:rsid w:val="00FC68BC"/>
    <w:rsid w:val="00FD11D4"/>
    <w:rsid w:val="00FD225D"/>
    <w:rsid w:val="00FD2384"/>
    <w:rsid w:val="00FE18F1"/>
    <w:rsid w:val="00FE452E"/>
    <w:rsid w:val="00FE4A8D"/>
    <w:rsid w:val="00FE4B6C"/>
    <w:rsid w:val="00FE4D90"/>
    <w:rsid w:val="00FE5063"/>
    <w:rsid w:val="00FE6F86"/>
    <w:rsid w:val="00FE7097"/>
    <w:rsid w:val="00FE7483"/>
    <w:rsid w:val="00FF11E0"/>
    <w:rsid w:val="00FF2507"/>
    <w:rsid w:val="00FF330F"/>
    <w:rsid w:val="00FF36C4"/>
    <w:rsid w:val="00FF3764"/>
    <w:rsid w:val="00FF4275"/>
    <w:rsid w:val="00FF4A4C"/>
    <w:rsid w:val="00FF4C15"/>
    <w:rsid w:val="00FF6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05D38"/>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NormalWeb">
    <w:name w:val="Normal (Web)"/>
    <w:basedOn w:val="Normal"/>
    <w:uiPriority w:val="99"/>
    <w:rsid w:val="0017115B"/>
    <w:pPr>
      <w:spacing w:before="100" w:beforeAutospacing="1" w:after="100" w:afterAutospacing="1"/>
      <w:ind w:firstLine="0"/>
      <w:jc w:val="left"/>
    </w:pPr>
    <w:rPr>
      <w:rFonts w:eastAsia="Calibri"/>
      <w:sz w:val="24"/>
      <w:szCs w:val="24"/>
      <w:lang w:val="es-ES" w:eastAsia="es-ES"/>
    </w:rPr>
  </w:style>
  <w:style w:type="character" w:customStyle="1" w:styleId="atitulo1Car">
    <w:name w:val="atitulo1 Car"/>
    <w:link w:val="atitulo1"/>
    <w:uiPriority w:val="99"/>
    <w:rsid w:val="0017115B"/>
    <w:rPr>
      <w:rFonts w:ascii="Arial" w:hAnsi="Arial"/>
      <w:b/>
      <w:color w:val="000000"/>
      <w:kern w:val="28"/>
      <w:sz w:val="25"/>
      <w:szCs w:val="26"/>
      <w:lang w:val="es-ES_tradnl" w:eastAsia="en-US"/>
    </w:rPr>
  </w:style>
  <w:style w:type="character" w:customStyle="1" w:styleId="atitulo2Car">
    <w:name w:val="atitulo2 Car"/>
    <w:link w:val="atitulo2"/>
    <w:locked/>
    <w:rsid w:val="0017115B"/>
    <w:rPr>
      <w:rFonts w:ascii="Arial" w:hAnsi="Arial"/>
      <w:bCs/>
      <w:iCs/>
      <w:color w:val="000000"/>
      <w:spacing w:val="10"/>
      <w:kern w:val="28"/>
      <w:sz w:val="25"/>
      <w:szCs w:val="26"/>
      <w:lang w:val="es-ES_tradnl" w:eastAsia="en-US"/>
    </w:rPr>
  </w:style>
  <w:style w:type="paragraph" w:styleId="Textoindependiente">
    <w:name w:val="Body Text"/>
    <w:basedOn w:val="Normal"/>
    <w:link w:val="TextoindependienteCar"/>
    <w:rsid w:val="0017115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17115B"/>
    <w:rPr>
      <w:rFonts w:ascii="Arial" w:eastAsia="Calibri" w:hAnsi="Arial"/>
      <w:sz w:val="24"/>
      <w:lang w:val="es-ES_tradnl"/>
    </w:rPr>
  </w:style>
  <w:style w:type="character" w:customStyle="1" w:styleId="Ttulo5Car">
    <w:name w:val="Título 5 Car"/>
    <w:link w:val="Ttulo5"/>
    <w:locked/>
    <w:rsid w:val="0017115B"/>
    <w:rPr>
      <w:b/>
      <w:sz w:val="28"/>
      <w:lang w:eastAsia="en-US"/>
    </w:rPr>
  </w:style>
  <w:style w:type="paragraph" w:styleId="Textonotapie">
    <w:name w:val="footnote text"/>
    <w:basedOn w:val="Normal"/>
    <w:link w:val="TextonotapieCar"/>
    <w:rsid w:val="0017115B"/>
    <w:pPr>
      <w:spacing w:after="0"/>
    </w:pPr>
  </w:style>
  <w:style w:type="character" w:customStyle="1" w:styleId="TextonotapieCar">
    <w:name w:val="Texto nota pie Car"/>
    <w:basedOn w:val="Fuentedeprrafopredeter"/>
    <w:link w:val="Textonotapie"/>
    <w:rsid w:val="0017115B"/>
    <w:rPr>
      <w:lang w:val="es-ES_tradnl" w:eastAsia="en-US"/>
    </w:rPr>
  </w:style>
  <w:style w:type="table" w:customStyle="1" w:styleId="Tablaconcuadrcula1">
    <w:name w:val="Tabla con cuadrícula1"/>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rsid w:val="0017115B"/>
    <w:rPr>
      <w:vertAlign w:val="superscript"/>
    </w:rPr>
  </w:style>
  <w:style w:type="paragraph" w:customStyle="1" w:styleId="prea">
    <w:name w:val="prea"/>
    <w:basedOn w:val="Normal"/>
    <w:rsid w:val="0017115B"/>
    <w:pPr>
      <w:spacing w:before="100" w:beforeAutospacing="1" w:after="100" w:afterAutospacing="1"/>
      <w:ind w:firstLine="0"/>
      <w:jc w:val="left"/>
    </w:pPr>
    <w:rPr>
      <w:sz w:val="24"/>
      <w:szCs w:val="24"/>
      <w:lang w:val="es-ES" w:eastAsia="es-ES"/>
    </w:rPr>
  </w:style>
  <w:style w:type="character" w:customStyle="1" w:styleId="PiedepginaCar">
    <w:name w:val="Pie de página Car"/>
    <w:basedOn w:val="Fuentedeprrafopredeter"/>
    <w:link w:val="Piedepgina"/>
    <w:uiPriority w:val="99"/>
    <w:rsid w:val="0017115B"/>
    <w:rPr>
      <w:spacing w:val="6"/>
      <w:lang w:val="es-ES_tradnl" w:eastAsia="en-US"/>
    </w:rPr>
  </w:style>
  <w:style w:type="paragraph" w:styleId="Prrafodelista">
    <w:name w:val="List Paragraph"/>
    <w:basedOn w:val="Normal"/>
    <w:uiPriority w:val="34"/>
    <w:qFormat/>
    <w:rsid w:val="0017115B"/>
    <w:pPr>
      <w:ind w:left="720"/>
      <w:contextualSpacing/>
    </w:pPr>
  </w:style>
  <w:style w:type="paragraph" w:customStyle="1" w:styleId="foral-f-parrafo-c">
    <w:name w:val="foral-f-parrafo-c"/>
    <w:basedOn w:val="Normal"/>
    <w:rsid w:val="0017115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17115B"/>
    <w:pPr>
      <w:spacing w:before="100" w:beforeAutospacing="1" w:after="100" w:afterAutospacing="1"/>
      <w:ind w:firstLine="0"/>
      <w:jc w:val="left"/>
    </w:pPr>
    <w:rPr>
      <w:sz w:val="24"/>
      <w:szCs w:val="24"/>
      <w:lang w:val="es-ES" w:eastAsia="es-ES"/>
    </w:rPr>
  </w:style>
  <w:style w:type="paragraph" w:customStyle="1" w:styleId="Default">
    <w:name w:val="Default"/>
    <w:rsid w:val="0017115B"/>
    <w:pPr>
      <w:autoSpaceDE w:val="0"/>
      <w:autoSpaceDN w:val="0"/>
      <w:adjustRightInd w:val="0"/>
    </w:pPr>
    <w:rPr>
      <w:color w:val="000000"/>
      <w:sz w:val="24"/>
      <w:szCs w:val="24"/>
    </w:rPr>
  </w:style>
  <w:style w:type="character" w:customStyle="1" w:styleId="TextodegloboCar">
    <w:name w:val="Texto de globo Car"/>
    <w:basedOn w:val="Fuentedeprrafopredeter"/>
    <w:link w:val="Textodeglobo"/>
    <w:uiPriority w:val="99"/>
    <w:semiHidden/>
    <w:rsid w:val="0017115B"/>
    <w:rPr>
      <w:rFonts w:ascii="Tahoma" w:hAnsi="Tahoma" w:cs="Tahoma"/>
      <w:sz w:val="16"/>
      <w:szCs w:val="16"/>
      <w:lang w:val="es-ES_tradnl" w:eastAsia="en-US"/>
    </w:rPr>
  </w:style>
  <w:style w:type="paragraph" w:customStyle="1" w:styleId="xl1">
    <w:name w:val="xl1"/>
    <w:basedOn w:val="Normal"/>
    <w:rsid w:val="0017115B"/>
    <w:pPr>
      <w:spacing w:before="100" w:beforeAutospacing="1" w:after="100" w:afterAutospacing="1"/>
      <w:ind w:firstLine="0"/>
      <w:jc w:val="left"/>
    </w:pPr>
    <w:rPr>
      <w:sz w:val="24"/>
      <w:szCs w:val="24"/>
      <w:lang w:val="es-ES" w:eastAsia="es-ES"/>
    </w:rPr>
  </w:style>
  <w:style w:type="paragraph" w:customStyle="1" w:styleId="xl2">
    <w:name w:val="xl2"/>
    <w:basedOn w:val="Normal"/>
    <w:rsid w:val="0017115B"/>
    <w:pPr>
      <w:spacing w:before="100" w:beforeAutospacing="1" w:after="100" w:afterAutospacing="1"/>
      <w:ind w:firstLine="0"/>
      <w:jc w:val="left"/>
    </w:pPr>
    <w:rPr>
      <w:sz w:val="24"/>
      <w:szCs w:val="24"/>
      <w:lang w:val="es-ES" w:eastAsia="es-ES"/>
    </w:rPr>
  </w:style>
  <w:style w:type="character" w:customStyle="1" w:styleId="atitulo3Car">
    <w:name w:val="atitulo3 Car"/>
    <w:link w:val="atitulo3"/>
    <w:rsid w:val="0017115B"/>
    <w:rPr>
      <w:rFonts w:ascii="Arial" w:hAnsi="Arial"/>
      <w:i/>
      <w:iCs/>
      <w:color w:val="000000"/>
      <w:spacing w:val="10"/>
      <w:kern w:val="28"/>
      <w:sz w:val="25"/>
      <w:szCs w:val="26"/>
      <w:lang w:val="es-ES_tradnl" w:eastAsia="en-US"/>
    </w:rPr>
  </w:style>
  <w:style w:type="paragraph" w:customStyle="1" w:styleId="parrafo">
    <w:name w:val="parrafo"/>
    <w:basedOn w:val="Normal"/>
    <w:rsid w:val="0017115B"/>
    <w:pPr>
      <w:spacing w:before="100" w:beforeAutospacing="1" w:after="100" w:afterAutospacing="1"/>
      <w:ind w:firstLine="0"/>
      <w:jc w:val="left"/>
    </w:pPr>
    <w:rPr>
      <w:sz w:val="24"/>
      <w:szCs w:val="24"/>
      <w:lang w:val="es-ES" w:eastAsia="es-ES"/>
    </w:rPr>
  </w:style>
  <w:style w:type="paragraph" w:customStyle="1" w:styleId="parrafo2">
    <w:name w:val="parrafo_2"/>
    <w:basedOn w:val="Normal"/>
    <w:rsid w:val="0017115B"/>
    <w:pPr>
      <w:spacing w:before="100" w:beforeAutospacing="1" w:after="100" w:afterAutospacing="1"/>
      <w:ind w:firstLine="0"/>
      <w:jc w:val="left"/>
    </w:pPr>
    <w:rPr>
      <w:sz w:val="24"/>
      <w:szCs w:val="24"/>
      <w:lang w:val="es-ES" w:eastAsia="es-ES"/>
    </w:rPr>
  </w:style>
  <w:style w:type="numbering" w:customStyle="1" w:styleId="Sinlista1">
    <w:name w:val="Sin lista1"/>
    <w:next w:val="Sinlista"/>
    <w:uiPriority w:val="99"/>
    <w:semiHidden/>
    <w:unhideWhenUsed/>
    <w:rsid w:val="0017115B"/>
  </w:style>
  <w:style w:type="character" w:customStyle="1" w:styleId="EncabezadoCar">
    <w:name w:val="Encabezado Car"/>
    <w:basedOn w:val="Fuentedeprrafopredeter"/>
    <w:link w:val="Encabezado"/>
    <w:uiPriority w:val="99"/>
    <w:rsid w:val="0017115B"/>
    <w:rPr>
      <w:bCs/>
      <w:caps/>
      <w:sz w:val="14"/>
      <w:szCs w:val="12"/>
      <w:lang w:val="es-ES_tradnl" w:eastAsia="en-US"/>
    </w:rPr>
  </w:style>
  <w:style w:type="character" w:styleId="Hipervnculovisitado">
    <w:name w:val="FollowedHyperlink"/>
    <w:basedOn w:val="Fuentedeprrafopredeter"/>
    <w:uiPriority w:val="99"/>
    <w:unhideWhenUsed/>
    <w:rsid w:val="0017115B"/>
    <w:rPr>
      <w:color w:val="800080"/>
      <w:u w:val="single"/>
    </w:rPr>
  </w:style>
  <w:style w:type="paragraph" w:customStyle="1" w:styleId="xl65">
    <w:name w:val="xl65"/>
    <w:basedOn w:val="Normal"/>
    <w:rsid w:val="0017115B"/>
    <w:pPr>
      <w:spacing w:before="100" w:beforeAutospacing="1" w:after="100" w:afterAutospacing="1"/>
      <w:ind w:firstLine="0"/>
      <w:jc w:val="left"/>
    </w:pPr>
    <w:rPr>
      <w:sz w:val="26"/>
      <w:szCs w:val="26"/>
      <w:lang w:val="es-ES" w:eastAsia="es-ES"/>
    </w:rPr>
  </w:style>
  <w:style w:type="paragraph" w:customStyle="1" w:styleId="xl68">
    <w:name w:val="xl68"/>
    <w:basedOn w:val="Normal"/>
    <w:rsid w:val="0017115B"/>
    <w:pPr>
      <w:pBdr>
        <w:top w:val="single" w:sz="8" w:space="0" w:color="auto"/>
        <w:left w:val="single" w:sz="4" w:space="0" w:color="auto"/>
        <w:bottom w:val="single" w:sz="8"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69">
    <w:name w:val="xl69"/>
    <w:basedOn w:val="Normal"/>
    <w:rsid w:val="0017115B"/>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0">
    <w:name w:val="xl70"/>
    <w:basedOn w:val="Normal"/>
    <w:rsid w:val="0017115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1">
    <w:name w:val="xl71"/>
    <w:basedOn w:val="Normal"/>
    <w:rsid w:val="0017115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6"/>
      <w:szCs w:val="26"/>
      <w:lang w:val="es-ES" w:eastAsia="es-ES"/>
    </w:rPr>
  </w:style>
  <w:style w:type="paragraph" w:customStyle="1" w:styleId="xl72">
    <w:name w:val="xl72"/>
    <w:basedOn w:val="Normal"/>
    <w:rsid w:val="0017115B"/>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3">
    <w:name w:val="xl73"/>
    <w:basedOn w:val="Normal"/>
    <w:rsid w:val="0017115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4">
    <w:name w:val="xl74"/>
    <w:basedOn w:val="Normal"/>
    <w:rsid w:val="0017115B"/>
    <w:pPr>
      <w:pBdr>
        <w:top w:val="single" w:sz="4"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75">
    <w:name w:val="xl75"/>
    <w:basedOn w:val="Normal"/>
    <w:rsid w:val="0017115B"/>
    <w:pPr>
      <w:pBdr>
        <w:top w:val="single" w:sz="8" w:space="0" w:color="auto"/>
        <w:left w:val="single" w:sz="8"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76">
    <w:name w:val="xl76"/>
    <w:basedOn w:val="Normal"/>
    <w:rsid w:val="0017115B"/>
    <w:pPr>
      <w:pBdr>
        <w:top w:val="single" w:sz="8" w:space="0" w:color="auto"/>
        <w:left w:val="single" w:sz="4"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77">
    <w:name w:val="xl77"/>
    <w:basedOn w:val="Normal"/>
    <w:rsid w:val="0017115B"/>
    <w:pPr>
      <w:pBdr>
        <w:top w:val="single" w:sz="8" w:space="0" w:color="auto"/>
        <w:lef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78">
    <w:name w:val="xl78"/>
    <w:basedOn w:val="Normal"/>
    <w:rsid w:val="0017115B"/>
    <w:pPr>
      <w:pBdr>
        <w:top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79">
    <w:name w:val="xl79"/>
    <w:basedOn w:val="Normal"/>
    <w:rsid w:val="001711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0">
    <w:name w:val="xl80"/>
    <w:basedOn w:val="Normal"/>
    <w:rsid w:val="0017115B"/>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1">
    <w:name w:val="xl81"/>
    <w:basedOn w:val="Normal"/>
    <w:rsid w:val="0017115B"/>
    <w:pPr>
      <w:pBdr>
        <w:top w:val="single" w:sz="4" w:space="0" w:color="auto"/>
        <w:left w:val="single" w:sz="8" w:space="0" w:color="auto"/>
        <w:bottom w:val="single" w:sz="4" w:space="0" w:color="auto"/>
      </w:pBdr>
      <w:spacing w:before="100" w:beforeAutospacing="1" w:after="100" w:afterAutospacing="1"/>
      <w:ind w:firstLine="0"/>
      <w:jc w:val="left"/>
    </w:pPr>
    <w:rPr>
      <w:sz w:val="24"/>
      <w:szCs w:val="24"/>
      <w:lang w:val="es-ES" w:eastAsia="es-ES"/>
    </w:rPr>
  </w:style>
  <w:style w:type="paragraph" w:customStyle="1" w:styleId="xl82">
    <w:name w:val="xl82"/>
    <w:basedOn w:val="Normal"/>
    <w:rsid w:val="0017115B"/>
    <w:pPr>
      <w:pBdr>
        <w:top w:val="single" w:sz="4" w:space="0" w:color="auto"/>
        <w:left w:val="single" w:sz="8" w:space="0" w:color="auto"/>
        <w:bottom w:val="single" w:sz="4" w:space="0" w:color="auto"/>
      </w:pBdr>
      <w:spacing w:before="100" w:beforeAutospacing="1" w:after="100" w:afterAutospacing="1"/>
      <w:ind w:firstLine="0"/>
      <w:jc w:val="left"/>
    </w:pPr>
    <w:rPr>
      <w:sz w:val="26"/>
      <w:szCs w:val="26"/>
      <w:lang w:val="es-ES" w:eastAsia="es-ES"/>
    </w:rPr>
  </w:style>
  <w:style w:type="paragraph" w:customStyle="1" w:styleId="xl83">
    <w:name w:val="xl83"/>
    <w:basedOn w:val="Normal"/>
    <w:rsid w:val="0017115B"/>
    <w:pPr>
      <w:pBdr>
        <w:top w:val="single" w:sz="4" w:space="0" w:color="auto"/>
        <w:left w:val="single" w:sz="8" w:space="0" w:color="auto"/>
        <w:bottom w:val="single" w:sz="8" w:space="0" w:color="auto"/>
      </w:pBdr>
      <w:spacing w:before="100" w:beforeAutospacing="1" w:after="100" w:afterAutospacing="1"/>
      <w:ind w:firstLine="0"/>
      <w:jc w:val="left"/>
    </w:pPr>
    <w:rPr>
      <w:sz w:val="24"/>
      <w:szCs w:val="24"/>
      <w:lang w:val="es-ES" w:eastAsia="es-ES"/>
    </w:rPr>
  </w:style>
  <w:style w:type="paragraph" w:customStyle="1" w:styleId="xl84">
    <w:name w:val="xl84"/>
    <w:basedOn w:val="Normal"/>
    <w:rsid w:val="0017115B"/>
    <w:pPr>
      <w:pBdr>
        <w:top w:val="single" w:sz="4"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85">
    <w:name w:val="xl85"/>
    <w:basedOn w:val="Normal"/>
    <w:rsid w:val="0017115B"/>
    <w:pPr>
      <w:pBdr>
        <w:top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6">
    <w:name w:val="xl86"/>
    <w:basedOn w:val="Normal"/>
    <w:rsid w:val="0017115B"/>
    <w:pPr>
      <w:pBdr>
        <w:bottom w:val="single" w:sz="8" w:space="0" w:color="auto"/>
      </w:pBdr>
      <w:spacing w:before="100" w:beforeAutospacing="1" w:after="100" w:afterAutospacing="1"/>
      <w:ind w:firstLine="0"/>
      <w:jc w:val="left"/>
    </w:pPr>
    <w:rPr>
      <w:sz w:val="24"/>
      <w:szCs w:val="24"/>
      <w:lang w:val="es-ES" w:eastAsia="es-ES"/>
    </w:rPr>
  </w:style>
  <w:style w:type="paragraph" w:customStyle="1" w:styleId="xl87">
    <w:name w:val="xl87"/>
    <w:basedOn w:val="Normal"/>
    <w:rsid w:val="0017115B"/>
    <w:pPr>
      <w:pBdr>
        <w:left w:val="single" w:sz="8" w:space="0" w:color="auto"/>
        <w:bottom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8">
    <w:name w:val="xl88"/>
    <w:basedOn w:val="Normal"/>
    <w:rsid w:val="001711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9">
    <w:name w:val="xl89"/>
    <w:basedOn w:val="Normal"/>
    <w:rsid w:val="0017115B"/>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0">
    <w:name w:val="xl90"/>
    <w:basedOn w:val="Normal"/>
    <w:rsid w:val="0017115B"/>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1">
    <w:name w:val="xl91"/>
    <w:basedOn w:val="Normal"/>
    <w:rsid w:val="0017115B"/>
    <w:pPr>
      <w:pBdr>
        <w:top w:val="single" w:sz="8" w:space="0" w:color="auto"/>
        <w:left w:val="single" w:sz="8" w:space="0" w:color="auto"/>
        <w:bottom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2">
    <w:name w:val="xl92"/>
    <w:basedOn w:val="Normal"/>
    <w:rsid w:val="0017115B"/>
    <w:pPr>
      <w:pBdr>
        <w:top w:val="single" w:sz="8" w:space="0" w:color="auto"/>
        <w:lef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3">
    <w:name w:val="xl93"/>
    <w:basedOn w:val="Normal"/>
    <w:rsid w:val="0017115B"/>
    <w:pPr>
      <w:pBdr>
        <w:top w:val="single" w:sz="8" w:space="0" w:color="auto"/>
        <w:left w:val="single" w:sz="4" w:space="0" w:color="auto"/>
        <w:bottom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94">
    <w:name w:val="xl94"/>
    <w:basedOn w:val="Normal"/>
    <w:rsid w:val="0017115B"/>
    <w:pPr>
      <w:pBdr>
        <w:top w:val="single" w:sz="4" w:space="0" w:color="auto"/>
        <w:left w:val="single" w:sz="4" w:space="0" w:color="auto"/>
        <w:bottom w:val="single" w:sz="4" w:space="0" w:color="auto"/>
      </w:pBdr>
      <w:spacing w:before="100" w:beforeAutospacing="1" w:after="100" w:afterAutospacing="1"/>
      <w:ind w:firstLine="0"/>
      <w:jc w:val="left"/>
    </w:pPr>
    <w:rPr>
      <w:sz w:val="24"/>
      <w:szCs w:val="24"/>
      <w:lang w:val="es-ES" w:eastAsia="es-ES"/>
    </w:rPr>
  </w:style>
  <w:style w:type="paragraph" w:customStyle="1" w:styleId="xl95">
    <w:name w:val="xl95"/>
    <w:basedOn w:val="Normal"/>
    <w:rsid w:val="0017115B"/>
    <w:pPr>
      <w:pBdr>
        <w:top w:val="single" w:sz="4" w:space="0" w:color="auto"/>
        <w:left w:val="single" w:sz="4" w:space="0" w:color="auto"/>
        <w:bottom w:val="single" w:sz="8" w:space="0" w:color="auto"/>
      </w:pBdr>
      <w:spacing w:before="100" w:beforeAutospacing="1" w:after="100" w:afterAutospacing="1"/>
      <w:ind w:firstLine="0"/>
      <w:jc w:val="left"/>
    </w:pPr>
    <w:rPr>
      <w:sz w:val="24"/>
      <w:szCs w:val="24"/>
      <w:lang w:val="es-ES" w:eastAsia="es-ES"/>
    </w:rPr>
  </w:style>
  <w:style w:type="paragraph" w:customStyle="1" w:styleId="xl96">
    <w:name w:val="xl96"/>
    <w:basedOn w:val="Normal"/>
    <w:rsid w:val="0017115B"/>
    <w:pPr>
      <w:pBdr>
        <w:top w:val="single" w:sz="8" w:space="0" w:color="auto"/>
        <w:left w:val="single" w:sz="8" w:space="0" w:color="auto"/>
        <w:right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7">
    <w:name w:val="xl97"/>
    <w:basedOn w:val="Normal"/>
    <w:rsid w:val="001711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98">
    <w:name w:val="xl98"/>
    <w:basedOn w:val="Normal"/>
    <w:rsid w:val="0017115B"/>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9">
    <w:name w:val="xl99"/>
    <w:basedOn w:val="Normal"/>
    <w:rsid w:val="0017115B"/>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0">
    <w:name w:val="xl100"/>
    <w:basedOn w:val="Normal"/>
    <w:rsid w:val="0017115B"/>
    <w:pPr>
      <w:pBdr>
        <w:top w:val="single" w:sz="8" w:space="0" w:color="auto"/>
        <w:left w:val="single" w:sz="8" w:space="0" w:color="auto"/>
        <w:bottom w:val="single" w:sz="8" w:space="0" w:color="auto"/>
        <w:right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101">
    <w:name w:val="xl101"/>
    <w:basedOn w:val="Normal"/>
    <w:rsid w:val="0017115B"/>
    <w:pPr>
      <w:pBdr>
        <w:top w:val="single" w:sz="8" w:space="0" w:color="auto"/>
        <w:left w:val="single" w:sz="8"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102">
    <w:name w:val="xl102"/>
    <w:basedOn w:val="Normal"/>
    <w:rsid w:val="0017115B"/>
    <w:pPr>
      <w:pBdr>
        <w:left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3">
    <w:name w:val="xl103"/>
    <w:basedOn w:val="Normal"/>
    <w:rsid w:val="0017115B"/>
    <w:pPr>
      <w:pBdr>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4">
    <w:name w:val="xl104"/>
    <w:basedOn w:val="Normal"/>
    <w:rsid w:val="0017115B"/>
    <w:pPr>
      <w:pBdr>
        <w:top w:val="single" w:sz="8" w:space="0" w:color="auto"/>
        <w:left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5">
    <w:name w:val="xl105"/>
    <w:basedOn w:val="Normal"/>
    <w:rsid w:val="0017115B"/>
    <w:pPr>
      <w:pBdr>
        <w:top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6">
    <w:name w:val="xl106"/>
    <w:basedOn w:val="Normal"/>
    <w:rsid w:val="0017115B"/>
    <w:pPr>
      <w:pBdr>
        <w:top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7">
    <w:name w:val="xl107"/>
    <w:basedOn w:val="Normal"/>
    <w:rsid w:val="0017115B"/>
    <w:pPr>
      <w:pBdr>
        <w:top w:val="single" w:sz="8" w:space="0" w:color="auto"/>
        <w:bottom w:val="single" w:sz="8" w:space="0" w:color="auto"/>
        <w:right w:val="single" w:sz="8" w:space="0" w:color="auto"/>
      </w:pBdr>
      <w:spacing w:before="100" w:beforeAutospacing="1" w:after="100" w:afterAutospacing="1"/>
      <w:ind w:firstLine="0"/>
      <w:jc w:val="left"/>
    </w:pPr>
    <w:rPr>
      <w:sz w:val="26"/>
      <w:szCs w:val="26"/>
      <w:lang w:val="es-ES" w:eastAsia="es-ES"/>
    </w:rPr>
  </w:style>
  <w:style w:type="paragraph" w:customStyle="1" w:styleId="xl108">
    <w:name w:val="xl108"/>
    <w:basedOn w:val="Normal"/>
    <w:rsid w:val="0017115B"/>
    <w:pPr>
      <w:pBdr>
        <w:top w:val="single" w:sz="8" w:space="0" w:color="auto"/>
        <w:bottom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Acuerdos">
    <w:name w:val="Acuerdos"/>
    <w:basedOn w:val="Normal"/>
    <w:rsid w:val="0017115B"/>
    <w:pPr>
      <w:widowControl w:val="0"/>
      <w:tabs>
        <w:tab w:val="left" w:pos="709"/>
        <w:tab w:val="center" w:pos="3856"/>
      </w:tabs>
      <w:spacing w:after="0" w:line="380" w:lineRule="atLeast"/>
      <w:ind w:firstLine="709"/>
    </w:pPr>
    <w:rPr>
      <w:rFonts w:ascii="Arial" w:hAnsi="Arial"/>
      <w:sz w:val="24"/>
      <w:lang w:eastAsia="es-ES"/>
    </w:rPr>
  </w:style>
  <w:style w:type="table" w:customStyle="1" w:styleId="Tablaconcuadrcula2">
    <w:name w:val="Tabla con cuadrícula2"/>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05D38"/>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NormalWeb">
    <w:name w:val="Normal (Web)"/>
    <w:basedOn w:val="Normal"/>
    <w:uiPriority w:val="99"/>
    <w:rsid w:val="0017115B"/>
    <w:pPr>
      <w:spacing w:before="100" w:beforeAutospacing="1" w:after="100" w:afterAutospacing="1"/>
      <w:ind w:firstLine="0"/>
      <w:jc w:val="left"/>
    </w:pPr>
    <w:rPr>
      <w:rFonts w:eastAsia="Calibri"/>
      <w:sz w:val="24"/>
      <w:szCs w:val="24"/>
      <w:lang w:val="es-ES" w:eastAsia="es-ES"/>
    </w:rPr>
  </w:style>
  <w:style w:type="character" w:customStyle="1" w:styleId="atitulo1Car">
    <w:name w:val="atitulo1 Car"/>
    <w:link w:val="atitulo1"/>
    <w:uiPriority w:val="99"/>
    <w:rsid w:val="0017115B"/>
    <w:rPr>
      <w:rFonts w:ascii="Arial" w:hAnsi="Arial"/>
      <w:b/>
      <w:color w:val="000000"/>
      <w:kern w:val="28"/>
      <w:sz w:val="25"/>
      <w:szCs w:val="26"/>
      <w:lang w:val="es-ES_tradnl" w:eastAsia="en-US"/>
    </w:rPr>
  </w:style>
  <w:style w:type="character" w:customStyle="1" w:styleId="atitulo2Car">
    <w:name w:val="atitulo2 Car"/>
    <w:link w:val="atitulo2"/>
    <w:locked/>
    <w:rsid w:val="0017115B"/>
    <w:rPr>
      <w:rFonts w:ascii="Arial" w:hAnsi="Arial"/>
      <w:bCs/>
      <w:iCs/>
      <w:color w:val="000000"/>
      <w:spacing w:val="10"/>
      <w:kern w:val="28"/>
      <w:sz w:val="25"/>
      <w:szCs w:val="26"/>
      <w:lang w:val="es-ES_tradnl" w:eastAsia="en-US"/>
    </w:rPr>
  </w:style>
  <w:style w:type="paragraph" w:styleId="Textoindependiente">
    <w:name w:val="Body Text"/>
    <w:basedOn w:val="Normal"/>
    <w:link w:val="TextoindependienteCar"/>
    <w:rsid w:val="0017115B"/>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17115B"/>
    <w:rPr>
      <w:rFonts w:ascii="Arial" w:eastAsia="Calibri" w:hAnsi="Arial"/>
      <w:sz w:val="24"/>
      <w:lang w:val="es-ES_tradnl"/>
    </w:rPr>
  </w:style>
  <w:style w:type="character" w:customStyle="1" w:styleId="Ttulo5Car">
    <w:name w:val="Título 5 Car"/>
    <w:link w:val="Ttulo5"/>
    <w:locked/>
    <w:rsid w:val="0017115B"/>
    <w:rPr>
      <w:b/>
      <w:sz w:val="28"/>
      <w:lang w:eastAsia="en-US"/>
    </w:rPr>
  </w:style>
  <w:style w:type="paragraph" w:styleId="Textonotapie">
    <w:name w:val="footnote text"/>
    <w:basedOn w:val="Normal"/>
    <w:link w:val="TextonotapieCar"/>
    <w:rsid w:val="0017115B"/>
    <w:pPr>
      <w:spacing w:after="0"/>
    </w:pPr>
  </w:style>
  <w:style w:type="character" w:customStyle="1" w:styleId="TextonotapieCar">
    <w:name w:val="Texto nota pie Car"/>
    <w:basedOn w:val="Fuentedeprrafopredeter"/>
    <w:link w:val="Textonotapie"/>
    <w:rsid w:val="0017115B"/>
    <w:rPr>
      <w:lang w:val="es-ES_tradnl" w:eastAsia="en-US"/>
    </w:rPr>
  </w:style>
  <w:style w:type="table" w:customStyle="1" w:styleId="Tablaconcuadrcula1">
    <w:name w:val="Tabla con cuadrícula1"/>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rsid w:val="0017115B"/>
    <w:rPr>
      <w:vertAlign w:val="superscript"/>
    </w:rPr>
  </w:style>
  <w:style w:type="paragraph" w:customStyle="1" w:styleId="prea">
    <w:name w:val="prea"/>
    <w:basedOn w:val="Normal"/>
    <w:rsid w:val="0017115B"/>
    <w:pPr>
      <w:spacing w:before="100" w:beforeAutospacing="1" w:after="100" w:afterAutospacing="1"/>
      <w:ind w:firstLine="0"/>
      <w:jc w:val="left"/>
    </w:pPr>
    <w:rPr>
      <w:sz w:val="24"/>
      <w:szCs w:val="24"/>
      <w:lang w:val="es-ES" w:eastAsia="es-ES"/>
    </w:rPr>
  </w:style>
  <w:style w:type="character" w:customStyle="1" w:styleId="PiedepginaCar">
    <w:name w:val="Pie de página Car"/>
    <w:basedOn w:val="Fuentedeprrafopredeter"/>
    <w:link w:val="Piedepgina"/>
    <w:uiPriority w:val="99"/>
    <w:rsid w:val="0017115B"/>
    <w:rPr>
      <w:spacing w:val="6"/>
      <w:lang w:val="es-ES_tradnl" w:eastAsia="en-US"/>
    </w:rPr>
  </w:style>
  <w:style w:type="paragraph" w:styleId="Prrafodelista">
    <w:name w:val="List Paragraph"/>
    <w:basedOn w:val="Normal"/>
    <w:uiPriority w:val="34"/>
    <w:qFormat/>
    <w:rsid w:val="0017115B"/>
    <w:pPr>
      <w:ind w:left="720"/>
      <w:contextualSpacing/>
    </w:pPr>
  </w:style>
  <w:style w:type="paragraph" w:customStyle="1" w:styleId="foral-f-parrafo-c">
    <w:name w:val="foral-f-parrafo-c"/>
    <w:basedOn w:val="Normal"/>
    <w:rsid w:val="0017115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17115B"/>
    <w:pPr>
      <w:spacing w:before="100" w:beforeAutospacing="1" w:after="100" w:afterAutospacing="1"/>
      <w:ind w:firstLine="0"/>
      <w:jc w:val="left"/>
    </w:pPr>
    <w:rPr>
      <w:sz w:val="24"/>
      <w:szCs w:val="24"/>
      <w:lang w:val="es-ES" w:eastAsia="es-ES"/>
    </w:rPr>
  </w:style>
  <w:style w:type="paragraph" w:customStyle="1" w:styleId="Default">
    <w:name w:val="Default"/>
    <w:rsid w:val="0017115B"/>
    <w:pPr>
      <w:autoSpaceDE w:val="0"/>
      <w:autoSpaceDN w:val="0"/>
      <w:adjustRightInd w:val="0"/>
    </w:pPr>
    <w:rPr>
      <w:color w:val="000000"/>
      <w:sz w:val="24"/>
      <w:szCs w:val="24"/>
    </w:rPr>
  </w:style>
  <w:style w:type="character" w:customStyle="1" w:styleId="TextodegloboCar">
    <w:name w:val="Texto de globo Car"/>
    <w:basedOn w:val="Fuentedeprrafopredeter"/>
    <w:link w:val="Textodeglobo"/>
    <w:uiPriority w:val="99"/>
    <w:semiHidden/>
    <w:rsid w:val="0017115B"/>
    <w:rPr>
      <w:rFonts w:ascii="Tahoma" w:hAnsi="Tahoma" w:cs="Tahoma"/>
      <w:sz w:val="16"/>
      <w:szCs w:val="16"/>
      <w:lang w:val="es-ES_tradnl" w:eastAsia="en-US"/>
    </w:rPr>
  </w:style>
  <w:style w:type="paragraph" w:customStyle="1" w:styleId="xl1">
    <w:name w:val="xl1"/>
    <w:basedOn w:val="Normal"/>
    <w:rsid w:val="0017115B"/>
    <w:pPr>
      <w:spacing w:before="100" w:beforeAutospacing="1" w:after="100" w:afterAutospacing="1"/>
      <w:ind w:firstLine="0"/>
      <w:jc w:val="left"/>
    </w:pPr>
    <w:rPr>
      <w:sz w:val="24"/>
      <w:szCs w:val="24"/>
      <w:lang w:val="es-ES" w:eastAsia="es-ES"/>
    </w:rPr>
  </w:style>
  <w:style w:type="paragraph" w:customStyle="1" w:styleId="xl2">
    <w:name w:val="xl2"/>
    <w:basedOn w:val="Normal"/>
    <w:rsid w:val="0017115B"/>
    <w:pPr>
      <w:spacing w:before="100" w:beforeAutospacing="1" w:after="100" w:afterAutospacing="1"/>
      <w:ind w:firstLine="0"/>
      <w:jc w:val="left"/>
    </w:pPr>
    <w:rPr>
      <w:sz w:val="24"/>
      <w:szCs w:val="24"/>
      <w:lang w:val="es-ES" w:eastAsia="es-ES"/>
    </w:rPr>
  </w:style>
  <w:style w:type="character" w:customStyle="1" w:styleId="atitulo3Car">
    <w:name w:val="atitulo3 Car"/>
    <w:link w:val="atitulo3"/>
    <w:rsid w:val="0017115B"/>
    <w:rPr>
      <w:rFonts w:ascii="Arial" w:hAnsi="Arial"/>
      <w:i/>
      <w:iCs/>
      <w:color w:val="000000"/>
      <w:spacing w:val="10"/>
      <w:kern w:val="28"/>
      <w:sz w:val="25"/>
      <w:szCs w:val="26"/>
      <w:lang w:val="es-ES_tradnl" w:eastAsia="en-US"/>
    </w:rPr>
  </w:style>
  <w:style w:type="paragraph" w:customStyle="1" w:styleId="parrafo">
    <w:name w:val="parrafo"/>
    <w:basedOn w:val="Normal"/>
    <w:rsid w:val="0017115B"/>
    <w:pPr>
      <w:spacing w:before="100" w:beforeAutospacing="1" w:after="100" w:afterAutospacing="1"/>
      <w:ind w:firstLine="0"/>
      <w:jc w:val="left"/>
    </w:pPr>
    <w:rPr>
      <w:sz w:val="24"/>
      <w:szCs w:val="24"/>
      <w:lang w:val="es-ES" w:eastAsia="es-ES"/>
    </w:rPr>
  </w:style>
  <w:style w:type="paragraph" w:customStyle="1" w:styleId="parrafo2">
    <w:name w:val="parrafo_2"/>
    <w:basedOn w:val="Normal"/>
    <w:rsid w:val="0017115B"/>
    <w:pPr>
      <w:spacing w:before="100" w:beforeAutospacing="1" w:after="100" w:afterAutospacing="1"/>
      <w:ind w:firstLine="0"/>
      <w:jc w:val="left"/>
    </w:pPr>
    <w:rPr>
      <w:sz w:val="24"/>
      <w:szCs w:val="24"/>
      <w:lang w:val="es-ES" w:eastAsia="es-ES"/>
    </w:rPr>
  </w:style>
  <w:style w:type="numbering" w:customStyle="1" w:styleId="Sinlista1">
    <w:name w:val="Sin lista1"/>
    <w:next w:val="Sinlista"/>
    <w:uiPriority w:val="99"/>
    <w:semiHidden/>
    <w:unhideWhenUsed/>
    <w:rsid w:val="0017115B"/>
  </w:style>
  <w:style w:type="character" w:customStyle="1" w:styleId="EncabezadoCar">
    <w:name w:val="Encabezado Car"/>
    <w:basedOn w:val="Fuentedeprrafopredeter"/>
    <w:link w:val="Encabezado"/>
    <w:uiPriority w:val="99"/>
    <w:rsid w:val="0017115B"/>
    <w:rPr>
      <w:bCs/>
      <w:caps/>
      <w:sz w:val="14"/>
      <w:szCs w:val="12"/>
      <w:lang w:val="es-ES_tradnl" w:eastAsia="en-US"/>
    </w:rPr>
  </w:style>
  <w:style w:type="character" w:styleId="Hipervnculovisitado">
    <w:name w:val="FollowedHyperlink"/>
    <w:basedOn w:val="Fuentedeprrafopredeter"/>
    <w:uiPriority w:val="99"/>
    <w:unhideWhenUsed/>
    <w:rsid w:val="0017115B"/>
    <w:rPr>
      <w:color w:val="800080"/>
      <w:u w:val="single"/>
    </w:rPr>
  </w:style>
  <w:style w:type="paragraph" w:customStyle="1" w:styleId="xl65">
    <w:name w:val="xl65"/>
    <w:basedOn w:val="Normal"/>
    <w:rsid w:val="0017115B"/>
    <w:pPr>
      <w:spacing w:before="100" w:beforeAutospacing="1" w:after="100" w:afterAutospacing="1"/>
      <w:ind w:firstLine="0"/>
      <w:jc w:val="left"/>
    </w:pPr>
    <w:rPr>
      <w:sz w:val="26"/>
      <w:szCs w:val="26"/>
      <w:lang w:val="es-ES" w:eastAsia="es-ES"/>
    </w:rPr>
  </w:style>
  <w:style w:type="paragraph" w:customStyle="1" w:styleId="xl68">
    <w:name w:val="xl68"/>
    <w:basedOn w:val="Normal"/>
    <w:rsid w:val="0017115B"/>
    <w:pPr>
      <w:pBdr>
        <w:top w:val="single" w:sz="8" w:space="0" w:color="auto"/>
        <w:left w:val="single" w:sz="4" w:space="0" w:color="auto"/>
        <w:bottom w:val="single" w:sz="8"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69">
    <w:name w:val="xl69"/>
    <w:basedOn w:val="Normal"/>
    <w:rsid w:val="0017115B"/>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0">
    <w:name w:val="xl70"/>
    <w:basedOn w:val="Normal"/>
    <w:rsid w:val="0017115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1">
    <w:name w:val="xl71"/>
    <w:basedOn w:val="Normal"/>
    <w:rsid w:val="0017115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6"/>
      <w:szCs w:val="26"/>
      <w:lang w:val="es-ES" w:eastAsia="es-ES"/>
    </w:rPr>
  </w:style>
  <w:style w:type="paragraph" w:customStyle="1" w:styleId="xl72">
    <w:name w:val="xl72"/>
    <w:basedOn w:val="Normal"/>
    <w:rsid w:val="0017115B"/>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3">
    <w:name w:val="xl73"/>
    <w:basedOn w:val="Normal"/>
    <w:rsid w:val="0017115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sz w:val="24"/>
      <w:szCs w:val="24"/>
      <w:lang w:val="es-ES" w:eastAsia="es-ES"/>
    </w:rPr>
  </w:style>
  <w:style w:type="paragraph" w:customStyle="1" w:styleId="xl74">
    <w:name w:val="xl74"/>
    <w:basedOn w:val="Normal"/>
    <w:rsid w:val="0017115B"/>
    <w:pPr>
      <w:pBdr>
        <w:top w:val="single" w:sz="4"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75">
    <w:name w:val="xl75"/>
    <w:basedOn w:val="Normal"/>
    <w:rsid w:val="0017115B"/>
    <w:pPr>
      <w:pBdr>
        <w:top w:val="single" w:sz="8" w:space="0" w:color="auto"/>
        <w:left w:val="single" w:sz="8"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76">
    <w:name w:val="xl76"/>
    <w:basedOn w:val="Normal"/>
    <w:rsid w:val="0017115B"/>
    <w:pPr>
      <w:pBdr>
        <w:top w:val="single" w:sz="8" w:space="0" w:color="auto"/>
        <w:left w:val="single" w:sz="4" w:space="0" w:color="auto"/>
        <w:righ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77">
    <w:name w:val="xl77"/>
    <w:basedOn w:val="Normal"/>
    <w:rsid w:val="0017115B"/>
    <w:pPr>
      <w:pBdr>
        <w:top w:val="single" w:sz="8" w:space="0" w:color="auto"/>
        <w:lef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78">
    <w:name w:val="xl78"/>
    <w:basedOn w:val="Normal"/>
    <w:rsid w:val="0017115B"/>
    <w:pPr>
      <w:pBdr>
        <w:top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79">
    <w:name w:val="xl79"/>
    <w:basedOn w:val="Normal"/>
    <w:rsid w:val="001711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0">
    <w:name w:val="xl80"/>
    <w:basedOn w:val="Normal"/>
    <w:rsid w:val="0017115B"/>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1">
    <w:name w:val="xl81"/>
    <w:basedOn w:val="Normal"/>
    <w:rsid w:val="0017115B"/>
    <w:pPr>
      <w:pBdr>
        <w:top w:val="single" w:sz="4" w:space="0" w:color="auto"/>
        <w:left w:val="single" w:sz="8" w:space="0" w:color="auto"/>
        <w:bottom w:val="single" w:sz="4" w:space="0" w:color="auto"/>
      </w:pBdr>
      <w:spacing w:before="100" w:beforeAutospacing="1" w:after="100" w:afterAutospacing="1"/>
      <w:ind w:firstLine="0"/>
      <w:jc w:val="left"/>
    </w:pPr>
    <w:rPr>
      <w:sz w:val="24"/>
      <w:szCs w:val="24"/>
      <w:lang w:val="es-ES" w:eastAsia="es-ES"/>
    </w:rPr>
  </w:style>
  <w:style w:type="paragraph" w:customStyle="1" w:styleId="xl82">
    <w:name w:val="xl82"/>
    <w:basedOn w:val="Normal"/>
    <w:rsid w:val="0017115B"/>
    <w:pPr>
      <w:pBdr>
        <w:top w:val="single" w:sz="4" w:space="0" w:color="auto"/>
        <w:left w:val="single" w:sz="8" w:space="0" w:color="auto"/>
        <w:bottom w:val="single" w:sz="4" w:space="0" w:color="auto"/>
      </w:pBdr>
      <w:spacing w:before="100" w:beforeAutospacing="1" w:after="100" w:afterAutospacing="1"/>
      <w:ind w:firstLine="0"/>
      <w:jc w:val="left"/>
    </w:pPr>
    <w:rPr>
      <w:sz w:val="26"/>
      <w:szCs w:val="26"/>
      <w:lang w:val="es-ES" w:eastAsia="es-ES"/>
    </w:rPr>
  </w:style>
  <w:style w:type="paragraph" w:customStyle="1" w:styleId="xl83">
    <w:name w:val="xl83"/>
    <w:basedOn w:val="Normal"/>
    <w:rsid w:val="0017115B"/>
    <w:pPr>
      <w:pBdr>
        <w:top w:val="single" w:sz="4" w:space="0" w:color="auto"/>
        <w:left w:val="single" w:sz="8" w:space="0" w:color="auto"/>
        <w:bottom w:val="single" w:sz="8" w:space="0" w:color="auto"/>
      </w:pBdr>
      <w:spacing w:before="100" w:beforeAutospacing="1" w:after="100" w:afterAutospacing="1"/>
      <w:ind w:firstLine="0"/>
      <w:jc w:val="left"/>
    </w:pPr>
    <w:rPr>
      <w:sz w:val="24"/>
      <w:szCs w:val="24"/>
      <w:lang w:val="es-ES" w:eastAsia="es-ES"/>
    </w:rPr>
  </w:style>
  <w:style w:type="paragraph" w:customStyle="1" w:styleId="xl84">
    <w:name w:val="xl84"/>
    <w:basedOn w:val="Normal"/>
    <w:rsid w:val="0017115B"/>
    <w:pPr>
      <w:pBdr>
        <w:top w:val="single" w:sz="4"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85">
    <w:name w:val="xl85"/>
    <w:basedOn w:val="Normal"/>
    <w:rsid w:val="0017115B"/>
    <w:pPr>
      <w:pBdr>
        <w:top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6">
    <w:name w:val="xl86"/>
    <w:basedOn w:val="Normal"/>
    <w:rsid w:val="0017115B"/>
    <w:pPr>
      <w:pBdr>
        <w:bottom w:val="single" w:sz="8" w:space="0" w:color="auto"/>
      </w:pBdr>
      <w:spacing w:before="100" w:beforeAutospacing="1" w:after="100" w:afterAutospacing="1"/>
      <w:ind w:firstLine="0"/>
      <w:jc w:val="left"/>
    </w:pPr>
    <w:rPr>
      <w:sz w:val="24"/>
      <w:szCs w:val="24"/>
      <w:lang w:val="es-ES" w:eastAsia="es-ES"/>
    </w:rPr>
  </w:style>
  <w:style w:type="paragraph" w:customStyle="1" w:styleId="xl87">
    <w:name w:val="xl87"/>
    <w:basedOn w:val="Normal"/>
    <w:rsid w:val="0017115B"/>
    <w:pPr>
      <w:pBdr>
        <w:left w:val="single" w:sz="8" w:space="0" w:color="auto"/>
        <w:bottom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8">
    <w:name w:val="xl88"/>
    <w:basedOn w:val="Normal"/>
    <w:rsid w:val="001711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89">
    <w:name w:val="xl89"/>
    <w:basedOn w:val="Normal"/>
    <w:rsid w:val="0017115B"/>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0">
    <w:name w:val="xl90"/>
    <w:basedOn w:val="Normal"/>
    <w:rsid w:val="0017115B"/>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1">
    <w:name w:val="xl91"/>
    <w:basedOn w:val="Normal"/>
    <w:rsid w:val="0017115B"/>
    <w:pPr>
      <w:pBdr>
        <w:top w:val="single" w:sz="8" w:space="0" w:color="auto"/>
        <w:left w:val="single" w:sz="8" w:space="0" w:color="auto"/>
        <w:bottom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2">
    <w:name w:val="xl92"/>
    <w:basedOn w:val="Normal"/>
    <w:rsid w:val="0017115B"/>
    <w:pPr>
      <w:pBdr>
        <w:top w:val="single" w:sz="8" w:space="0" w:color="auto"/>
        <w:left w:val="single" w:sz="4"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3">
    <w:name w:val="xl93"/>
    <w:basedOn w:val="Normal"/>
    <w:rsid w:val="0017115B"/>
    <w:pPr>
      <w:pBdr>
        <w:top w:val="single" w:sz="8" w:space="0" w:color="auto"/>
        <w:left w:val="single" w:sz="4" w:space="0" w:color="auto"/>
        <w:bottom w:val="single" w:sz="4"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94">
    <w:name w:val="xl94"/>
    <w:basedOn w:val="Normal"/>
    <w:rsid w:val="0017115B"/>
    <w:pPr>
      <w:pBdr>
        <w:top w:val="single" w:sz="4" w:space="0" w:color="auto"/>
        <w:left w:val="single" w:sz="4" w:space="0" w:color="auto"/>
        <w:bottom w:val="single" w:sz="4" w:space="0" w:color="auto"/>
      </w:pBdr>
      <w:spacing w:before="100" w:beforeAutospacing="1" w:after="100" w:afterAutospacing="1"/>
      <w:ind w:firstLine="0"/>
      <w:jc w:val="left"/>
    </w:pPr>
    <w:rPr>
      <w:sz w:val="24"/>
      <w:szCs w:val="24"/>
      <w:lang w:val="es-ES" w:eastAsia="es-ES"/>
    </w:rPr>
  </w:style>
  <w:style w:type="paragraph" w:customStyle="1" w:styleId="xl95">
    <w:name w:val="xl95"/>
    <w:basedOn w:val="Normal"/>
    <w:rsid w:val="0017115B"/>
    <w:pPr>
      <w:pBdr>
        <w:top w:val="single" w:sz="4" w:space="0" w:color="auto"/>
        <w:left w:val="single" w:sz="4" w:space="0" w:color="auto"/>
        <w:bottom w:val="single" w:sz="8" w:space="0" w:color="auto"/>
      </w:pBdr>
      <w:spacing w:before="100" w:beforeAutospacing="1" w:after="100" w:afterAutospacing="1"/>
      <w:ind w:firstLine="0"/>
      <w:jc w:val="left"/>
    </w:pPr>
    <w:rPr>
      <w:sz w:val="24"/>
      <w:szCs w:val="24"/>
      <w:lang w:val="es-ES" w:eastAsia="es-ES"/>
    </w:rPr>
  </w:style>
  <w:style w:type="paragraph" w:customStyle="1" w:styleId="xl96">
    <w:name w:val="xl96"/>
    <w:basedOn w:val="Normal"/>
    <w:rsid w:val="0017115B"/>
    <w:pPr>
      <w:pBdr>
        <w:top w:val="single" w:sz="8" w:space="0" w:color="auto"/>
        <w:left w:val="single" w:sz="8" w:space="0" w:color="auto"/>
        <w:right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97">
    <w:name w:val="xl97"/>
    <w:basedOn w:val="Normal"/>
    <w:rsid w:val="001711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98">
    <w:name w:val="xl98"/>
    <w:basedOn w:val="Normal"/>
    <w:rsid w:val="0017115B"/>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99">
    <w:name w:val="xl99"/>
    <w:basedOn w:val="Normal"/>
    <w:rsid w:val="0017115B"/>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0">
    <w:name w:val="xl100"/>
    <w:basedOn w:val="Normal"/>
    <w:rsid w:val="0017115B"/>
    <w:pPr>
      <w:pBdr>
        <w:top w:val="single" w:sz="8" w:space="0" w:color="auto"/>
        <w:left w:val="single" w:sz="8" w:space="0" w:color="auto"/>
        <w:bottom w:val="single" w:sz="8" w:space="0" w:color="auto"/>
        <w:right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xl101">
    <w:name w:val="xl101"/>
    <w:basedOn w:val="Normal"/>
    <w:rsid w:val="0017115B"/>
    <w:pPr>
      <w:pBdr>
        <w:top w:val="single" w:sz="8" w:space="0" w:color="auto"/>
        <w:left w:val="single" w:sz="8" w:space="0" w:color="auto"/>
        <w:right w:val="single" w:sz="8" w:space="0" w:color="auto"/>
      </w:pBdr>
      <w:shd w:val="clear" w:color="000000" w:fill="FDE9D9"/>
      <w:spacing w:before="100" w:beforeAutospacing="1" w:after="100" w:afterAutospacing="1"/>
      <w:ind w:firstLine="0"/>
      <w:jc w:val="left"/>
    </w:pPr>
    <w:rPr>
      <w:sz w:val="26"/>
      <w:szCs w:val="26"/>
      <w:lang w:val="es-ES" w:eastAsia="es-ES"/>
    </w:rPr>
  </w:style>
  <w:style w:type="paragraph" w:customStyle="1" w:styleId="xl102">
    <w:name w:val="xl102"/>
    <w:basedOn w:val="Normal"/>
    <w:rsid w:val="0017115B"/>
    <w:pPr>
      <w:pBdr>
        <w:left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3">
    <w:name w:val="xl103"/>
    <w:basedOn w:val="Normal"/>
    <w:rsid w:val="0017115B"/>
    <w:pPr>
      <w:pBdr>
        <w:left w:val="single" w:sz="8" w:space="0" w:color="auto"/>
        <w:bottom w:val="single" w:sz="8" w:space="0" w:color="auto"/>
        <w:right w:val="single" w:sz="8" w:space="0" w:color="auto"/>
      </w:pBdr>
      <w:spacing w:before="100" w:beforeAutospacing="1" w:after="100" w:afterAutospacing="1"/>
      <w:ind w:firstLine="0"/>
      <w:jc w:val="left"/>
    </w:pPr>
    <w:rPr>
      <w:sz w:val="24"/>
      <w:szCs w:val="24"/>
      <w:lang w:val="es-ES" w:eastAsia="es-ES"/>
    </w:rPr>
  </w:style>
  <w:style w:type="paragraph" w:customStyle="1" w:styleId="xl104">
    <w:name w:val="xl104"/>
    <w:basedOn w:val="Normal"/>
    <w:rsid w:val="0017115B"/>
    <w:pPr>
      <w:pBdr>
        <w:top w:val="single" w:sz="8" w:space="0" w:color="auto"/>
        <w:left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5">
    <w:name w:val="xl105"/>
    <w:basedOn w:val="Normal"/>
    <w:rsid w:val="0017115B"/>
    <w:pPr>
      <w:pBdr>
        <w:top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6">
    <w:name w:val="xl106"/>
    <w:basedOn w:val="Normal"/>
    <w:rsid w:val="0017115B"/>
    <w:pPr>
      <w:pBdr>
        <w:top w:val="single" w:sz="8" w:space="0" w:color="auto"/>
        <w:bottom w:val="single" w:sz="8" w:space="0" w:color="auto"/>
      </w:pBdr>
      <w:spacing w:before="100" w:beforeAutospacing="1" w:after="100" w:afterAutospacing="1"/>
      <w:ind w:firstLine="0"/>
      <w:jc w:val="left"/>
    </w:pPr>
    <w:rPr>
      <w:sz w:val="26"/>
      <w:szCs w:val="26"/>
      <w:lang w:val="es-ES" w:eastAsia="es-ES"/>
    </w:rPr>
  </w:style>
  <w:style w:type="paragraph" w:customStyle="1" w:styleId="xl107">
    <w:name w:val="xl107"/>
    <w:basedOn w:val="Normal"/>
    <w:rsid w:val="0017115B"/>
    <w:pPr>
      <w:pBdr>
        <w:top w:val="single" w:sz="8" w:space="0" w:color="auto"/>
        <w:bottom w:val="single" w:sz="8" w:space="0" w:color="auto"/>
        <w:right w:val="single" w:sz="8" w:space="0" w:color="auto"/>
      </w:pBdr>
      <w:spacing w:before="100" w:beforeAutospacing="1" w:after="100" w:afterAutospacing="1"/>
      <w:ind w:firstLine="0"/>
      <w:jc w:val="left"/>
    </w:pPr>
    <w:rPr>
      <w:sz w:val="26"/>
      <w:szCs w:val="26"/>
      <w:lang w:val="es-ES" w:eastAsia="es-ES"/>
    </w:rPr>
  </w:style>
  <w:style w:type="paragraph" w:customStyle="1" w:styleId="xl108">
    <w:name w:val="xl108"/>
    <w:basedOn w:val="Normal"/>
    <w:rsid w:val="0017115B"/>
    <w:pPr>
      <w:pBdr>
        <w:top w:val="single" w:sz="8" w:space="0" w:color="auto"/>
        <w:bottom w:val="single" w:sz="8" w:space="0" w:color="auto"/>
      </w:pBdr>
      <w:shd w:val="clear" w:color="000000" w:fill="DDDDDD"/>
      <w:spacing w:before="100" w:beforeAutospacing="1" w:after="100" w:afterAutospacing="1"/>
      <w:ind w:firstLine="0"/>
      <w:jc w:val="center"/>
      <w:textAlignment w:val="center"/>
    </w:pPr>
    <w:rPr>
      <w:b/>
      <w:bCs/>
      <w:sz w:val="24"/>
      <w:szCs w:val="24"/>
      <w:lang w:val="es-ES" w:eastAsia="es-ES"/>
    </w:rPr>
  </w:style>
  <w:style w:type="paragraph" w:customStyle="1" w:styleId="Acuerdos">
    <w:name w:val="Acuerdos"/>
    <w:basedOn w:val="Normal"/>
    <w:rsid w:val="0017115B"/>
    <w:pPr>
      <w:widowControl w:val="0"/>
      <w:tabs>
        <w:tab w:val="left" w:pos="709"/>
        <w:tab w:val="center" w:pos="3856"/>
      </w:tabs>
      <w:spacing w:after="0" w:line="380" w:lineRule="atLeast"/>
      <w:ind w:firstLine="709"/>
    </w:pPr>
    <w:rPr>
      <w:rFonts w:ascii="Arial" w:hAnsi="Arial"/>
      <w:sz w:val="24"/>
      <w:lang w:eastAsia="es-ES"/>
    </w:rPr>
  </w:style>
  <w:style w:type="table" w:customStyle="1" w:styleId="Tablaconcuadrcula2">
    <w:name w:val="Tabla con cuadrícula2"/>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17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864">
      <w:bodyDiv w:val="1"/>
      <w:marLeft w:val="0"/>
      <w:marRight w:val="0"/>
      <w:marTop w:val="0"/>
      <w:marBottom w:val="0"/>
      <w:divBdr>
        <w:top w:val="none" w:sz="0" w:space="0" w:color="auto"/>
        <w:left w:val="none" w:sz="0" w:space="0" w:color="auto"/>
        <w:bottom w:val="none" w:sz="0" w:space="0" w:color="auto"/>
        <w:right w:val="none" w:sz="0" w:space="0" w:color="auto"/>
      </w:divBdr>
    </w:div>
    <w:div w:id="14502284">
      <w:bodyDiv w:val="1"/>
      <w:marLeft w:val="0"/>
      <w:marRight w:val="0"/>
      <w:marTop w:val="0"/>
      <w:marBottom w:val="0"/>
      <w:divBdr>
        <w:top w:val="none" w:sz="0" w:space="0" w:color="auto"/>
        <w:left w:val="none" w:sz="0" w:space="0" w:color="auto"/>
        <w:bottom w:val="none" w:sz="0" w:space="0" w:color="auto"/>
        <w:right w:val="none" w:sz="0" w:space="0" w:color="auto"/>
      </w:divBdr>
    </w:div>
    <w:div w:id="30690434">
      <w:bodyDiv w:val="1"/>
      <w:marLeft w:val="0"/>
      <w:marRight w:val="0"/>
      <w:marTop w:val="0"/>
      <w:marBottom w:val="0"/>
      <w:divBdr>
        <w:top w:val="none" w:sz="0" w:space="0" w:color="auto"/>
        <w:left w:val="none" w:sz="0" w:space="0" w:color="auto"/>
        <w:bottom w:val="none" w:sz="0" w:space="0" w:color="auto"/>
        <w:right w:val="none" w:sz="0" w:space="0" w:color="auto"/>
      </w:divBdr>
    </w:div>
    <w:div w:id="43406410">
      <w:bodyDiv w:val="1"/>
      <w:marLeft w:val="0"/>
      <w:marRight w:val="0"/>
      <w:marTop w:val="0"/>
      <w:marBottom w:val="0"/>
      <w:divBdr>
        <w:top w:val="none" w:sz="0" w:space="0" w:color="auto"/>
        <w:left w:val="none" w:sz="0" w:space="0" w:color="auto"/>
        <w:bottom w:val="none" w:sz="0" w:space="0" w:color="auto"/>
        <w:right w:val="none" w:sz="0" w:space="0" w:color="auto"/>
      </w:divBdr>
    </w:div>
    <w:div w:id="45031500">
      <w:bodyDiv w:val="1"/>
      <w:marLeft w:val="0"/>
      <w:marRight w:val="0"/>
      <w:marTop w:val="0"/>
      <w:marBottom w:val="0"/>
      <w:divBdr>
        <w:top w:val="none" w:sz="0" w:space="0" w:color="auto"/>
        <w:left w:val="none" w:sz="0" w:space="0" w:color="auto"/>
        <w:bottom w:val="none" w:sz="0" w:space="0" w:color="auto"/>
        <w:right w:val="none" w:sz="0" w:space="0" w:color="auto"/>
      </w:divBdr>
    </w:div>
    <w:div w:id="109054397">
      <w:bodyDiv w:val="1"/>
      <w:marLeft w:val="0"/>
      <w:marRight w:val="0"/>
      <w:marTop w:val="0"/>
      <w:marBottom w:val="0"/>
      <w:divBdr>
        <w:top w:val="none" w:sz="0" w:space="0" w:color="auto"/>
        <w:left w:val="none" w:sz="0" w:space="0" w:color="auto"/>
        <w:bottom w:val="none" w:sz="0" w:space="0" w:color="auto"/>
        <w:right w:val="none" w:sz="0" w:space="0" w:color="auto"/>
      </w:divBdr>
    </w:div>
    <w:div w:id="173418944">
      <w:bodyDiv w:val="1"/>
      <w:marLeft w:val="0"/>
      <w:marRight w:val="0"/>
      <w:marTop w:val="0"/>
      <w:marBottom w:val="0"/>
      <w:divBdr>
        <w:top w:val="none" w:sz="0" w:space="0" w:color="auto"/>
        <w:left w:val="none" w:sz="0" w:space="0" w:color="auto"/>
        <w:bottom w:val="none" w:sz="0" w:space="0" w:color="auto"/>
        <w:right w:val="none" w:sz="0" w:space="0" w:color="auto"/>
      </w:divBdr>
    </w:div>
    <w:div w:id="199516099">
      <w:bodyDiv w:val="1"/>
      <w:marLeft w:val="0"/>
      <w:marRight w:val="0"/>
      <w:marTop w:val="0"/>
      <w:marBottom w:val="0"/>
      <w:divBdr>
        <w:top w:val="none" w:sz="0" w:space="0" w:color="auto"/>
        <w:left w:val="none" w:sz="0" w:space="0" w:color="auto"/>
        <w:bottom w:val="none" w:sz="0" w:space="0" w:color="auto"/>
        <w:right w:val="none" w:sz="0" w:space="0" w:color="auto"/>
      </w:divBdr>
    </w:div>
    <w:div w:id="200628005">
      <w:bodyDiv w:val="1"/>
      <w:marLeft w:val="0"/>
      <w:marRight w:val="0"/>
      <w:marTop w:val="0"/>
      <w:marBottom w:val="0"/>
      <w:divBdr>
        <w:top w:val="none" w:sz="0" w:space="0" w:color="auto"/>
        <w:left w:val="none" w:sz="0" w:space="0" w:color="auto"/>
        <w:bottom w:val="none" w:sz="0" w:space="0" w:color="auto"/>
        <w:right w:val="none" w:sz="0" w:space="0" w:color="auto"/>
      </w:divBdr>
    </w:div>
    <w:div w:id="261182784">
      <w:bodyDiv w:val="1"/>
      <w:marLeft w:val="0"/>
      <w:marRight w:val="0"/>
      <w:marTop w:val="0"/>
      <w:marBottom w:val="0"/>
      <w:divBdr>
        <w:top w:val="none" w:sz="0" w:space="0" w:color="auto"/>
        <w:left w:val="none" w:sz="0" w:space="0" w:color="auto"/>
        <w:bottom w:val="none" w:sz="0" w:space="0" w:color="auto"/>
        <w:right w:val="none" w:sz="0" w:space="0" w:color="auto"/>
      </w:divBdr>
    </w:div>
    <w:div w:id="274795767">
      <w:bodyDiv w:val="1"/>
      <w:marLeft w:val="0"/>
      <w:marRight w:val="0"/>
      <w:marTop w:val="0"/>
      <w:marBottom w:val="0"/>
      <w:divBdr>
        <w:top w:val="none" w:sz="0" w:space="0" w:color="auto"/>
        <w:left w:val="none" w:sz="0" w:space="0" w:color="auto"/>
        <w:bottom w:val="none" w:sz="0" w:space="0" w:color="auto"/>
        <w:right w:val="none" w:sz="0" w:space="0" w:color="auto"/>
      </w:divBdr>
    </w:div>
    <w:div w:id="286089437">
      <w:bodyDiv w:val="1"/>
      <w:marLeft w:val="0"/>
      <w:marRight w:val="0"/>
      <w:marTop w:val="0"/>
      <w:marBottom w:val="0"/>
      <w:divBdr>
        <w:top w:val="none" w:sz="0" w:space="0" w:color="auto"/>
        <w:left w:val="none" w:sz="0" w:space="0" w:color="auto"/>
        <w:bottom w:val="none" w:sz="0" w:space="0" w:color="auto"/>
        <w:right w:val="none" w:sz="0" w:space="0" w:color="auto"/>
      </w:divBdr>
    </w:div>
    <w:div w:id="288827241">
      <w:bodyDiv w:val="1"/>
      <w:marLeft w:val="0"/>
      <w:marRight w:val="0"/>
      <w:marTop w:val="0"/>
      <w:marBottom w:val="0"/>
      <w:divBdr>
        <w:top w:val="none" w:sz="0" w:space="0" w:color="auto"/>
        <w:left w:val="none" w:sz="0" w:space="0" w:color="auto"/>
        <w:bottom w:val="none" w:sz="0" w:space="0" w:color="auto"/>
        <w:right w:val="none" w:sz="0" w:space="0" w:color="auto"/>
      </w:divBdr>
    </w:div>
    <w:div w:id="303584309">
      <w:bodyDiv w:val="1"/>
      <w:marLeft w:val="0"/>
      <w:marRight w:val="0"/>
      <w:marTop w:val="0"/>
      <w:marBottom w:val="0"/>
      <w:divBdr>
        <w:top w:val="none" w:sz="0" w:space="0" w:color="auto"/>
        <w:left w:val="none" w:sz="0" w:space="0" w:color="auto"/>
        <w:bottom w:val="none" w:sz="0" w:space="0" w:color="auto"/>
        <w:right w:val="none" w:sz="0" w:space="0" w:color="auto"/>
      </w:divBdr>
    </w:div>
    <w:div w:id="312687799">
      <w:bodyDiv w:val="1"/>
      <w:marLeft w:val="0"/>
      <w:marRight w:val="0"/>
      <w:marTop w:val="0"/>
      <w:marBottom w:val="0"/>
      <w:divBdr>
        <w:top w:val="none" w:sz="0" w:space="0" w:color="auto"/>
        <w:left w:val="none" w:sz="0" w:space="0" w:color="auto"/>
        <w:bottom w:val="none" w:sz="0" w:space="0" w:color="auto"/>
        <w:right w:val="none" w:sz="0" w:space="0" w:color="auto"/>
      </w:divBdr>
    </w:div>
    <w:div w:id="343870322">
      <w:bodyDiv w:val="1"/>
      <w:marLeft w:val="0"/>
      <w:marRight w:val="0"/>
      <w:marTop w:val="0"/>
      <w:marBottom w:val="0"/>
      <w:divBdr>
        <w:top w:val="none" w:sz="0" w:space="0" w:color="auto"/>
        <w:left w:val="none" w:sz="0" w:space="0" w:color="auto"/>
        <w:bottom w:val="none" w:sz="0" w:space="0" w:color="auto"/>
        <w:right w:val="none" w:sz="0" w:space="0" w:color="auto"/>
      </w:divBdr>
    </w:div>
    <w:div w:id="349263024">
      <w:bodyDiv w:val="1"/>
      <w:marLeft w:val="0"/>
      <w:marRight w:val="0"/>
      <w:marTop w:val="0"/>
      <w:marBottom w:val="0"/>
      <w:divBdr>
        <w:top w:val="none" w:sz="0" w:space="0" w:color="auto"/>
        <w:left w:val="none" w:sz="0" w:space="0" w:color="auto"/>
        <w:bottom w:val="none" w:sz="0" w:space="0" w:color="auto"/>
        <w:right w:val="none" w:sz="0" w:space="0" w:color="auto"/>
      </w:divBdr>
    </w:div>
    <w:div w:id="360858904">
      <w:bodyDiv w:val="1"/>
      <w:marLeft w:val="0"/>
      <w:marRight w:val="0"/>
      <w:marTop w:val="0"/>
      <w:marBottom w:val="0"/>
      <w:divBdr>
        <w:top w:val="none" w:sz="0" w:space="0" w:color="auto"/>
        <w:left w:val="none" w:sz="0" w:space="0" w:color="auto"/>
        <w:bottom w:val="none" w:sz="0" w:space="0" w:color="auto"/>
        <w:right w:val="none" w:sz="0" w:space="0" w:color="auto"/>
      </w:divBdr>
    </w:div>
    <w:div w:id="374231222">
      <w:bodyDiv w:val="1"/>
      <w:marLeft w:val="0"/>
      <w:marRight w:val="0"/>
      <w:marTop w:val="0"/>
      <w:marBottom w:val="0"/>
      <w:divBdr>
        <w:top w:val="none" w:sz="0" w:space="0" w:color="auto"/>
        <w:left w:val="none" w:sz="0" w:space="0" w:color="auto"/>
        <w:bottom w:val="none" w:sz="0" w:space="0" w:color="auto"/>
        <w:right w:val="none" w:sz="0" w:space="0" w:color="auto"/>
      </w:divBdr>
    </w:div>
    <w:div w:id="429473475">
      <w:bodyDiv w:val="1"/>
      <w:marLeft w:val="0"/>
      <w:marRight w:val="0"/>
      <w:marTop w:val="0"/>
      <w:marBottom w:val="0"/>
      <w:divBdr>
        <w:top w:val="none" w:sz="0" w:space="0" w:color="auto"/>
        <w:left w:val="none" w:sz="0" w:space="0" w:color="auto"/>
        <w:bottom w:val="none" w:sz="0" w:space="0" w:color="auto"/>
        <w:right w:val="none" w:sz="0" w:space="0" w:color="auto"/>
      </w:divBdr>
    </w:div>
    <w:div w:id="478111430">
      <w:bodyDiv w:val="1"/>
      <w:marLeft w:val="0"/>
      <w:marRight w:val="0"/>
      <w:marTop w:val="0"/>
      <w:marBottom w:val="0"/>
      <w:divBdr>
        <w:top w:val="none" w:sz="0" w:space="0" w:color="auto"/>
        <w:left w:val="none" w:sz="0" w:space="0" w:color="auto"/>
        <w:bottom w:val="none" w:sz="0" w:space="0" w:color="auto"/>
        <w:right w:val="none" w:sz="0" w:space="0" w:color="auto"/>
      </w:divBdr>
    </w:div>
    <w:div w:id="518934754">
      <w:bodyDiv w:val="1"/>
      <w:marLeft w:val="0"/>
      <w:marRight w:val="0"/>
      <w:marTop w:val="0"/>
      <w:marBottom w:val="0"/>
      <w:divBdr>
        <w:top w:val="none" w:sz="0" w:space="0" w:color="auto"/>
        <w:left w:val="none" w:sz="0" w:space="0" w:color="auto"/>
        <w:bottom w:val="none" w:sz="0" w:space="0" w:color="auto"/>
        <w:right w:val="none" w:sz="0" w:space="0" w:color="auto"/>
      </w:divBdr>
    </w:div>
    <w:div w:id="541285661">
      <w:bodyDiv w:val="1"/>
      <w:marLeft w:val="0"/>
      <w:marRight w:val="0"/>
      <w:marTop w:val="0"/>
      <w:marBottom w:val="0"/>
      <w:divBdr>
        <w:top w:val="none" w:sz="0" w:space="0" w:color="auto"/>
        <w:left w:val="none" w:sz="0" w:space="0" w:color="auto"/>
        <w:bottom w:val="none" w:sz="0" w:space="0" w:color="auto"/>
        <w:right w:val="none" w:sz="0" w:space="0" w:color="auto"/>
      </w:divBdr>
    </w:div>
    <w:div w:id="573126655">
      <w:bodyDiv w:val="1"/>
      <w:marLeft w:val="0"/>
      <w:marRight w:val="0"/>
      <w:marTop w:val="0"/>
      <w:marBottom w:val="0"/>
      <w:divBdr>
        <w:top w:val="none" w:sz="0" w:space="0" w:color="auto"/>
        <w:left w:val="none" w:sz="0" w:space="0" w:color="auto"/>
        <w:bottom w:val="none" w:sz="0" w:space="0" w:color="auto"/>
        <w:right w:val="none" w:sz="0" w:space="0" w:color="auto"/>
      </w:divBdr>
    </w:div>
    <w:div w:id="588202581">
      <w:bodyDiv w:val="1"/>
      <w:marLeft w:val="0"/>
      <w:marRight w:val="0"/>
      <w:marTop w:val="0"/>
      <w:marBottom w:val="0"/>
      <w:divBdr>
        <w:top w:val="none" w:sz="0" w:space="0" w:color="auto"/>
        <w:left w:val="none" w:sz="0" w:space="0" w:color="auto"/>
        <w:bottom w:val="none" w:sz="0" w:space="0" w:color="auto"/>
        <w:right w:val="none" w:sz="0" w:space="0" w:color="auto"/>
      </w:divBdr>
    </w:div>
    <w:div w:id="590162569">
      <w:bodyDiv w:val="1"/>
      <w:marLeft w:val="0"/>
      <w:marRight w:val="0"/>
      <w:marTop w:val="0"/>
      <w:marBottom w:val="0"/>
      <w:divBdr>
        <w:top w:val="none" w:sz="0" w:space="0" w:color="auto"/>
        <w:left w:val="none" w:sz="0" w:space="0" w:color="auto"/>
        <w:bottom w:val="none" w:sz="0" w:space="0" w:color="auto"/>
        <w:right w:val="none" w:sz="0" w:space="0" w:color="auto"/>
      </w:divBdr>
    </w:div>
    <w:div w:id="620380964">
      <w:bodyDiv w:val="1"/>
      <w:marLeft w:val="0"/>
      <w:marRight w:val="0"/>
      <w:marTop w:val="0"/>
      <w:marBottom w:val="0"/>
      <w:divBdr>
        <w:top w:val="none" w:sz="0" w:space="0" w:color="auto"/>
        <w:left w:val="none" w:sz="0" w:space="0" w:color="auto"/>
        <w:bottom w:val="none" w:sz="0" w:space="0" w:color="auto"/>
        <w:right w:val="none" w:sz="0" w:space="0" w:color="auto"/>
      </w:divBdr>
    </w:div>
    <w:div w:id="626085933">
      <w:bodyDiv w:val="1"/>
      <w:marLeft w:val="0"/>
      <w:marRight w:val="0"/>
      <w:marTop w:val="0"/>
      <w:marBottom w:val="0"/>
      <w:divBdr>
        <w:top w:val="none" w:sz="0" w:space="0" w:color="auto"/>
        <w:left w:val="none" w:sz="0" w:space="0" w:color="auto"/>
        <w:bottom w:val="none" w:sz="0" w:space="0" w:color="auto"/>
        <w:right w:val="none" w:sz="0" w:space="0" w:color="auto"/>
      </w:divBdr>
    </w:div>
    <w:div w:id="725840836">
      <w:bodyDiv w:val="1"/>
      <w:marLeft w:val="0"/>
      <w:marRight w:val="0"/>
      <w:marTop w:val="0"/>
      <w:marBottom w:val="0"/>
      <w:divBdr>
        <w:top w:val="none" w:sz="0" w:space="0" w:color="auto"/>
        <w:left w:val="none" w:sz="0" w:space="0" w:color="auto"/>
        <w:bottom w:val="none" w:sz="0" w:space="0" w:color="auto"/>
        <w:right w:val="none" w:sz="0" w:space="0" w:color="auto"/>
      </w:divBdr>
    </w:div>
    <w:div w:id="758989174">
      <w:bodyDiv w:val="1"/>
      <w:marLeft w:val="0"/>
      <w:marRight w:val="0"/>
      <w:marTop w:val="0"/>
      <w:marBottom w:val="0"/>
      <w:divBdr>
        <w:top w:val="none" w:sz="0" w:space="0" w:color="auto"/>
        <w:left w:val="none" w:sz="0" w:space="0" w:color="auto"/>
        <w:bottom w:val="none" w:sz="0" w:space="0" w:color="auto"/>
        <w:right w:val="none" w:sz="0" w:space="0" w:color="auto"/>
      </w:divBdr>
    </w:div>
    <w:div w:id="839351865">
      <w:bodyDiv w:val="1"/>
      <w:marLeft w:val="0"/>
      <w:marRight w:val="0"/>
      <w:marTop w:val="0"/>
      <w:marBottom w:val="0"/>
      <w:divBdr>
        <w:top w:val="none" w:sz="0" w:space="0" w:color="auto"/>
        <w:left w:val="none" w:sz="0" w:space="0" w:color="auto"/>
        <w:bottom w:val="none" w:sz="0" w:space="0" w:color="auto"/>
        <w:right w:val="none" w:sz="0" w:space="0" w:color="auto"/>
      </w:divBdr>
    </w:div>
    <w:div w:id="846560292">
      <w:bodyDiv w:val="1"/>
      <w:marLeft w:val="0"/>
      <w:marRight w:val="0"/>
      <w:marTop w:val="0"/>
      <w:marBottom w:val="0"/>
      <w:divBdr>
        <w:top w:val="none" w:sz="0" w:space="0" w:color="auto"/>
        <w:left w:val="none" w:sz="0" w:space="0" w:color="auto"/>
        <w:bottom w:val="none" w:sz="0" w:space="0" w:color="auto"/>
        <w:right w:val="none" w:sz="0" w:space="0" w:color="auto"/>
      </w:divBdr>
    </w:div>
    <w:div w:id="862286685">
      <w:bodyDiv w:val="1"/>
      <w:marLeft w:val="0"/>
      <w:marRight w:val="0"/>
      <w:marTop w:val="0"/>
      <w:marBottom w:val="0"/>
      <w:divBdr>
        <w:top w:val="none" w:sz="0" w:space="0" w:color="auto"/>
        <w:left w:val="none" w:sz="0" w:space="0" w:color="auto"/>
        <w:bottom w:val="none" w:sz="0" w:space="0" w:color="auto"/>
        <w:right w:val="none" w:sz="0" w:space="0" w:color="auto"/>
      </w:divBdr>
    </w:div>
    <w:div w:id="885143157">
      <w:bodyDiv w:val="1"/>
      <w:marLeft w:val="0"/>
      <w:marRight w:val="0"/>
      <w:marTop w:val="0"/>
      <w:marBottom w:val="0"/>
      <w:divBdr>
        <w:top w:val="none" w:sz="0" w:space="0" w:color="auto"/>
        <w:left w:val="none" w:sz="0" w:space="0" w:color="auto"/>
        <w:bottom w:val="none" w:sz="0" w:space="0" w:color="auto"/>
        <w:right w:val="none" w:sz="0" w:space="0" w:color="auto"/>
      </w:divBdr>
    </w:div>
    <w:div w:id="922494782">
      <w:bodyDiv w:val="1"/>
      <w:marLeft w:val="0"/>
      <w:marRight w:val="0"/>
      <w:marTop w:val="0"/>
      <w:marBottom w:val="0"/>
      <w:divBdr>
        <w:top w:val="none" w:sz="0" w:space="0" w:color="auto"/>
        <w:left w:val="none" w:sz="0" w:space="0" w:color="auto"/>
        <w:bottom w:val="none" w:sz="0" w:space="0" w:color="auto"/>
        <w:right w:val="none" w:sz="0" w:space="0" w:color="auto"/>
      </w:divBdr>
    </w:div>
    <w:div w:id="952637800">
      <w:bodyDiv w:val="1"/>
      <w:marLeft w:val="0"/>
      <w:marRight w:val="0"/>
      <w:marTop w:val="0"/>
      <w:marBottom w:val="0"/>
      <w:divBdr>
        <w:top w:val="none" w:sz="0" w:space="0" w:color="auto"/>
        <w:left w:val="none" w:sz="0" w:space="0" w:color="auto"/>
        <w:bottom w:val="none" w:sz="0" w:space="0" w:color="auto"/>
        <w:right w:val="none" w:sz="0" w:space="0" w:color="auto"/>
      </w:divBdr>
    </w:div>
    <w:div w:id="1106458492">
      <w:bodyDiv w:val="1"/>
      <w:marLeft w:val="0"/>
      <w:marRight w:val="0"/>
      <w:marTop w:val="0"/>
      <w:marBottom w:val="0"/>
      <w:divBdr>
        <w:top w:val="none" w:sz="0" w:space="0" w:color="auto"/>
        <w:left w:val="none" w:sz="0" w:space="0" w:color="auto"/>
        <w:bottom w:val="none" w:sz="0" w:space="0" w:color="auto"/>
        <w:right w:val="none" w:sz="0" w:space="0" w:color="auto"/>
      </w:divBdr>
    </w:div>
    <w:div w:id="1118791814">
      <w:bodyDiv w:val="1"/>
      <w:marLeft w:val="0"/>
      <w:marRight w:val="0"/>
      <w:marTop w:val="0"/>
      <w:marBottom w:val="0"/>
      <w:divBdr>
        <w:top w:val="none" w:sz="0" w:space="0" w:color="auto"/>
        <w:left w:val="none" w:sz="0" w:space="0" w:color="auto"/>
        <w:bottom w:val="none" w:sz="0" w:space="0" w:color="auto"/>
        <w:right w:val="none" w:sz="0" w:space="0" w:color="auto"/>
      </w:divBdr>
    </w:div>
    <w:div w:id="1119641725">
      <w:bodyDiv w:val="1"/>
      <w:marLeft w:val="0"/>
      <w:marRight w:val="0"/>
      <w:marTop w:val="0"/>
      <w:marBottom w:val="0"/>
      <w:divBdr>
        <w:top w:val="none" w:sz="0" w:space="0" w:color="auto"/>
        <w:left w:val="none" w:sz="0" w:space="0" w:color="auto"/>
        <w:bottom w:val="none" w:sz="0" w:space="0" w:color="auto"/>
        <w:right w:val="none" w:sz="0" w:space="0" w:color="auto"/>
      </w:divBdr>
    </w:div>
    <w:div w:id="1157380223">
      <w:bodyDiv w:val="1"/>
      <w:marLeft w:val="0"/>
      <w:marRight w:val="0"/>
      <w:marTop w:val="0"/>
      <w:marBottom w:val="0"/>
      <w:divBdr>
        <w:top w:val="none" w:sz="0" w:space="0" w:color="auto"/>
        <w:left w:val="none" w:sz="0" w:space="0" w:color="auto"/>
        <w:bottom w:val="none" w:sz="0" w:space="0" w:color="auto"/>
        <w:right w:val="none" w:sz="0" w:space="0" w:color="auto"/>
      </w:divBdr>
    </w:div>
    <w:div w:id="1239709816">
      <w:bodyDiv w:val="1"/>
      <w:marLeft w:val="0"/>
      <w:marRight w:val="0"/>
      <w:marTop w:val="0"/>
      <w:marBottom w:val="0"/>
      <w:divBdr>
        <w:top w:val="none" w:sz="0" w:space="0" w:color="auto"/>
        <w:left w:val="none" w:sz="0" w:space="0" w:color="auto"/>
        <w:bottom w:val="none" w:sz="0" w:space="0" w:color="auto"/>
        <w:right w:val="none" w:sz="0" w:space="0" w:color="auto"/>
      </w:divBdr>
    </w:div>
    <w:div w:id="1257832490">
      <w:bodyDiv w:val="1"/>
      <w:marLeft w:val="0"/>
      <w:marRight w:val="0"/>
      <w:marTop w:val="0"/>
      <w:marBottom w:val="0"/>
      <w:divBdr>
        <w:top w:val="none" w:sz="0" w:space="0" w:color="auto"/>
        <w:left w:val="none" w:sz="0" w:space="0" w:color="auto"/>
        <w:bottom w:val="none" w:sz="0" w:space="0" w:color="auto"/>
        <w:right w:val="none" w:sz="0" w:space="0" w:color="auto"/>
      </w:divBdr>
    </w:div>
    <w:div w:id="1308241873">
      <w:bodyDiv w:val="1"/>
      <w:marLeft w:val="0"/>
      <w:marRight w:val="0"/>
      <w:marTop w:val="0"/>
      <w:marBottom w:val="0"/>
      <w:divBdr>
        <w:top w:val="none" w:sz="0" w:space="0" w:color="auto"/>
        <w:left w:val="none" w:sz="0" w:space="0" w:color="auto"/>
        <w:bottom w:val="none" w:sz="0" w:space="0" w:color="auto"/>
        <w:right w:val="none" w:sz="0" w:space="0" w:color="auto"/>
      </w:divBdr>
    </w:div>
    <w:div w:id="1365907604">
      <w:bodyDiv w:val="1"/>
      <w:marLeft w:val="0"/>
      <w:marRight w:val="0"/>
      <w:marTop w:val="0"/>
      <w:marBottom w:val="0"/>
      <w:divBdr>
        <w:top w:val="none" w:sz="0" w:space="0" w:color="auto"/>
        <w:left w:val="none" w:sz="0" w:space="0" w:color="auto"/>
        <w:bottom w:val="none" w:sz="0" w:space="0" w:color="auto"/>
        <w:right w:val="none" w:sz="0" w:space="0" w:color="auto"/>
      </w:divBdr>
    </w:div>
    <w:div w:id="1388797918">
      <w:bodyDiv w:val="1"/>
      <w:marLeft w:val="0"/>
      <w:marRight w:val="0"/>
      <w:marTop w:val="0"/>
      <w:marBottom w:val="0"/>
      <w:divBdr>
        <w:top w:val="none" w:sz="0" w:space="0" w:color="auto"/>
        <w:left w:val="none" w:sz="0" w:space="0" w:color="auto"/>
        <w:bottom w:val="none" w:sz="0" w:space="0" w:color="auto"/>
        <w:right w:val="none" w:sz="0" w:space="0" w:color="auto"/>
      </w:divBdr>
    </w:div>
    <w:div w:id="1392579481">
      <w:bodyDiv w:val="1"/>
      <w:marLeft w:val="0"/>
      <w:marRight w:val="0"/>
      <w:marTop w:val="0"/>
      <w:marBottom w:val="0"/>
      <w:divBdr>
        <w:top w:val="none" w:sz="0" w:space="0" w:color="auto"/>
        <w:left w:val="none" w:sz="0" w:space="0" w:color="auto"/>
        <w:bottom w:val="none" w:sz="0" w:space="0" w:color="auto"/>
        <w:right w:val="none" w:sz="0" w:space="0" w:color="auto"/>
      </w:divBdr>
    </w:div>
    <w:div w:id="1400060926">
      <w:bodyDiv w:val="1"/>
      <w:marLeft w:val="0"/>
      <w:marRight w:val="0"/>
      <w:marTop w:val="0"/>
      <w:marBottom w:val="0"/>
      <w:divBdr>
        <w:top w:val="none" w:sz="0" w:space="0" w:color="auto"/>
        <w:left w:val="none" w:sz="0" w:space="0" w:color="auto"/>
        <w:bottom w:val="none" w:sz="0" w:space="0" w:color="auto"/>
        <w:right w:val="none" w:sz="0" w:space="0" w:color="auto"/>
      </w:divBdr>
    </w:div>
    <w:div w:id="1420056217">
      <w:bodyDiv w:val="1"/>
      <w:marLeft w:val="0"/>
      <w:marRight w:val="0"/>
      <w:marTop w:val="0"/>
      <w:marBottom w:val="0"/>
      <w:divBdr>
        <w:top w:val="none" w:sz="0" w:space="0" w:color="auto"/>
        <w:left w:val="none" w:sz="0" w:space="0" w:color="auto"/>
        <w:bottom w:val="none" w:sz="0" w:space="0" w:color="auto"/>
        <w:right w:val="none" w:sz="0" w:space="0" w:color="auto"/>
      </w:divBdr>
    </w:div>
    <w:div w:id="1430542435">
      <w:bodyDiv w:val="1"/>
      <w:marLeft w:val="0"/>
      <w:marRight w:val="0"/>
      <w:marTop w:val="0"/>
      <w:marBottom w:val="0"/>
      <w:divBdr>
        <w:top w:val="none" w:sz="0" w:space="0" w:color="auto"/>
        <w:left w:val="none" w:sz="0" w:space="0" w:color="auto"/>
        <w:bottom w:val="none" w:sz="0" w:space="0" w:color="auto"/>
        <w:right w:val="none" w:sz="0" w:space="0" w:color="auto"/>
      </w:divBdr>
    </w:div>
    <w:div w:id="1447458915">
      <w:bodyDiv w:val="1"/>
      <w:marLeft w:val="0"/>
      <w:marRight w:val="0"/>
      <w:marTop w:val="0"/>
      <w:marBottom w:val="0"/>
      <w:divBdr>
        <w:top w:val="none" w:sz="0" w:space="0" w:color="auto"/>
        <w:left w:val="none" w:sz="0" w:space="0" w:color="auto"/>
        <w:bottom w:val="none" w:sz="0" w:space="0" w:color="auto"/>
        <w:right w:val="none" w:sz="0" w:space="0" w:color="auto"/>
      </w:divBdr>
    </w:div>
    <w:div w:id="1457602989">
      <w:bodyDiv w:val="1"/>
      <w:marLeft w:val="0"/>
      <w:marRight w:val="0"/>
      <w:marTop w:val="0"/>
      <w:marBottom w:val="0"/>
      <w:divBdr>
        <w:top w:val="none" w:sz="0" w:space="0" w:color="auto"/>
        <w:left w:val="none" w:sz="0" w:space="0" w:color="auto"/>
        <w:bottom w:val="none" w:sz="0" w:space="0" w:color="auto"/>
        <w:right w:val="none" w:sz="0" w:space="0" w:color="auto"/>
      </w:divBdr>
    </w:div>
    <w:div w:id="1675762692">
      <w:bodyDiv w:val="1"/>
      <w:marLeft w:val="0"/>
      <w:marRight w:val="0"/>
      <w:marTop w:val="0"/>
      <w:marBottom w:val="0"/>
      <w:divBdr>
        <w:top w:val="none" w:sz="0" w:space="0" w:color="auto"/>
        <w:left w:val="none" w:sz="0" w:space="0" w:color="auto"/>
        <w:bottom w:val="none" w:sz="0" w:space="0" w:color="auto"/>
        <w:right w:val="none" w:sz="0" w:space="0" w:color="auto"/>
      </w:divBdr>
    </w:div>
    <w:div w:id="1739471882">
      <w:bodyDiv w:val="1"/>
      <w:marLeft w:val="0"/>
      <w:marRight w:val="0"/>
      <w:marTop w:val="0"/>
      <w:marBottom w:val="0"/>
      <w:divBdr>
        <w:top w:val="none" w:sz="0" w:space="0" w:color="auto"/>
        <w:left w:val="none" w:sz="0" w:space="0" w:color="auto"/>
        <w:bottom w:val="none" w:sz="0" w:space="0" w:color="auto"/>
        <w:right w:val="none" w:sz="0" w:space="0" w:color="auto"/>
      </w:divBdr>
    </w:div>
    <w:div w:id="1775974716">
      <w:bodyDiv w:val="1"/>
      <w:marLeft w:val="0"/>
      <w:marRight w:val="0"/>
      <w:marTop w:val="0"/>
      <w:marBottom w:val="0"/>
      <w:divBdr>
        <w:top w:val="none" w:sz="0" w:space="0" w:color="auto"/>
        <w:left w:val="none" w:sz="0" w:space="0" w:color="auto"/>
        <w:bottom w:val="none" w:sz="0" w:space="0" w:color="auto"/>
        <w:right w:val="none" w:sz="0" w:space="0" w:color="auto"/>
      </w:divBdr>
    </w:div>
    <w:div w:id="1802460177">
      <w:bodyDiv w:val="1"/>
      <w:marLeft w:val="0"/>
      <w:marRight w:val="0"/>
      <w:marTop w:val="0"/>
      <w:marBottom w:val="0"/>
      <w:divBdr>
        <w:top w:val="none" w:sz="0" w:space="0" w:color="auto"/>
        <w:left w:val="none" w:sz="0" w:space="0" w:color="auto"/>
        <w:bottom w:val="none" w:sz="0" w:space="0" w:color="auto"/>
        <w:right w:val="none" w:sz="0" w:space="0" w:color="auto"/>
      </w:divBdr>
    </w:div>
    <w:div w:id="1873614890">
      <w:bodyDiv w:val="1"/>
      <w:marLeft w:val="0"/>
      <w:marRight w:val="0"/>
      <w:marTop w:val="0"/>
      <w:marBottom w:val="0"/>
      <w:divBdr>
        <w:top w:val="none" w:sz="0" w:space="0" w:color="auto"/>
        <w:left w:val="none" w:sz="0" w:space="0" w:color="auto"/>
        <w:bottom w:val="none" w:sz="0" w:space="0" w:color="auto"/>
        <w:right w:val="none" w:sz="0" w:space="0" w:color="auto"/>
      </w:divBdr>
    </w:div>
    <w:div w:id="1929002590">
      <w:bodyDiv w:val="1"/>
      <w:marLeft w:val="0"/>
      <w:marRight w:val="0"/>
      <w:marTop w:val="0"/>
      <w:marBottom w:val="0"/>
      <w:divBdr>
        <w:top w:val="none" w:sz="0" w:space="0" w:color="auto"/>
        <w:left w:val="none" w:sz="0" w:space="0" w:color="auto"/>
        <w:bottom w:val="none" w:sz="0" w:space="0" w:color="auto"/>
        <w:right w:val="none" w:sz="0" w:space="0" w:color="auto"/>
      </w:divBdr>
    </w:div>
    <w:div w:id="1929534973">
      <w:bodyDiv w:val="1"/>
      <w:marLeft w:val="0"/>
      <w:marRight w:val="0"/>
      <w:marTop w:val="0"/>
      <w:marBottom w:val="0"/>
      <w:divBdr>
        <w:top w:val="none" w:sz="0" w:space="0" w:color="auto"/>
        <w:left w:val="none" w:sz="0" w:space="0" w:color="auto"/>
        <w:bottom w:val="none" w:sz="0" w:space="0" w:color="auto"/>
        <w:right w:val="none" w:sz="0" w:space="0" w:color="auto"/>
      </w:divBdr>
    </w:div>
    <w:div w:id="1972242400">
      <w:bodyDiv w:val="1"/>
      <w:marLeft w:val="0"/>
      <w:marRight w:val="0"/>
      <w:marTop w:val="0"/>
      <w:marBottom w:val="0"/>
      <w:divBdr>
        <w:top w:val="none" w:sz="0" w:space="0" w:color="auto"/>
        <w:left w:val="none" w:sz="0" w:space="0" w:color="auto"/>
        <w:bottom w:val="none" w:sz="0" w:space="0" w:color="auto"/>
        <w:right w:val="none" w:sz="0" w:space="0" w:color="auto"/>
      </w:divBdr>
    </w:div>
    <w:div w:id="2001495795">
      <w:bodyDiv w:val="1"/>
      <w:marLeft w:val="0"/>
      <w:marRight w:val="0"/>
      <w:marTop w:val="0"/>
      <w:marBottom w:val="0"/>
      <w:divBdr>
        <w:top w:val="none" w:sz="0" w:space="0" w:color="auto"/>
        <w:left w:val="none" w:sz="0" w:space="0" w:color="auto"/>
        <w:bottom w:val="none" w:sz="0" w:space="0" w:color="auto"/>
        <w:right w:val="none" w:sz="0" w:space="0" w:color="auto"/>
      </w:divBdr>
    </w:div>
    <w:div w:id="2001813822">
      <w:bodyDiv w:val="1"/>
      <w:marLeft w:val="0"/>
      <w:marRight w:val="0"/>
      <w:marTop w:val="0"/>
      <w:marBottom w:val="0"/>
      <w:divBdr>
        <w:top w:val="none" w:sz="0" w:space="0" w:color="auto"/>
        <w:left w:val="none" w:sz="0" w:space="0" w:color="auto"/>
        <w:bottom w:val="none" w:sz="0" w:space="0" w:color="auto"/>
        <w:right w:val="none" w:sz="0" w:space="0" w:color="auto"/>
      </w:divBdr>
    </w:div>
    <w:div w:id="2009139474">
      <w:bodyDiv w:val="1"/>
      <w:marLeft w:val="0"/>
      <w:marRight w:val="0"/>
      <w:marTop w:val="0"/>
      <w:marBottom w:val="0"/>
      <w:divBdr>
        <w:top w:val="none" w:sz="0" w:space="0" w:color="auto"/>
        <w:left w:val="none" w:sz="0" w:space="0" w:color="auto"/>
        <w:bottom w:val="none" w:sz="0" w:space="0" w:color="auto"/>
        <w:right w:val="none" w:sz="0" w:space="0" w:color="auto"/>
      </w:divBdr>
    </w:div>
    <w:div w:id="2016883041">
      <w:bodyDiv w:val="1"/>
      <w:marLeft w:val="0"/>
      <w:marRight w:val="0"/>
      <w:marTop w:val="0"/>
      <w:marBottom w:val="0"/>
      <w:divBdr>
        <w:top w:val="none" w:sz="0" w:space="0" w:color="auto"/>
        <w:left w:val="none" w:sz="0" w:space="0" w:color="auto"/>
        <w:bottom w:val="none" w:sz="0" w:space="0" w:color="auto"/>
        <w:right w:val="none" w:sz="0" w:space="0" w:color="auto"/>
      </w:divBdr>
    </w:div>
    <w:div w:id="2022003190">
      <w:bodyDiv w:val="1"/>
      <w:marLeft w:val="0"/>
      <w:marRight w:val="0"/>
      <w:marTop w:val="0"/>
      <w:marBottom w:val="0"/>
      <w:divBdr>
        <w:top w:val="none" w:sz="0" w:space="0" w:color="auto"/>
        <w:left w:val="none" w:sz="0" w:space="0" w:color="auto"/>
        <w:bottom w:val="none" w:sz="0" w:space="0" w:color="auto"/>
        <w:right w:val="none" w:sz="0" w:space="0" w:color="auto"/>
      </w:divBdr>
    </w:div>
    <w:div w:id="2060010265">
      <w:bodyDiv w:val="1"/>
      <w:marLeft w:val="0"/>
      <w:marRight w:val="0"/>
      <w:marTop w:val="0"/>
      <w:marBottom w:val="0"/>
      <w:divBdr>
        <w:top w:val="none" w:sz="0" w:space="0" w:color="auto"/>
        <w:left w:val="none" w:sz="0" w:space="0" w:color="auto"/>
        <w:bottom w:val="none" w:sz="0" w:space="0" w:color="auto"/>
        <w:right w:val="none" w:sz="0" w:space="0" w:color="auto"/>
      </w:divBdr>
    </w:div>
    <w:div w:id="2101245879">
      <w:bodyDiv w:val="1"/>
      <w:marLeft w:val="0"/>
      <w:marRight w:val="0"/>
      <w:marTop w:val="0"/>
      <w:marBottom w:val="0"/>
      <w:divBdr>
        <w:top w:val="none" w:sz="0" w:space="0" w:color="auto"/>
        <w:left w:val="none" w:sz="0" w:space="0" w:color="auto"/>
        <w:bottom w:val="none" w:sz="0" w:space="0" w:color="auto"/>
        <w:right w:val="none" w:sz="0" w:space="0" w:color="auto"/>
      </w:divBdr>
    </w:div>
    <w:div w:id="2112819911">
      <w:bodyDiv w:val="1"/>
      <w:marLeft w:val="0"/>
      <w:marRight w:val="0"/>
      <w:marTop w:val="0"/>
      <w:marBottom w:val="0"/>
      <w:divBdr>
        <w:top w:val="none" w:sz="0" w:space="0" w:color="auto"/>
        <w:left w:val="none" w:sz="0" w:space="0" w:color="auto"/>
        <w:bottom w:val="none" w:sz="0" w:space="0" w:color="auto"/>
        <w:right w:val="none" w:sz="0" w:space="0" w:color="auto"/>
      </w:divBdr>
    </w:div>
    <w:div w:id="2128887521">
      <w:bodyDiv w:val="1"/>
      <w:marLeft w:val="0"/>
      <w:marRight w:val="0"/>
      <w:marTop w:val="0"/>
      <w:marBottom w:val="0"/>
      <w:divBdr>
        <w:top w:val="none" w:sz="0" w:space="0" w:color="auto"/>
        <w:left w:val="none" w:sz="0" w:space="0" w:color="auto"/>
        <w:bottom w:val="none" w:sz="0" w:space="0" w:color="auto"/>
        <w:right w:val="none" w:sz="0" w:space="0" w:color="auto"/>
      </w:divBdr>
    </w:div>
    <w:div w:id="21430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351F-A049-41C6-AE4E-A55AE861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9357</Words>
  <Characters>51464</Characters>
  <Application>Microsoft Office Word</Application>
  <DocSecurity>4</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2018-10-15T07:21:00Z</cp:lastPrinted>
  <dcterms:created xsi:type="dcterms:W3CDTF">2018-10-17T10:30:00Z</dcterms:created>
  <dcterms:modified xsi:type="dcterms:W3CDTF">2018-10-17T10:30:00Z</dcterms:modified>
</cp:coreProperties>
</file>