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creación de un espacio mixto de colaboración y coordinación para la puesta en marcha de medidas relativas a las políticas de diversidad cultural y migración en la Ribera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-¿Ha creado el Gobierno de Navarra un espacio mixto de colaboración y coordinación, en el que participen agentes sociales, políticos e institucionales, así como organizaciones de la zona de la Ribera, en el que además estén representados todos los orígenes culturales, un espacio para la toma de decisiones y puesta en marcha de medidas relativas a las políticas de diversidad cultural y migración, con las que mejorar e impulsar la convivencia multicultural?</w:t>
      </w:r>
    </w:p>
    <w:p>
      <w:pPr>
        <w:pStyle w:val="0"/>
        <w:suppressAutoHyphens w:val="false"/>
        <w:rPr>
          <w:rStyle w:val="1"/>
        </w:rPr>
      </w:pPr>
      <w:r>
        <w:rPr>
          <w:rStyle w:val="1"/>
        </w:rPr>
        <w:t xml:space="preserve">-¿Ha creado el Gobierno de Navarra un Protocolo integral de acogida en la ribera, dirigido a todas las personas migrantes que lleguen o hayan llegado a la Ribera?</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