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diagnóstico de la situación actual y necesidades de recursos humanos del Área de Salud de Tudela,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-¿Ha realizado el Gobierno de Navarra un diagnóstico de la situación actual y las necesidades a corto, medio y largo plazo de los recursos humanos del Área de Salud de Tudela?</w:t>
      </w:r>
    </w:p>
    <w:p>
      <w:pPr>
        <w:pStyle w:val="0"/>
        <w:suppressAutoHyphens w:val="false"/>
        <w:rPr>
          <w:rStyle w:val="1"/>
        </w:rPr>
      </w:pPr>
      <w:r>
        <w:rPr>
          <w:rStyle w:val="1"/>
        </w:rPr>
        <w:t xml:space="preserve">-¿Ha diseñado el Gobierno de Navarra un Plan de cobertura de jubilaciones y ausencias en el Área de Tudela, priorizando la contratación, estabilización de plantillas y fidelización de profesionales? </w:t>
      </w:r>
    </w:p>
    <w:p>
      <w:pPr>
        <w:pStyle w:val="0"/>
        <w:suppressAutoHyphens w:val="false"/>
        <w:rPr>
          <w:rStyle w:val="1"/>
        </w:rPr>
      </w:pPr>
      <w:r>
        <w:rPr>
          <w:rStyle w:val="1"/>
        </w:rPr>
        <w:t xml:space="preserve">Corella a 7 de noviembre de 2018</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