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elaboración de un Plan estratégico que recoja iniciativas conjuntas con Aragón y La Rioja,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-¿Ha elaborado el Gobierno de Navarra, de manera conjunta con Aragón y La Rioja, un Plan estratégico que recoja iniciativas conjuntas ante los retos comunes que comparten, como el sector agroalimentario?  </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