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E" w:rsidRDefault="00D971BE" w:rsidP="00BB1CC7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16 de octubre</w:t>
      </w:r>
    </w:p>
    <w:p w:rsidR="00D971BE" w:rsidRDefault="00494102" w:rsidP="00BB1CC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Consejero de Desarrollo Económico que suscribe, e</w:t>
      </w:r>
      <w:r w:rsidR="00BB1CC7" w:rsidRPr="00BB1CC7">
        <w:rPr>
          <w:rFonts w:ascii="Arial" w:hAnsi="Arial" w:cs="Arial"/>
        </w:rPr>
        <w:t xml:space="preserve">n </w:t>
      </w:r>
      <w:r w:rsidR="00BB1CC7">
        <w:rPr>
          <w:rFonts w:ascii="Arial" w:hAnsi="Arial" w:cs="Arial"/>
        </w:rPr>
        <w:t>respuesta</w:t>
      </w:r>
      <w:r w:rsidR="00E027CD">
        <w:rPr>
          <w:rFonts w:ascii="Arial" w:hAnsi="Arial" w:cs="Arial"/>
        </w:rPr>
        <w:t xml:space="preserve"> a la pregunta p</w:t>
      </w:r>
      <w:r w:rsidR="00BB1CC7" w:rsidRPr="00BB1CC7">
        <w:rPr>
          <w:rFonts w:ascii="Arial" w:hAnsi="Arial" w:cs="Arial"/>
        </w:rPr>
        <w:t xml:space="preserve">arlamentaria </w:t>
      </w:r>
      <w:r w:rsidR="00BB1CC7" w:rsidRPr="00494102">
        <w:rPr>
          <w:rFonts w:ascii="Arial" w:hAnsi="Arial" w:cs="Arial"/>
          <w:b/>
        </w:rPr>
        <w:t>9-18/PES-00166</w:t>
      </w:r>
      <w:r w:rsidR="00BB1CC7" w:rsidRPr="00BB1CC7">
        <w:rPr>
          <w:rFonts w:ascii="Arial" w:hAnsi="Arial" w:cs="Arial"/>
        </w:rPr>
        <w:t xml:space="preserve"> formulada por </w:t>
      </w:r>
      <w:r w:rsidR="00BB1CC7" w:rsidRPr="00494102">
        <w:rPr>
          <w:rFonts w:ascii="Arial" w:hAnsi="Arial" w:cs="Arial"/>
          <w:b/>
        </w:rPr>
        <w:t xml:space="preserve">D. </w:t>
      </w:r>
      <w:proofErr w:type="spellStart"/>
      <w:r w:rsidR="00BB1CC7" w:rsidRPr="00494102">
        <w:rPr>
          <w:rFonts w:ascii="Arial" w:hAnsi="Arial" w:cs="Arial"/>
          <w:b/>
        </w:rPr>
        <w:t>Maiorga</w:t>
      </w:r>
      <w:proofErr w:type="spellEnd"/>
      <w:r w:rsidR="00BB1CC7" w:rsidRPr="00494102">
        <w:rPr>
          <w:rFonts w:ascii="Arial" w:hAnsi="Arial" w:cs="Arial"/>
          <w:b/>
        </w:rPr>
        <w:t xml:space="preserve"> </w:t>
      </w:r>
      <w:proofErr w:type="spellStart"/>
      <w:r w:rsidR="00BB1CC7" w:rsidRPr="00494102">
        <w:rPr>
          <w:rFonts w:ascii="Arial" w:hAnsi="Arial" w:cs="Arial"/>
          <w:b/>
        </w:rPr>
        <w:t>Ramirez</w:t>
      </w:r>
      <w:proofErr w:type="spellEnd"/>
      <w:r w:rsidR="00E027CD" w:rsidRPr="00494102">
        <w:rPr>
          <w:rFonts w:ascii="Arial" w:hAnsi="Arial" w:cs="Arial"/>
          <w:b/>
        </w:rPr>
        <w:t xml:space="preserve"> Erro</w:t>
      </w:r>
      <w:r w:rsidR="00E027CD">
        <w:rPr>
          <w:rFonts w:ascii="Arial" w:hAnsi="Arial" w:cs="Arial"/>
        </w:rPr>
        <w:t>, en representación Grupo P</w:t>
      </w:r>
      <w:r w:rsidR="00BB1CC7" w:rsidRPr="00BB1CC7">
        <w:rPr>
          <w:rFonts w:ascii="Arial" w:hAnsi="Arial" w:cs="Arial"/>
        </w:rPr>
        <w:t xml:space="preserve">arlamentario EH-Bildu </w:t>
      </w:r>
      <w:proofErr w:type="spellStart"/>
      <w:r w:rsidR="00BB1CC7" w:rsidRPr="00BB1CC7">
        <w:rPr>
          <w:rFonts w:ascii="Arial" w:hAnsi="Arial" w:cs="Arial"/>
        </w:rPr>
        <w:t>Nafarroa</w:t>
      </w:r>
      <w:proofErr w:type="spellEnd"/>
      <w:r w:rsidR="00BB1CC7" w:rsidRPr="00BB1CC7">
        <w:rPr>
          <w:rFonts w:ascii="Arial" w:hAnsi="Arial" w:cs="Arial"/>
        </w:rPr>
        <w:t>, mediante la que expone la existencia en la Red de Carreteras de Navarra de señalizaci</w:t>
      </w:r>
      <w:r w:rsidR="00BB1CC7" w:rsidRPr="00BB1CC7">
        <w:rPr>
          <w:rFonts w:ascii="Arial" w:hAnsi="Arial" w:cs="Arial"/>
        </w:rPr>
        <w:t>o</w:t>
      </w:r>
      <w:r w:rsidR="00BB1CC7" w:rsidRPr="00BB1CC7">
        <w:rPr>
          <w:rFonts w:ascii="Arial" w:hAnsi="Arial" w:cs="Arial"/>
        </w:rPr>
        <w:t>nes verticales informativas de diferentes términos naturales, patrimonios cult</w:t>
      </w:r>
      <w:r w:rsidR="00BB1CC7" w:rsidRPr="00BB1CC7">
        <w:rPr>
          <w:rFonts w:ascii="Arial" w:hAnsi="Arial" w:cs="Arial"/>
        </w:rPr>
        <w:t>u</w:t>
      </w:r>
      <w:r w:rsidR="00BB1CC7" w:rsidRPr="00BB1CC7">
        <w:rPr>
          <w:rFonts w:ascii="Arial" w:hAnsi="Arial" w:cs="Arial"/>
        </w:rPr>
        <w:t xml:space="preserve">rales y actividades artísticas (por ejemplo la existente en el tramo </w:t>
      </w:r>
      <w:proofErr w:type="spellStart"/>
      <w:r w:rsidR="00BB1CC7" w:rsidRPr="00BB1CC7">
        <w:rPr>
          <w:rFonts w:ascii="Arial" w:hAnsi="Arial" w:cs="Arial"/>
        </w:rPr>
        <w:t>Imarcoain</w:t>
      </w:r>
      <w:proofErr w:type="spellEnd"/>
      <w:r w:rsidR="00BB1CC7" w:rsidRPr="00BB1CC7">
        <w:rPr>
          <w:rFonts w:ascii="Arial" w:hAnsi="Arial" w:cs="Arial"/>
        </w:rPr>
        <w:t>-Tafalla de la AP-15 relativa al monte “Carrascal”, cuya denominación no coi</w:t>
      </w:r>
      <w:r w:rsidR="00BB1CC7" w:rsidRPr="00BB1CC7">
        <w:rPr>
          <w:rFonts w:ascii="Arial" w:hAnsi="Arial" w:cs="Arial"/>
        </w:rPr>
        <w:t>n</w:t>
      </w:r>
      <w:r w:rsidR="00BB1CC7" w:rsidRPr="00BB1CC7">
        <w:rPr>
          <w:rFonts w:ascii="Arial" w:hAnsi="Arial" w:cs="Arial"/>
        </w:rPr>
        <w:t>cide con la propia del término, exactamente denominado “</w:t>
      </w:r>
      <w:proofErr w:type="spellStart"/>
      <w:r w:rsidR="00BB1CC7" w:rsidRPr="00BB1CC7">
        <w:rPr>
          <w:rFonts w:ascii="Arial" w:hAnsi="Arial" w:cs="Arial"/>
        </w:rPr>
        <w:t>Artederreta</w:t>
      </w:r>
      <w:proofErr w:type="spellEnd"/>
      <w:r w:rsidR="00BB1CC7" w:rsidRPr="00BB1CC7">
        <w:rPr>
          <w:rFonts w:ascii="Arial" w:hAnsi="Arial" w:cs="Arial"/>
        </w:rPr>
        <w:t xml:space="preserve">”), </w:t>
      </w:r>
      <w:r>
        <w:rPr>
          <w:rFonts w:ascii="Arial" w:hAnsi="Arial" w:cs="Arial"/>
        </w:rPr>
        <w:t xml:space="preserve">por la presente tiene el honor de informar </w:t>
      </w:r>
      <w:r w:rsidR="00E027CD">
        <w:rPr>
          <w:rFonts w:ascii="Arial" w:hAnsi="Arial" w:cs="Arial"/>
        </w:rPr>
        <w:t>lo siguiente</w:t>
      </w:r>
      <w:r w:rsidR="00BB1CC7" w:rsidRPr="00BB1CC7">
        <w:rPr>
          <w:rFonts w:ascii="Arial" w:hAnsi="Arial" w:cs="Arial"/>
        </w:rPr>
        <w:t>:</w:t>
      </w:r>
    </w:p>
    <w:p w:rsidR="00BB1CC7" w:rsidRDefault="00BB1CC7" w:rsidP="004941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1.- Para una evaluación coherente de la corrección o incorrección del conten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do de la señal viaria informativa debe considerase, en primer lu</w:t>
      </w:r>
      <w:r w:rsidR="00E027CD">
        <w:rPr>
          <w:rFonts w:ascii="Arial" w:hAnsi="Arial" w:cs="Arial"/>
        </w:rPr>
        <w:t>gar, cuál es la información que</w:t>
      </w:r>
      <w:r>
        <w:rPr>
          <w:rFonts w:ascii="Arial" w:hAnsi="Arial" w:cs="Arial"/>
        </w:rPr>
        <w:t xml:space="preserve"> se está pretendiendo trasladar con ella al usuario de la carr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tera.</w:t>
      </w:r>
    </w:p>
    <w:p w:rsidR="00D971BE" w:rsidRDefault="00BB1CC7" w:rsidP="004941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señal concreta objeto de la </w:t>
      </w:r>
      <w:r w:rsidR="00E027CD">
        <w:rPr>
          <w:rFonts w:ascii="Arial" w:hAnsi="Arial" w:cs="Arial"/>
        </w:rPr>
        <w:t>pregunta</w:t>
      </w:r>
      <w:r>
        <w:rPr>
          <w:rFonts w:ascii="Arial" w:hAnsi="Arial" w:cs="Arial"/>
        </w:rPr>
        <w:t xml:space="preserve"> es la que puede observarse en la imagen siguiente:</w:t>
      </w:r>
    </w:p>
    <w:p w:rsidR="00D971BE" w:rsidRDefault="009D0431" w:rsidP="00BB1CC7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3151BD" wp14:editId="2F19AC88">
            <wp:extent cx="5610225" cy="2714625"/>
            <wp:effectExtent l="0" t="0" r="9525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BE" w:rsidRDefault="00BB1CC7" w:rsidP="00BB1CC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su simétrica en la calzada contraria de la AP-15.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Debe tenerse en cuenta también cuál es el ámbito geográfico en el que se </w:t>
      </w:r>
      <w:proofErr w:type="gramStart"/>
      <w:r>
        <w:rPr>
          <w:rFonts w:ascii="Arial" w:hAnsi="Arial" w:cs="Arial"/>
        </w:rPr>
        <w:t>encuentra</w:t>
      </w:r>
      <w:proofErr w:type="gramEnd"/>
      <w:r>
        <w:rPr>
          <w:rFonts w:ascii="Arial" w:hAnsi="Arial" w:cs="Arial"/>
        </w:rPr>
        <w:t xml:space="preserve"> instalada.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 Se considera que el cartel en cuestión no tiene por objeto señalizar el p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raje en el que se encuentra instalada la señal,  puesto que la AP-15 no co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tiene </w:t>
      </w:r>
      <w:r w:rsidRPr="00E027CD">
        <w:rPr>
          <w:rFonts w:ascii="Arial" w:hAnsi="Arial" w:cs="Arial"/>
        </w:rPr>
        <w:t>señalización de localización</w:t>
      </w:r>
      <w:r>
        <w:rPr>
          <w:rFonts w:ascii="Arial" w:hAnsi="Arial" w:cs="Arial"/>
        </w:rPr>
        <w:t xml:space="preserve"> geográfica con este formato (los carteles similares que pueden observarse en las márgenes de la AP-15 tiene</w:t>
      </w:r>
      <w:r w:rsidR="0049410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formato </w:t>
      </w:r>
      <w:r>
        <w:rPr>
          <w:rFonts w:ascii="Arial" w:hAnsi="Arial" w:cs="Arial"/>
        </w:rPr>
        <w:lastRenderedPageBreak/>
        <w:t xml:space="preserve">de </w:t>
      </w:r>
      <w:r w:rsidRPr="00E027CD">
        <w:rPr>
          <w:rFonts w:ascii="Arial" w:hAnsi="Arial" w:cs="Arial"/>
        </w:rPr>
        <w:t xml:space="preserve">carteles-flecha de orientación </w:t>
      </w:r>
      <w:r>
        <w:rPr>
          <w:rFonts w:ascii="Arial" w:hAnsi="Arial" w:cs="Arial"/>
        </w:rPr>
        <w:t>de destinos de naturaleza turística situados en los enlaces y sus aproximaciones).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el contrario, el cartel citado  parece tener por objeto informar, como es habitual en multitud de ubicaciones de la Red, sobre la altitud del “puerto de montaña” que </w:t>
      </w:r>
      <w:r w:rsidR="0049410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está siendo atravesado por la infraestructura viaria.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Revisada la base de datos de </w:t>
      </w:r>
      <w:smartTag w:uri="urn:schemas-microsoft-com:office:smarttags" w:element="PersonName">
        <w:smartTagPr>
          <w:attr w:name="ProductID" w:val="la Toponimia Oficial"/>
        </w:smartTagPr>
        <w:r>
          <w:rPr>
            <w:rFonts w:ascii="Arial" w:hAnsi="Arial" w:cs="Arial"/>
          </w:rPr>
          <w:t xml:space="preserve">la </w:t>
        </w:r>
        <w:r w:rsidRPr="00634896">
          <w:rPr>
            <w:rFonts w:ascii="Arial" w:hAnsi="Arial" w:cs="Arial"/>
            <w:i/>
          </w:rPr>
          <w:t>Toponimia Oficial</w:t>
        </w:r>
      </w:smartTag>
      <w:r w:rsidRPr="00634896">
        <w:rPr>
          <w:rFonts w:ascii="Arial" w:hAnsi="Arial" w:cs="Arial"/>
          <w:i/>
        </w:rPr>
        <w:t xml:space="preserve"> de Navarra</w:t>
      </w:r>
      <w:r>
        <w:rPr>
          <w:rFonts w:ascii="Arial" w:hAnsi="Arial" w:cs="Arial"/>
          <w:b/>
          <w:i/>
        </w:rPr>
        <w:t xml:space="preserve"> </w:t>
      </w:r>
      <w:r w:rsidRPr="00634896">
        <w:rPr>
          <w:rFonts w:ascii="Arial" w:hAnsi="Arial" w:cs="Arial"/>
        </w:rPr>
        <w:t>para las e</w:t>
      </w:r>
      <w:r w:rsidRPr="00634896">
        <w:rPr>
          <w:rFonts w:ascii="Arial" w:hAnsi="Arial" w:cs="Arial"/>
        </w:rPr>
        <w:t>n</w:t>
      </w:r>
      <w:r w:rsidRPr="00634896">
        <w:rPr>
          <w:rFonts w:ascii="Arial" w:hAnsi="Arial" w:cs="Arial"/>
        </w:rPr>
        <w:t>tradas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Unzué</w:t>
      </w:r>
      <w:proofErr w:type="spellEnd"/>
      <w:r>
        <w:rPr>
          <w:rFonts w:ascii="Arial" w:hAnsi="Arial" w:cs="Arial"/>
        </w:rPr>
        <w:t>&lt;&gt;</w:t>
      </w:r>
      <w:proofErr w:type="spellStart"/>
      <w:r>
        <w:rPr>
          <w:rFonts w:ascii="Arial" w:hAnsi="Arial" w:cs="Arial"/>
        </w:rPr>
        <w:t>Untzue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Artederreta</w:t>
      </w:r>
      <w:proofErr w:type="spellEnd"/>
      <w:r>
        <w:rPr>
          <w:rFonts w:ascii="Arial" w:hAnsi="Arial" w:cs="Arial"/>
        </w:rPr>
        <w:t xml:space="preserve">, se encuentra únicamente el topónimo </w:t>
      </w:r>
      <w:r w:rsidR="00D971BE">
        <w:rPr>
          <w:rFonts w:ascii="Arial" w:hAnsi="Arial" w:cs="Arial"/>
        </w:rPr>
        <w:t>‘</w:t>
      </w:r>
      <w:proofErr w:type="spellStart"/>
      <w:r w:rsidR="00D971BE">
        <w:rPr>
          <w:rFonts w:ascii="Arial" w:hAnsi="Arial" w:cs="Arial"/>
        </w:rPr>
        <w:t>Artederreta</w:t>
      </w:r>
      <w:proofErr w:type="spellEnd"/>
      <w:r w:rsidR="00D971BE">
        <w:rPr>
          <w:rFonts w:ascii="Arial" w:hAnsi="Arial" w:cs="Arial"/>
        </w:rPr>
        <w:t>, Ermita de Nuestra Señora de’</w:t>
      </w:r>
      <w:r>
        <w:rPr>
          <w:rFonts w:ascii="Arial" w:hAnsi="Arial" w:cs="Arial"/>
        </w:rPr>
        <w:t>, que no corresponde con la info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mación que se está pretendiendo trasladar a los usuarios de la AP-15.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el contrario, consultada la base de datos</w:t>
      </w:r>
      <w:r w:rsidRPr="00571230">
        <w:rPr>
          <w:rFonts w:ascii="Arial" w:hAnsi="Arial" w:cs="Arial"/>
        </w:rPr>
        <w:t xml:space="preserve"> </w:t>
      </w:r>
      <w:r w:rsidRPr="00634896">
        <w:rPr>
          <w:rFonts w:ascii="Arial" w:hAnsi="Arial" w:cs="Arial"/>
        </w:rPr>
        <w:t>para las entradas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zué</w:t>
      </w:r>
      <w:proofErr w:type="spellEnd"/>
      <w:r>
        <w:rPr>
          <w:rFonts w:ascii="Arial" w:hAnsi="Arial" w:cs="Arial"/>
        </w:rPr>
        <w:t>&lt;&gt;</w:t>
      </w:r>
      <w:proofErr w:type="spellStart"/>
      <w:r>
        <w:rPr>
          <w:rFonts w:ascii="Arial" w:hAnsi="Arial" w:cs="Arial"/>
        </w:rPr>
        <w:t>Untzue</w:t>
      </w:r>
      <w:proofErr w:type="spellEnd"/>
      <w:r>
        <w:rPr>
          <w:rFonts w:ascii="Arial" w:hAnsi="Arial" w:cs="Arial"/>
        </w:rPr>
        <w:t xml:space="preserve"> y El Carrascal, se encuentran los topónimos y variantes: </w:t>
      </w:r>
      <w:r w:rsidR="00D971BE">
        <w:rPr>
          <w:rFonts w:ascii="Arial" w:hAnsi="Arial" w:cs="Arial"/>
        </w:rPr>
        <w:t>C</w:t>
      </w:r>
      <w:r w:rsidR="00D971BE">
        <w:rPr>
          <w:rFonts w:ascii="Arial" w:hAnsi="Arial" w:cs="Arial"/>
        </w:rPr>
        <w:t>a</w:t>
      </w:r>
      <w:r w:rsidR="00D971BE">
        <w:rPr>
          <w:rFonts w:ascii="Arial" w:hAnsi="Arial" w:cs="Arial"/>
        </w:rPr>
        <w:t xml:space="preserve">rrascal; Carrascal, el; Carrascal, monte de; y </w:t>
      </w:r>
      <w:r w:rsidR="00D971BE" w:rsidRPr="00E027CD">
        <w:rPr>
          <w:rFonts w:ascii="Arial" w:hAnsi="Arial" w:cs="Arial"/>
        </w:rPr>
        <w:t>Carrascal, puerto de</w:t>
      </w:r>
      <w:r w:rsidRPr="00E027CD">
        <w:rPr>
          <w:rFonts w:ascii="Arial" w:hAnsi="Arial" w:cs="Arial"/>
        </w:rPr>
        <w:t xml:space="preserve">, </w:t>
      </w:r>
      <w:r w:rsidR="00D971BE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rresponde, de forma precisa, con la información que se está pretendiendo trasladar a los usuarios de la infraestructura.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5.- Por lo razonado anteriormente se considera que el contenido del cartel objeto de la </w:t>
      </w:r>
      <w:r w:rsidR="00E027CD">
        <w:rPr>
          <w:rFonts w:ascii="Arial" w:hAnsi="Arial" w:cs="Arial"/>
        </w:rPr>
        <w:t>pregunta</w:t>
      </w:r>
      <w:r>
        <w:rPr>
          <w:rFonts w:ascii="Arial" w:hAnsi="Arial" w:cs="Arial"/>
        </w:rPr>
        <w:t xml:space="preserve"> es correcto y no procede </w:t>
      </w:r>
      <w:r w:rsidRPr="00D36140">
        <w:rPr>
          <w:rFonts w:ascii="Arial" w:hAnsi="Arial" w:cs="Arial"/>
        </w:rPr>
        <w:t xml:space="preserve">realizar </w:t>
      </w:r>
      <w:r>
        <w:rPr>
          <w:rFonts w:ascii="Arial" w:hAnsi="Arial" w:cs="Arial"/>
        </w:rPr>
        <w:t>nin</w:t>
      </w:r>
      <w:r w:rsidRPr="00D36140">
        <w:rPr>
          <w:rFonts w:ascii="Arial" w:hAnsi="Arial" w:cs="Arial"/>
        </w:rPr>
        <w:t xml:space="preserve">guna </w:t>
      </w:r>
      <w:r>
        <w:rPr>
          <w:rFonts w:ascii="Arial" w:hAnsi="Arial" w:cs="Arial"/>
        </w:rPr>
        <w:t xml:space="preserve">actuación </w:t>
      </w:r>
      <w:r w:rsidRPr="00D36140">
        <w:rPr>
          <w:rFonts w:ascii="Arial" w:hAnsi="Arial" w:cs="Arial"/>
        </w:rPr>
        <w:t xml:space="preserve">con </w:t>
      </w:r>
      <w:proofErr w:type="spellStart"/>
      <w:r w:rsidRPr="00D36140">
        <w:rPr>
          <w:rFonts w:ascii="Arial" w:hAnsi="Arial" w:cs="Arial"/>
        </w:rPr>
        <w:t>Audenasa</w:t>
      </w:r>
      <w:proofErr w:type="spellEnd"/>
      <w:r w:rsidRPr="00D36140">
        <w:rPr>
          <w:rFonts w:ascii="Arial" w:hAnsi="Arial" w:cs="Arial"/>
        </w:rPr>
        <w:t xml:space="preserve"> para corregir </w:t>
      </w:r>
      <w:r>
        <w:rPr>
          <w:rFonts w:ascii="Arial" w:hAnsi="Arial" w:cs="Arial"/>
        </w:rPr>
        <w:t>su rotulación</w:t>
      </w:r>
      <w:r w:rsidRPr="00D36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actual</w:t>
      </w:r>
      <w:r w:rsidRPr="00D3614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6.- En lo que a selección de topónimos</w:t>
      </w:r>
      <w:r w:rsidRPr="00B21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refiere, desde </w:t>
      </w:r>
      <w:smartTag w:uri="urn:schemas-microsoft-com:office:smarttags" w:element="PersonName">
        <w:smartTagPr>
          <w:attr w:name="ProductID" w:val="la Direcci￳n General"/>
        </w:smartTagPr>
        <w:r>
          <w:rPr>
            <w:rFonts w:ascii="Arial" w:hAnsi="Arial" w:cs="Arial"/>
          </w:rPr>
          <w:t>la Dirección General</w:t>
        </w:r>
      </w:smartTag>
      <w:r>
        <w:rPr>
          <w:rFonts w:ascii="Arial" w:hAnsi="Arial" w:cs="Arial"/>
        </w:rPr>
        <w:t xml:space="preserve"> de Obras Públicas </w:t>
      </w:r>
      <w:r w:rsidRPr="009F5DF6">
        <w:rPr>
          <w:rFonts w:ascii="Arial" w:hAnsi="Arial" w:cs="Arial"/>
        </w:rPr>
        <w:t>no se tiene detectada  ninguna deficiencia en las señales verticales informativas en la Red de Carreteras</w:t>
      </w:r>
      <w:r>
        <w:rPr>
          <w:rFonts w:ascii="Arial" w:hAnsi="Arial" w:cs="Arial"/>
        </w:rPr>
        <w:t xml:space="preserve">, limitándose a su sustitución y actualización a la normativa que </w:t>
      </w:r>
      <w:r w:rsidR="003B3C9A">
        <w:rPr>
          <w:rFonts w:ascii="Arial" w:hAnsi="Arial" w:cs="Arial"/>
        </w:rPr>
        <w:t>esté</w:t>
      </w:r>
      <w:r>
        <w:rPr>
          <w:rFonts w:ascii="Arial" w:hAnsi="Arial" w:cs="Arial"/>
        </w:rPr>
        <w:t xml:space="preserve"> vigente al respecto (en lo relativo a s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ñalización turística según criterio de </w:t>
      </w:r>
      <w:smartTag w:uri="urn:schemas-microsoft-com:office:smarttags" w:element="PersonName">
        <w:smartTagPr>
          <w:attr w:name="ProductID" w:val="la Direcci￳n General"/>
        </w:smartTagPr>
        <w:r>
          <w:rPr>
            <w:rFonts w:ascii="Arial" w:hAnsi="Arial" w:cs="Arial"/>
          </w:rPr>
          <w:t xml:space="preserve">la </w:t>
        </w:r>
        <w:r w:rsidRPr="00571AD0">
          <w:rPr>
            <w:rFonts w:ascii="Arial" w:hAnsi="Arial" w:cs="Arial"/>
          </w:rPr>
          <w:t>Dirección General</w:t>
        </w:r>
      </w:smartTag>
      <w:r w:rsidRPr="00571AD0">
        <w:rPr>
          <w:rFonts w:ascii="Arial" w:hAnsi="Arial" w:cs="Arial"/>
        </w:rPr>
        <w:t xml:space="preserve"> de Turismo y C</w:t>
      </w:r>
      <w:r w:rsidRPr="00571AD0">
        <w:rPr>
          <w:rFonts w:ascii="Arial" w:hAnsi="Arial" w:cs="Arial"/>
        </w:rPr>
        <w:t>o</w:t>
      </w:r>
      <w:r w:rsidRPr="00571AD0">
        <w:rPr>
          <w:rFonts w:ascii="Arial" w:hAnsi="Arial" w:cs="Arial"/>
        </w:rPr>
        <w:t>mercio</w:t>
      </w:r>
      <w:r>
        <w:rPr>
          <w:rFonts w:ascii="Arial" w:hAnsi="Arial" w:cs="Arial"/>
        </w:rPr>
        <w:t xml:space="preserve">), según los plazos que se prevén para ello, en </w:t>
      </w:r>
      <w:smartTag w:uri="urn:schemas-microsoft-com:office:smarttags" w:element="PersonName">
        <w:smartTagPr>
          <w:attr w:name="ProductID" w:val="la Disposici￳n Transitoria"/>
        </w:smartTagPr>
        <w:r>
          <w:rPr>
            <w:rFonts w:ascii="Arial" w:hAnsi="Arial" w:cs="Arial"/>
          </w:rPr>
          <w:t>la Disposición Transit</w:t>
        </w:r>
        <w:r>
          <w:rPr>
            <w:rFonts w:ascii="Arial" w:hAnsi="Arial" w:cs="Arial"/>
          </w:rPr>
          <w:t>o</w:t>
        </w:r>
        <w:r>
          <w:rPr>
            <w:rFonts w:ascii="Arial" w:hAnsi="Arial" w:cs="Arial"/>
          </w:rPr>
          <w:t>ria</w:t>
        </w:r>
      </w:smartTag>
      <w:r>
        <w:rPr>
          <w:rFonts w:ascii="Arial" w:hAnsi="Arial" w:cs="Arial"/>
        </w:rPr>
        <w:t xml:space="preserve"> del </w:t>
      </w:r>
      <w:r w:rsidRPr="00B901F4">
        <w:rPr>
          <w:rFonts w:ascii="Arial" w:hAnsi="Arial" w:cs="Arial"/>
        </w:rPr>
        <w:t>D</w:t>
      </w:r>
      <w:r w:rsidR="003B3C9A">
        <w:rPr>
          <w:rFonts w:ascii="Arial" w:hAnsi="Arial" w:cs="Arial"/>
        </w:rPr>
        <w:t>ecreto Foral</w:t>
      </w:r>
      <w:r w:rsidRPr="00B901F4">
        <w:rPr>
          <w:rFonts w:ascii="Arial" w:hAnsi="Arial" w:cs="Arial"/>
        </w:rPr>
        <w:t xml:space="preserve"> 5/2018, de 28 de febrero, por el que se establecen los criterios de uso y de expresión gráfica de las denominaciones de los núcleos de población de Navarra</w:t>
      </w:r>
      <w:r>
        <w:rPr>
          <w:rFonts w:ascii="Arial" w:hAnsi="Arial" w:cs="Arial"/>
        </w:rPr>
        <w:t>.</w:t>
      </w:r>
    </w:p>
    <w:p w:rsidR="00D971BE" w:rsidRDefault="00BB1CC7" w:rsidP="00BB1C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actuación de </w:t>
      </w:r>
      <w:smartTag w:uri="urn:schemas-microsoft-com:office:smarttags" w:element="PersonName">
        <w:smartTagPr>
          <w:attr w:name="ProductID" w:val="la Direcci￳n General"/>
        </w:smartTagPr>
        <w:r>
          <w:rPr>
            <w:rFonts w:ascii="Arial" w:hAnsi="Arial" w:cs="Arial"/>
          </w:rPr>
          <w:t xml:space="preserve">la </w:t>
        </w:r>
        <w:r w:rsidRPr="00571AD0">
          <w:rPr>
            <w:rFonts w:ascii="Arial" w:hAnsi="Arial" w:cs="Arial"/>
          </w:rPr>
          <w:t>Dirección General</w:t>
        </w:r>
      </w:smartTag>
      <w:r w:rsidRPr="00571AD0">
        <w:rPr>
          <w:rFonts w:ascii="Arial" w:hAnsi="Arial" w:cs="Arial"/>
        </w:rPr>
        <w:t xml:space="preserve"> de Obras Públicas</w:t>
      </w:r>
      <w:r>
        <w:rPr>
          <w:rFonts w:ascii="Arial" w:hAnsi="Arial" w:cs="Arial"/>
        </w:rPr>
        <w:t xml:space="preserve"> para corregir las def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ciencias detectadas en las señales verticales informativas no se lleva a cabo con carácter general y para el global de la Red, sino coincidiendo  con las sustituciones necesarias por motivos de conservación.</w:t>
      </w:r>
    </w:p>
    <w:p w:rsidR="00D971BE" w:rsidRDefault="00580F08" w:rsidP="00580F08">
      <w:pPr>
        <w:jc w:val="both"/>
        <w:rPr>
          <w:rFonts w:ascii="Arial" w:hAnsi="Arial" w:cs="Arial"/>
        </w:rPr>
      </w:pPr>
      <w:r w:rsidRPr="00AC4C87">
        <w:rPr>
          <w:rFonts w:ascii="Arial" w:hAnsi="Arial" w:cs="Arial"/>
        </w:rPr>
        <w:t>Es cuanto tengo el honor de informar en cumplimiento de lo dispuesto en el artículo 1</w:t>
      </w:r>
      <w:r>
        <w:rPr>
          <w:rFonts w:ascii="Arial" w:hAnsi="Arial" w:cs="Arial"/>
        </w:rPr>
        <w:t>9</w:t>
      </w:r>
      <w:r w:rsidRPr="00AC4C87">
        <w:rPr>
          <w:rFonts w:ascii="Arial" w:hAnsi="Arial" w:cs="Arial"/>
        </w:rPr>
        <w:t>4 del Reglamento del Parlamento de Navarra.</w:t>
      </w:r>
    </w:p>
    <w:p w:rsidR="00A35D77" w:rsidRPr="009F5797" w:rsidRDefault="00A35D77" w:rsidP="00A35D77">
      <w:pPr>
        <w:tabs>
          <w:tab w:val="left" w:pos="600"/>
        </w:tabs>
        <w:spacing w:line="360" w:lineRule="auto"/>
        <w:jc w:val="center"/>
        <w:rPr>
          <w:rFonts w:ascii="Arial" w:hAnsi="Arial" w:cs="Arial"/>
        </w:rPr>
      </w:pPr>
      <w:r w:rsidRPr="009F5797">
        <w:rPr>
          <w:rFonts w:ascii="Arial" w:hAnsi="Arial" w:cs="Arial"/>
        </w:rPr>
        <w:t xml:space="preserve">Pamplona, </w:t>
      </w:r>
      <w:r w:rsidR="00494102">
        <w:rPr>
          <w:rFonts w:ascii="Arial" w:hAnsi="Arial" w:cs="Arial"/>
        </w:rPr>
        <w:t>15 de octubre</w:t>
      </w:r>
      <w:r w:rsidR="008C364D">
        <w:rPr>
          <w:rFonts w:ascii="Arial" w:hAnsi="Arial" w:cs="Arial"/>
        </w:rPr>
        <w:t xml:space="preserve"> de 2018</w:t>
      </w:r>
    </w:p>
    <w:p w:rsidR="00A35D77" w:rsidRPr="009F5797" w:rsidRDefault="00D971BE" w:rsidP="00A35D77">
      <w:pPr>
        <w:tabs>
          <w:tab w:val="left" w:pos="600"/>
        </w:tabs>
        <w:spacing w:line="360" w:lineRule="auto"/>
        <w:jc w:val="center"/>
        <w:rPr>
          <w:rFonts w:ascii="Arial" w:hAnsi="Arial" w:cs="Arial"/>
        </w:rPr>
      </w:pPr>
      <w:r w:rsidRPr="00D971BE">
        <w:rPr>
          <w:rFonts w:ascii="Arial" w:hAnsi="Arial" w:cs="Arial"/>
        </w:rPr>
        <w:t>El Consejero de Desarrollo Económico</w:t>
      </w:r>
      <w:r>
        <w:rPr>
          <w:rFonts w:ascii="Arial" w:hAnsi="Arial" w:cs="Arial"/>
        </w:rPr>
        <w:t>:</w:t>
      </w:r>
      <w:r w:rsidRPr="00D971BE">
        <w:rPr>
          <w:rFonts w:ascii="Arial" w:hAnsi="Arial" w:cs="Arial"/>
        </w:rPr>
        <w:t xml:space="preserve"> </w:t>
      </w:r>
      <w:r w:rsidR="00580F08">
        <w:rPr>
          <w:rFonts w:ascii="Arial" w:hAnsi="Arial" w:cs="Arial"/>
        </w:rPr>
        <w:t>M</w:t>
      </w:r>
      <w:r w:rsidR="00A35D77" w:rsidRPr="009F5797">
        <w:rPr>
          <w:rFonts w:ascii="Arial" w:hAnsi="Arial" w:cs="Arial"/>
        </w:rPr>
        <w:t xml:space="preserve">anuel </w:t>
      </w:r>
      <w:proofErr w:type="spellStart"/>
      <w:r w:rsidR="00A35D77" w:rsidRPr="009F5797">
        <w:rPr>
          <w:rFonts w:ascii="Arial" w:hAnsi="Arial" w:cs="Arial"/>
        </w:rPr>
        <w:t>Ayerdi</w:t>
      </w:r>
      <w:proofErr w:type="spellEnd"/>
      <w:r w:rsidR="00A35D77" w:rsidRPr="009F5797">
        <w:rPr>
          <w:rFonts w:ascii="Arial" w:hAnsi="Arial" w:cs="Arial"/>
        </w:rPr>
        <w:t xml:space="preserve"> </w:t>
      </w:r>
      <w:proofErr w:type="spellStart"/>
      <w:r w:rsidR="00A35D77" w:rsidRPr="009F5797">
        <w:rPr>
          <w:rFonts w:ascii="Arial" w:hAnsi="Arial" w:cs="Arial"/>
        </w:rPr>
        <w:t>Olaizola</w:t>
      </w:r>
      <w:bookmarkEnd w:id="0"/>
      <w:proofErr w:type="spellEnd"/>
    </w:p>
    <w:sectPr w:rsidR="00A35D77" w:rsidRPr="009F5797" w:rsidSect="008C364D">
      <w:headerReference w:type="default" r:id="rId9"/>
      <w:pgSz w:w="11906" w:h="16838"/>
      <w:pgMar w:top="2835" w:right="991" w:bottom="709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BD" w:rsidRDefault="000C6EBD">
      <w:r>
        <w:separator/>
      </w:r>
    </w:p>
  </w:endnote>
  <w:endnote w:type="continuationSeparator" w:id="0">
    <w:p w:rsidR="000C6EBD" w:rsidRDefault="000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BD" w:rsidRDefault="000C6EBD">
      <w:r>
        <w:separator/>
      </w:r>
    </w:p>
  </w:footnote>
  <w:footnote w:type="continuationSeparator" w:id="0">
    <w:p w:rsidR="000C6EBD" w:rsidRDefault="000C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28" w:rsidRDefault="00A45828" w:rsidP="00CE62D8">
    <w:pPr>
      <w:pStyle w:val="Encabezado"/>
      <w:ind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1E02"/>
    <w:multiLevelType w:val="hybridMultilevel"/>
    <w:tmpl w:val="611E5214"/>
    <w:lvl w:ilvl="0" w:tplc="279E3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C0299"/>
    <w:multiLevelType w:val="hybridMultilevel"/>
    <w:tmpl w:val="CE448EE0"/>
    <w:lvl w:ilvl="0" w:tplc="0C0A000F">
      <w:start w:val="1"/>
      <w:numFmt w:val="decimal"/>
      <w:lvlText w:val="%1."/>
      <w:lvlJc w:val="left"/>
      <w:pPr>
        <w:ind w:left="1344" w:hanging="360"/>
      </w:pPr>
    </w:lvl>
    <w:lvl w:ilvl="1" w:tplc="0C0A0019" w:tentative="1">
      <w:start w:val="1"/>
      <w:numFmt w:val="lowerLetter"/>
      <w:lvlText w:val="%2."/>
      <w:lvlJc w:val="left"/>
      <w:pPr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3F107B8C"/>
    <w:multiLevelType w:val="hybridMultilevel"/>
    <w:tmpl w:val="A4FCE934"/>
    <w:lvl w:ilvl="0" w:tplc="6BBA1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0198"/>
    <w:multiLevelType w:val="hybridMultilevel"/>
    <w:tmpl w:val="67A0E028"/>
    <w:lvl w:ilvl="0" w:tplc="E56CE6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A980CFE"/>
    <w:multiLevelType w:val="hybridMultilevel"/>
    <w:tmpl w:val="9A46D96C"/>
    <w:lvl w:ilvl="0" w:tplc="4BC2D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C192D"/>
    <w:multiLevelType w:val="hybridMultilevel"/>
    <w:tmpl w:val="2B2A4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3"/>
    <w:rsid w:val="00051BC0"/>
    <w:rsid w:val="00065308"/>
    <w:rsid w:val="000C6EBD"/>
    <w:rsid w:val="000D10F5"/>
    <w:rsid w:val="001667FF"/>
    <w:rsid w:val="0018246C"/>
    <w:rsid w:val="00201CF4"/>
    <w:rsid w:val="00242E53"/>
    <w:rsid w:val="00260CE3"/>
    <w:rsid w:val="00291975"/>
    <w:rsid w:val="003175E0"/>
    <w:rsid w:val="00336664"/>
    <w:rsid w:val="003549E8"/>
    <w:rsid w:val="003739F3"/>
    <w:rsid w:val="00381360"/>
    <w:rsid w:val="00395C5D"/>
    <w:rsid w:val="0039620B"/>
    <w:rsid w:val="003B3C9A"/>
    <w:rsid w:val="003C5811"/>
    <w:rsid w:val="003D4143"/>
    <w:rsid w:val="00453804"/>
    <w:rsid w:val="004829B8"/>
    <w:rsid w:val="00486578"/>
    <w:rsid w:val="00494102"/>
    <w:rsid w:val="004C08AD"/>
    <w:rsid w:val="004C68CC"/>
    <w:rsid w:val="00502FEC"/>
    <w:rsid w:val="00525110"/>
    <w:rsid w:val="00572C27"/>
    <w:rsid w:val="00580F08"/>
    <w:rsid w:val="005B2E0E"/>
    <w:rsid w:val="00685663"/>
    <w:rsid w:val="006E31CB"/>
    <w:rsid w:val="00730C5A"/>
    <w:rsid w:val="00734064"/>
    <w:rsid w:val="007818E6"/>
    <w:rsid w:val="007A7FE3"/>
    <w:rsid w:val="007D2B80"/>
    <w:rsid w:val="00880515"/>
    <w:rsid w:val="008A4121"/>
    <w:rsid w:val="008C364D"/>
    <w:rsid w:val="008F56D1"/>
    <w:rsid w:val="00933683"/>
    <w:rsid w:val="009B458C"/>
    <w:rsid w:val="009D0431"/>
    <w:rsid w:val="009D0FF8"/>
    <w:rsid w:val="009E4A6E"/>
    <w:rsid w:val="009F5DF6"/>
    <w:rsid w:val="00A35D77"/>
    <w:rsid w:val="00A45828"/>
    <w:rsid w:val="00A52EB8"/>
    <w:rsid w:val="00A779FF"/>
    <w:rsid w:val="00AA2E4F"/>
    <w:rsid w:val="00B3695B"/>
    <w:rsid w:val="00B37FFB"/>
    <w:rsid w:val="00BB1CC7"/>
    <w:rsid w:val="00BB2708"/>
    <w:rsid w:val="00BF07CD"/>
    <w:rsid w:val="00C14D68"/>
    <w:rsid w:val="00C722D6"/>
    <w:rsid w:val="00CE0AAE"/>
    <w:rsid w:val="00CE1BD3"/>
    <w:rsid w:val="00CE62D8"/>
    <w:rsid w:val="00D80802"/>
    <w:rsid w:val="00D971BE"/>
    <w:rsid w:val="00DB5D94"/>
    <w:rsid w:val="00E027CD"/>
    <w:rsid w:val="00E31B39"/>
    <w:rsid w:val="00E8075B"/>
    <w:rsid w:val="00E94657"/>
    <w:rsid w:val="00EA7866"/>
    <w:rsid w:val="00F5255E"/>
    <w:rsid w:val="00F741F1"/>
    <w:rsid w:val="00FA2B2E"/>
    <w:rsid w:val="00FC0042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pregunta parlamentaria formulada por D</vt:lpstr>
    </vt:vector>
  </TitlesOfParts>
  <Company>Gobierno de Navarra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pregunta parlamentaria formulada por D</dc:title>
  <dc:creator>X004366</dc:creator>
  <cp:lastModifiedBy>Iñaki De Santiago</cp:lastModifiedBy>
  <cp:revision>2</cp:revision>
  <cp:lastPrinted>2018-10-15T16:06:00Z</cp:lastPrinted>
  <dcterms:created xsi:type="dcterms:W3CDTF">2018-11-22T08:00:00Z</dcterms:created>
  <dcterms:modified xsi:type="dcterms:W3CDTF">2018-11-22T08:00:00Z</dcterms:modified>
</cp:coreProperties>
</file>