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causas del descenso en competitividad en relación con otras comunidades,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Pleno dirigida a la presidenta del Gobierno de Navarra: </w:t>
      </w:r>
    </w:p>
    <w:p>
      <w:pPr>
        <w:pStyle w:val="0"/>
        <w:suppressAutoHyphens w:val="false"/>
        <w:rPr>
          <w:rStyle w:val="1"/>
        </w:rPr>
      </w:pPr>
      <w:r>
        <w:rPr>
          <w:rStyle w:val="1"/>
        </w:rPr>
        <w:t xml:space="preserve">¿Cuáles son las causas del descenso en competitividad de la Comunidad Foral de Navarra en relación con otras comunidades, según el informe del Índice Autonómico de Competitividad Fiscal? </w:t>
      </w:r>
    </w:p>
    <w:p>
      <w:pPr>
        <w:pStyle w:val="0"/>
        <w:suppressAutoHyphens w:val="false"/>
        <w:rPr>
          <w:rStyle w:val="1"/>
        </w:rPr>
      </w:pPr>
      <w:r>
        <w:rPr>
          <w:rStyle w:val="1"/>
        </w:rPr>
        <w:t xml:space="preserve">Pamplona, 17 de diciembre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