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eginiko bilkuran, Eledunen Batzarrari entzun ondoren, honako erabaki hau hartu zuen, besteak beste:</w:t>
      </w:r>
    </w:p>
    <w:p>
      <w:pPr>
        <w:pStyle w:val="0"/>
        <w:suppressAutoHyphens w:val="false"/>
        <w:rPr>
          <w:rStyle w:val="1"/>
        </w:rPr>
      </w:pPr>
      <w:r>
        <w:rPr>
          <w:rStyle w:val="1"/>
        </w:rPr>
        <w:t xml:space="preserve">Lehendakaritzako, Funtzio Publikoko, Barneko eta Justiziako Batzordeak 2019ko urtarrilaren 30ean onetsi zuen, Erregelamenduaren 55.2 artikuluarekin bat, ponentzia bat eratzea, enpresa pribatuen eta administrazio publikoaren artean zerbitzuak eta lanak kanpoan nahiz barruan kontratatzeko prozesuetan jarraitu beharreko zuzenbidezko prozedurak aztertzeko, ukitutako langileen eskubideak babeste aldera, eta Legebiltzarreko Mahaiari eskatu zion xedatu beharrekoa xeda zezala aipatu ponentziaren osaerari eta funtzionamenduari buruz.</w:t>
      </w:r>
    </w:p>
    <w:p>
      <w:pPr>
        <w:pStyle w:val="0"/>
        <w:suppressAutoHyphens w:val="false"/>
        <w:rPr>
          <w:rStyle w:val="1"/>
        </w:rPr>
      </w:pPr>
      <w:r>
        <w:rPr>
          <w:rStyle w:val="1"/>
        </w:rPr>
        <w:t xml:space="preserve">Ponentzia eratu eta lanean hasi ahal izan dadin, ondokoa ERABAKI DA:</w:t>
      </w:r>
    </w:p>
    <w:p>
      <w:pPr>
        <w:pStyle w:val="0"/>
        <w:suppressAutoHyphens w:val="false"/>
        <w:rPr>
          <w:rStyle w:val="1"/>
        </w:rPr>
      </w:pPr>
      <w:r>
        <w:rPr>
          <w:rStyle w:val="1"/>
          <w:b w:val="true"/>
        </w:rPr>
        <w:t xml:space="preserve">1. </w:t>
      </w:r>
      <w:r>
        <w:rPr>
          <w:rStyle w:val="1"/>
        </w:rPr>
        <w:t xml:space="preserve">Epe bat ematea, 2019ko otsailaren 11ko 09:30ak bitartekoa, talde parlamentario edo foru parlamentarien elkarte bakoitzak aipatu ponentziarako bere ordezkaria izenda dezan, Lehendakaritzako, Funtzio Publikoko, Barneko eta Justiziako Batzordeko kideen artetik, Legebiltzarreko Mahaiari idazki bat zuzenduta. Idazki horren bidez orobat izendatuko da kasuan kasuko talde parlamentarioko parlamentari bat, beharrezkoa denean ordezkari haren ordez jardunen dena.</w:t>
      </w:r>
    </w:p>
    <w:p>
      <w:pPr>
        <w:pStyle w:val="0"/>
        <w:suppressAutoHyphens w:val="false"/>
        <w:rPr>
          <w:rStyle w:val="1"/>
        </w:rPr>
      </w:pPr>
      <w:r>
        <w:rPr>
          <w:rStyle w:val="1"/>
          <w:b w:val="true"/>
        </w:rPr>
        <w:t xml:space="preserve">2. </w:t>
      </w:r>
      <w:r>
        <w:rPr>
          <w:rStyle w:val="1"/>
        </w:rPr>
        <w:t xml:space="preserve">Behin ordezkariak izendatuta, Mahaiak erabakiko du ponentzia zein egunetan eratu eta lanean hasiko den.</w:t>
      </w:r>
    </w:p>
    <w:p>
      <w:pPr>
        <w:pStyle w:val="0"/>
        <w:suppressAutoHyphens w:val="false"/>
        <w:rPr>
          <w:rStyle w:val="1"/>
        </w:rPr>
      </w:pPr>
      <w:r>
        <w:rPr>
          <w:rStyle w:val="1"/>
          <w:b w:val="true"/>
        </w:rPr>
        <w:t xml:space="preserve">3. </w:t>
      </w:r>
      <w:r>
        <w:rPr>
          <w:rStyle w:val="1"/>
        </w:rPr>
        <w:t xml:space="preserve">Ponentzia eratuta, haren kideek barne funtzionamenduko arauak ezarriko dituzte eta lanen berri emanen diote Legebiltzarreko Mahaiari.</w:t>
      </w:r>
    </w:p>
    <w:p>
      <w:pPr>
        <w:pStyle w:val="0"/>
        <w:suppressAutoHyphens w:val="false"/>
        <w:rPr>
          <w:rStyle w:val="1"/>
        </w:rPr>
      </w:pPr>
      <w:r>
        <w:rPr>
          <w:rStyle w:val="1"/>
          <w:b w:val="true"/>
        </w:rPr>
        <w:t xml:space="preserve">4. </w:t>
      </w:r>
      <w:r>
        <w:rPr>
          <w:rStyle w:val="1"/>
        </w:rPr>
        <w:t xml:space="preserve">Erabaki hau talde parlamentarioetako eledunei jakinaraztea.</w:t>
      </w:r>
    </w:p>
    <w:p>
      <w:pPr>
        <w:pStyle w:val="0"/>
        <w:suppressAutoHyphens w:val="false"/>
        <w:rPr>
          <w:rStyle w:val="1"/>
        </w:rPr>
      </w:pPr>
      <w:r>
        <w:rPr>
          <w:rStyle w:val="1"/>
          <w:b w:val="true"/>
        </w:rPr>
        <w:t xml:space="preserve">5.</w:t>
      </w:r>
      <w:r>
        <w:rPr>
          <w:rStyle w:val="1"/>
        </w:rPr>
        <w:t xml:space="preserve"> Erabaki hau Nafarroako Parlamentuko Aldizkari Ofizialean argitaratzea.</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