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proteger el patrimonio de los menores y víctimas de violencia de género, aprobada por el Pleno del Parlamento de Navarra en sesión celebrada el día 14 de febrero de 2019, cuyo texto se inserta a continuación:</w:t>
      </w:r>
    </w:p>
    <w:p>
      <w:pPr>
        <w:pStyle w:val="0"/>
        <w:suppressAutoHyphens w:val="false"/>
        <w:rPr>
          <w:rStyle w:val="1"/>
        </w:rPr>
      </w:pPr>
      <w:r>
        <w:rPr>
          <w:rStyle w:val="1"/>
        </w:rPr>
        <w:t xml:space="preserve">“El Parlamento de Navarra insta al Gobierno de Navarra a impulsar la modificación necesaria de las figuras impositivas del sistema tributario navarro, al objeto de proteger el patrimonio de los menores y víctimas de violencia de género en aquellos casos en que la deuda generada haya sido responsabilidad del cónyuge o progenitor causante del maltrato”.</w:t>
      </w:r>
    </w:p>
    <w:p>
      <w:pPr>
        <w:pStyle w:val="0"/>
        <w:suppressAutoHyphens w:val="false"/>
        <w:rPr>
          <w:rStyle w:val="1"/>
        </w:rPr>
      </w:pPr>
      <w:r>
        <w:rPr>
          <w:rStyle w:val="1"/>
        </w:rPr>
        <w:t xml:space="preserve">Pamplona, 15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