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5B2" w:rsidRDefault="00892408" w:rsidP="00892408">
      <w:pPr>
        <w:ind w:firstLine="709"/>
        <w:rPr>
          <w:rFonts w:ascii="Tahoma" w:hAnsi="Tahoma" w:cs="Tahoma"/>
          <w:sz w:val="22"/>
          <w:szCs w:val="22"/>
        </w:rPr>
      </w:pPr>
      <w:r>
        <w:rPr>
          <w:rFonts w:ascii="Tahoma" w:hAnsi="Tahoma"/>
          <w:sz w:val="22"/>
          <w:szCs w:val="22"/>
        </w:rPr>
        <w:t xml:space="preserve">Nafarroako Alderdi Sozialista talde parlamentarioko </w:t>
      </w:r>
      <w:proofErr w:type="spellStart"/>
      <w:r>
        <w:rPr>
          <w:rFonts w:ascii="Tahoma" w:hAnsi="Tahoma"/>
          <w:sz w:val="22"/>
          <w:szCs w:val="22"/>
        </w:rPr>
        <w:t>Guzmán</w:t>
      </w:r>
      <w:proofErr w:type="spellEnd"/>
      <w:r>
        <w:rPr>
          <w:rFonts w:ascii="Tahoma" w:hAnsi="Tahoma"/>
          <w:sz w:val="22"/>
          <w:szCs w:val="22"/>
        </w:rPr>
        <w:t xml:space="preserve"> Miguel Garmendia </w:t>
      </w:r>
      <w:proofErr w:type="spellStart"/>
      <w:r>
        <w:rPr>
          <w:rFonts w:ascii="Tahoma" w:hAnsi="Tahoma"/>
          <w:sz w:val="22"/>
          <w:szCs w:val="22"/>
        </w:rPr>
        <w:t>Pérez</w:t>
      </w:r>
      <w:proofErr w:type="spellEnd"/>
      <w:r>
        <w:rPr>
          <w:rFonts w:ascii="Tahoma" w:hAnsi="Tahoma"/>
          <w:sz w:val="22"/>
          <w:szCs w:val="22"/>
        </w:rPr>
        <w:t xml:space="preserve"> jaunak galdera parlamentarioa egin du (9-19/PES-00007)  Nafarroako Gobernuak bertako ekintzaileei ematen dien tratuari buruz. Hona Garapen Ekonomikorako kontseilariaren erantzuna, Politika Ekonomiko eta </w:t>
      </w:r>
      <w:proofErr w:type="spellStart"/>
      <w:r>
        <w:rPr>
          <w:rFonts w:ascii="Tahoma" w:hAnsi="Tahoma"/>
          <w:sz w:val="22"/>
          <w:szCs w:val="22"/>
        </w:rPr>
        <w:t>Enpresarialaren</w:t>
      </w:r>
      <w:proofErr w:type="spellEnd"/>
      <w:r>
        <w:rPr>
          <w:rFonts w:ascii="Tahoma" w:hAnsi="Tahoma"/>
          <w:sz w:val="22"/>
          <w:szCs w:val="22"/>
        </w:rPr>
        <w:t xml:space="preserve"> eta Lanaren Zuzendaritza Nagusiak eta Sodena nahiz CEIN sozietateek emandako informazioaren arabera prestatua:</w:t>
      </w:r>
    </w:p>
    <w:p w:rsidR="00FE15B2" w:rsidRDefault="00FC1D26" w:rsidP="009C0FAE">
      <w:pPr>
        <w:rPr>
          <w:rFonts w:ascii="Tahoma" w:hAnsi="Tahoma" w:cs="Tahoma"/>
          <w:sz w:val="22"/>
          <w:szCs w:val="22"/>
        </w:rPr>
      </w:pPr>
      <w:r>
        <w:rPr>
          <w:rFonts w:ascii="Tahoma" w:hAnsi="Tahoma"/>
          <w:sz w:val="22"/>
          <w:szCs w:val="22"/>
        </w:rPr>
        <w:t>Galdera:</w:t>
      </w:r>
    </w:p>
    <w:p w:rsidR="00FE15B2" w:rsidRDefault="007E1835" w:rsidP="007E1835">
      <w:pPr>
        <w:spacing w:line="276" w:lineRule="auto"/>
        <w:ind w:hanging="567"/>
        <w:jc w:val="left"/>
        <w:rPr>
          <w:rFonts w:ascii="Tahoma" w:hAnsi="Tahoma" w:cs="Tahoma"/>
          <w:b/>
          <w:i/>
          <w:sz w:val="22"/>
          <w:szCs w:val="22"/>
        </w:rPr>
      </w:pPr>
      <w:r>
        <w:rPr>
          <w:rFonts w:ascii="Tahoma" w:hAnsi="Tahoma"/>
          <w:b/>
          <w:i/>
          <w:sz w:val="22"/>
          <w:szCs w:val="22"/>
        </w:rPr>
        <w:tab/>
        <w:t>Egokia iruditzen al zaizu Nafarroako Gobernuak bertako ekintzaileei ematen dien tratua?</w:t>
      </w:r>
    </w:p>
    <w:p w:rsidR="00FE15B2" w:rsidRDefault="00FC1D26" w:rsidP="007E1835">
      <w:pPr>
        <w:spacing w:line="276" w:lineRule="auto"/>
        <w:rPr>
          <w:rFonts w:ascii="Tahoma" w:hAnsi="Tahoma" w:cs="Tahoma"/>
          <w:sz w:val="22"/>
          <w:szCs w:val="22"/>
        </w:rPr>
      </w:pPr>
      <w:r>
        <w:rPr>
          <w:rFonts w:ascii="Tahoma" w:hAnsi="Tahoma"/>
          <w:sz w:val="22"/>
          <w:szCs w:val="22"/>
        </w:rPr>
        <w:t xml:space="preserve">Nafarroan erabakitasunez laguntzen zaie ekintzaileei; izan ere, </w:t>
      </w:r>
      <w:proofErr w:type="spellStart"/>
      <w:r>
        <w:rPr>
          <w:rFonts w:ascii="Tahoma" w:hAnsi="Tahoma"/>
          <w:sz w:val="22"/>
          <w:szCs w:val="22"/>
        </w:rPr>
        <w:t>ekintzailetzaren</w:t>
      </w:r>
      <w:proofErr w:type="spellEnd"/>
      <w:r>
        <w:rPr>
          <w:rFonts w:ascii="Tahoma" w:hAnsi="Tahoma"/>
          <w:sz w:val="22"/>
          <w:szCs w:val="22"/>
        </w:rPr>
        <w:t xml:space="preserve"> garapenarekiko eta bultzadarekiko kezka etengabea da Nafarroako Gobernuaren politika ekonomikoan, zeinak horregatik hain zuzen ere jarri baititu berrikuntza eta </w:t>
      </w:r>
      <w:proofErr w:type="spellStart"/>
      <w:r>
        <w:rPr>
          <w:rFonts w:ascii="Tahoma" w:hAnsi="Tahoma"/>
          <w:sz w:val="22"/>
          <w:szCs w:val="22"/>
        </w:rPr>
        <w:t>ekintzailetza</w:t>
      </w:r>
      <w:proofErr w:type="spellEnd"/>
      <w:r>
        <w:rPr>
          <w:rFonts w:ascii="Tahoma" w:hAnsi="Tahoma"/>
          <w:sz w:val="22"/>
          <w:szCs w:val="22"/>
        </w:rPr>
        <w:t xml:space="preserve"> bere Espezializazio Adimendunaren Estrategiaren erdigunean, erkidegoaren oparotasunerako eta garapenerako giltzarri gisa. Horrek ez du esan nahi zer hobeturik ez dagoenik Nafarroako Gobernuak </w:t>
      </w:r>
      <w:proofErr w:type="spellStart"/>
      <w:r>
        <w:rPr>
          <w:rFonts w:ascii="Tahoma" w:hAnsi="Tahoma"/>
          <w:sz w:val="22"/>
          <w:szCs w:val="22"/>
        </w:rPr>
        <w:t>ekintzailetza</w:t>
      </w:r>
      <w:proofErr w:type="spellEnd"/>
      <w:r>
        <w:rPr>
          <w:rFonts w:ascii="Tahoma" w:hAnsi="Tahoma"/>
          <w:sz w:val="22"/>
          <w:szCs w:val="22"/>
        </w:rPr>
        <w:t xml:space="preserve"> bultzatzeko politiken eta neurrien arloan, ondotik zehazten den moduan.</w:t>
      </w:r>
    </w:p>
    <w:p w:rsidR="00FE15B2" w:rsidRDefault="007E1835" w:rsidP="007E1835">
      <w:pPr>
        <w:spacing w:line="276" w:lineRule="auto"/>
        <w:rPr>
          <w:rFonts w:ascii="Tahoma" w:hAnsi="Tahoma" w:cs="Tahoma"/>
          <w:iCs/>
          <w:sz w:val="22"/>
          <w:szCs w:val="22"/>
        </w:rPr>
      </w:pPr>
      <w:r>
        <w:rPr>
          <w:rFonts w:ascii="Tahoma" w:hAnsi="Tahoma"/>
          <w:iCs/>
          <w:sz w:val="22"/>
          <w:szCs w:val="22"/>
        </w:rPr>
        <w:t>Gure erkidegoan ekintzaileei zer tratu ematen zaien modu independentean eta objektiboan baloratzeko balio du Ekintzailetzako Jardueraren Tasak; izan ere, TEA siglekin ezagutzen den tasa horrek nazioarteko konparazioa egiteko balio du, eta ekimen ekintzaileak neurtzen ditu. Tasa horrek, bada, 2017an lortu zuen (2011tik aitzina begiratuta) bere baliorik altuena. Adierazle hori jarduera horretako datuak biltzen dituen txostenik garrantzitsuenean jasotzen da (</w:t>
      </w:r>
      <w:proofErr w:type="spellStart"/>
      <w:r>
        <w:rPr>
          <w:rFonts w:ascii="Tahoma" w:hAnsi="Tahoma"/>
          <w:iCs/>
          <w:sz w:val="22"/>
          <w:szCs w:val="22"/>
        </w:rPr>
        <w:t>GEM-</w:t>
      </w:r>
      <w:r>
        <w:rPr>
          <w:rFonts w:ascii="Tahoma" w:hAnsi="Tahoma"/>
          <w:i/>
          <w:iCs/>
          <w:sz w:val="22"/>
          <w:szCs w:val="22"/>
        </w:rPr>
        <w:t>Global</w:t>
      </w:r>
      <w:proofErr w:type="spellEnd"/>
      <w:r>
        <w:rPr>
          <w:rFonts w:ascii="Tahoma" w:hAnsi="Tahoma"/>
          <w:i/>
          <w:iCs/>
          <w:sz w:val="22"/>
          <w:szCs w:val="22"/>
        </w:rPr>
        <w:t xml:space="preserve"> </w:t>
      </w:r>
      <w:proofErr w:type="spellStart"/>
      <w:r>
        <w:rPr>
          <w:rFonts w:ascii="Tahoma" w:hAnsi="Tahoma"/>
          <w:i/>
          <w:iCs/>
          <w:sz w:val="22"/>
          <w:szCs w:val="22"/>
        </w:rPr>
        <w:t>Entrepreneurship</w:t>
      </w:r>
      <w:proofErr w:type="spellEnd"/>
      <w:r>
        <w:rPr>
          <w:rFonts w:ascii="Tahoma" w:hAnsi="Tahoma"/>
          <w:i/>
          <w:iCs/>
          <w:sz w:val="22"/>
          <w:szCs w:val="22"/>
        </w:rPr>
        <w:t xml:space="preserve"> </w:t>
      </w:r>
      <w:proofErr w:type="spellStart"/>
      <w:r>
        <w:rPr>
          <w:rFonts w:ascii="Tahoma" w:hAnsi="Tahoma"/>
          <w:i/>
          <w:iCs/>
          <w:sz w:val="22"/>
          <w:szCs w:val="22"/>
        </w:rPr>
        <w:t>Monitor</w:t>
      </w:r>
      <w:proofErr w:type="spellEnd"/>
      <w:r>
        <w:rPr>
          <w:rFonts w:ascii="Tahoma" w:hAnsi="Tahoma"/>
          <w:iCs/>
          <w:sz w:val="22"/>
          <w:szCs w:val="22"/>
        </w:rPr>
        <w:t xml:space="preserve">), eta horrek era agerian uzten du nafar ekimenen kalitatea eta biziraupena. </w:t>
      </w:r>
    </w:p>
    <w:p w:rsidR="00FE15B2" w:rsidRDefault="007E1835" w:rsidP="007E1835">
      <w:pPr>
        <w:spacing w:line="276" w:lineRule="auto"/>
        <w:rPr>
          <w:rFonts w:ascii="Tahoma" w:hAnsi="Tahoma" w:cs="Tahoma"/>
          <w:sz w:val="22"/>
          <w:szCs w:val="22"/>
        </w:rPr>
      </w:pPr>
      <w:r>
        <w:rPr>
          <w:rFonts w:ascii="Tahoma" w:hAnsi="Tahoma"/>
          <w:sz w:val="22"/>
          <w:szCs w:val="22"/>
        </w:rPr>
        <w:t xml:space="preserve">Nafarroan </w:t>
      </w:r>
      <w:proofErr w:type="spellStart"/>
      <w:r>
        <w:rPr>
          <w:rFonts w:ascii="Tahoma" w:hAnsi="Tahoma"/>
          <w:sz w:val="22"/>
          <w:szCs w:val="22"/>
        </w:rPr>
        <w:t>ekintzailetzaren</w:t>
      </w:r>
      <w:proofErr w:type="spellEnd"/>
      <w:r>
        <w:rPr>
          <w:rFonts w:ascii="Tahoma" w:hAnsi="Tahoma"/>
          <w:sz w:val="22"/>
          <w:szCs w:val="22"/>
        </w:rPr>
        <w:t xml:space="preserve"> alde egiten diren jarduketa ugarien fruitu dira emaitza horiek, </w:t>
      </w:r>
      <w:proofErr w:type="spellStart"/>
      <w:r>
        <w:rPr>
          <w:rFonts w:ascii="Tahoma" w:hAnsi="Tahoma"/>
          <w:sz w:val="22"/>
          <w:szCs w:val="22"/>
        </w:rPr>
        <w:t>ekintzaletza</w:t>
      </w:r>
      <w:proofErr w:type="spellEnd"/>
      <w:r>
        <w:rPr>
          <w:rFonts w:ascii="Tahoma" w:hAnsi="Tahoma"/>
          <w:sz w:val="22"/>
          <w:szCs w:val="22"/>
        </w:rPr>
        <w:t xml:space="preserve"> aldezteko entitate publiko eta pribatuen sare oso batek </w:t>
      </w:r>
      <w:proofErr w:type="spellStart"/>
      <w:r>
        <w:rPr>
          <w:rFonts w:ascii="Tahoma" w:hAnsi="Tahoma"/>
          <w:sz w:val="22"/>
          <w:szCs w:val="22"/>
        </w:rPr>
        <w:t>–guztira</w:t>
      </w:r>
      <w:proofErr w:type="spellEnd"/>
      <w:r>
        <w:rPr>
          <w:rFonts w:ascii="Tahoma" w:hAnsi="Tahoma"/>
          <w:sz w:val="22"/>
          <w:szCs w:val="22"/>
        </w:rPr>
        <w:t xml:space="preserve">, </w:t>
      </w:r>
      <w:proofErr w:type="spellStart"/>
      <w:r>
        <w:rPr>
          <w:rFonts w:ascii="Tahoma" w:hAnsi="Tahoma"/>
          <w:sz w:val="22"/>
          <w:szCs w:val="22"/>
        </w:rPr>
        <w:t>hamazazpi–</w:t>
      </w:r>
      <w:proofErr w:type="spellEnd"/>
      <w:r>
        <w:rPr>
          <w:rFonts w:ascii="Tahoma" w:hAnsi="Tahoma"/>
          <w:sz w:val="22"/>
          <w:szCs w:val="22"/>
        </w:rPr>
        <w:t xml:space="preserve"> egindako ahaleginaren fruitu. Indarrean dagoen 2017-2019 aldiko </w:t>
      </w:r>
      <w:proofErr w:type="spellStart"/>
      <w:r>
        <w:rPr>
          <w:rFonts w:ascii="Tahoma" w:hAnsi="Tahoma"/>
          <w:sz w:val="22"/>
          <w:szCs w:val="22"/>
        </w:rPr>
        <w:t>Ekintzailetza</w:t>
      </w:r>
      <w:proofErr w:type="spellEnd"/>
      <w:r>
        <w:rPr>
          <w:rFonts w:ascii="Tahoma" w:hAnsi="Tahoma"/>
          <w:sz w:val="22"/>
          <w:szCs w:val="22"/>
        </w:rPr>
        <w:t xml:space="preserve"> Planaren esparruan eta Nafarroako Gobernuaren gidaritzapean, </w:t>
      </w:r>
      <w:proofErr w:type="spellStart"/>
      <w:r>
        <w:rPr>
          <w:rFonts w:ascii="Tahoma" w:hAnsi="Tahoma"/>
          <w:i/>
          <w:iCs/>
          <w:sz w:val="22"/>
          <w:szCs w:val="22"/>
        </w:rPr>
        <w:t>Ekintzailetza</w:t>
      </w:r>
      <w:proofErr w:type="spellEnd"/>
      <w:r>
        <w:rPr>
          <w:rFonts w:ascii="Tahoma" w:hAnsi="Tahoma"/>
          <w:i/>
          <w:iCs/>
          <w:sz w:val="22"/>
          <w:szCs w:val="22"/>
        </w:rPr>
        <w:t xml:space="preserve"> aldezteko Nafarroako sare</w:t>
      </w:r>
      <w:r>
        <w:rPr>
          <w:rFonts w:ascii="Tahoma" w:hAnsi="Tahoma"/>
          <w:sz w:val="22"/>
          <w:szCs w:val="22"/>
        </w:rPr>
        <w:t xml:space="preserve"> honek –</w:t>
      </w:r>
      <w:r>
        <w:rPr>
          <w:rFonts w:ascii="Tahoma" w:hAnsi="Tahoma"/>
          <w:i/>
          <w:sz w:val="22"/>
          <w:szCs w:val="22"/>
        </w:rPr>
        <w:t>navarraemprende.com</w:t>
      </w:r>
      <w:r>
        <w:rPr>
          <w:rFonts w:ascii="Tahoma" w:hAnsi="Tahoma"/>
          <w:sz w:val="22"/>
          <w:szCs w:val="22"/>
        </w:rPr>
        <w:t xml:space="preserve"> atarian ikus daiteke zer entitate eta zerbitzu eskaintzen </w:t>
      </w:r>
      <w:proofErr w:type="spellStart"/>
      <w:r>
        <w:rPr>
          <w:rFonts w:ascii="Tahoma" w:hAnsi="Tahoma"/>
          <w:sz w:val="22"/>
          <w:szCs w:val="22"/>
        </w:rPr>
        <w:t>dituen–</w:t>
      </w:r>
      <w:proofErr w:type="spellEnd"/>
      <w:r>
        <w:rPr>
          <w:rFonts w:ascii="Tahoma" w:hAnsi="Tahoma"/>
          <w:sz w:val="22"/>
          <w:szCs w:val="22"/>
        </w:rPr>
        <w:t xml:space="preserve"> foru erkidegoko administrazioaren hainbat unitate, sozietate publikoak, enpresa-elkarteak, sindikatuak eta toki-ekintzako taldeak biltzen ditu.</w:t>
      </w:r>
      <w:r>
        <w:rPr>
          <w:rFonts w:ascii="Tahoma" w:hAnsi="Tahoma"/>
          <w:iCs/>
          <w:sz w:val="22"/>
          <w:szCs w:val="22"/>
        </w:rPr>
        <w:t xml:space="preserve"> </w:t>
      </w:r>
    </w:p>
    <w:p w:rsidR="00FE15B2" w:rsidRDefault="007E1835" w:rsidP="007E1835">
      <w:pPr>
        <w:spacing w:line="276" w:lineRule="auto"/>
        <w:rPr>
          <w:rFonts w:ascii="Tahoma" w:hAnsi="Tahoma" w:cs="Tahoma"/>
          <w:iCs/>
          <w:sz w:val="22"/>
          <w:szCs w:val="22"/>
        </w:rPr>
      </w:pPr>
      <w:r>
        <w:rPr>
          <w:rFonts w:ascii="Tahoma" w:hAnsi="Tahoma"/>
          <w:iCs/>
          <w:sz w:val="22"/>
          <w:szCs w:val="22"/>
        </w:rPr>
        <w:t xml:space="preserve">Sare hori erreferentzia bat da </w:t>
      </w:r>
      <w:proofErr w:type="spellStart"/>
      <w:r>
        <w:rPr>
          <w:rFonts w:ascii="Tahoma" w:hAnsi="Tahoma"/>
          <w:iCs/>
          <w:sz w:val="22"/>
          <w:szCs w:val="22"/>
        </w:rPr>
        <w:t>da</w:t>
      </w:r>
      <w:proofErr w:type="spellEnd"/>
      <w:r>
        <w:rPr>
          <w:rFonts w:ascii="Tahoma" w:hAnsi="Tahoma"/>
          <w:iCs/>
          <w:sz w:val="22"/>
          <w:szCs w:val="22"/>
        </w:rPr>
        <w:t xml:space="preserve">, hain zuzen ere, enpresa-proiektu bat abian jarri nahi duten pertsonei ahal den modurik egokienean eta pertsonalizatuenean informazioa, aholkua eta jarraibideak emateko. Nafarroan ekimen bat abiarazi nahi duen pertsonak sare horretako entitate batera edo batzuetara jotzea da ohikoena, hartara gure erkidegoko </w:t>
      </w:r>
      <w:proofErr w:type="spellStart"/>
      <w:r>
        <w:rPr>
          <w:rFonts w:ascii="Tahoma" w:hAnsi="Tahoma"/>
          <w:iCs/>
          <w:sz w:val="22"/>
          <w:szCs w:val="22"/>
        </w:rPr>
        <w:t>ekintzailetza-sarean</w:t>
      </w:r>
      <w:proofErr w:type="spellEnd"/>
      <w:r>
        <w:rPr>
          <w:rFonts w:ascii="Tahoma" w:hAnsi="Tahoma"/>
          <w:iCs/>
          <w:sz w:val="22"/>
          <w:szCs w:val="22"/>
        </w:rPr>
        <w:t xml:space="preserve"> sartuko baita. </w:t>
      </w:r>
    </w:p>
    <w:p w:rsidR="00FE15B2" w:rsidRDefault="007E1835" w:rsidP="007E1835">
      <w:pPr>
        <w:spacing w:line="276" w:lineRule="auto"/>
        <w:rPr>
          <w:rFonts w:ascii="Tahoma" w:hAnsi="Tahoma" w:cs="Tahoma"/>
          <w:iCs/>
          <w:sz w:val="22"/>
          <w:szCs w:val="22"/>
        </w:rPr>
      </w:pPr>
      <w:r>
        <w:rPr>
          <w:rFonts w:ascii="Tahoma" w:hAnsi="Tahoma"/>
          <w:iCs/>
          <w:sz w:val="22"/>
          <w:szCs w:val="22"/>
        </w:rPr>
        <w:t xml:space="preserve">Nafarroako Gobernuaren eta haren mendeko sozietate publikoen kasuan, </w:t>
      </w:r>
      <w:proofErr w:type="spellStart"/>
      <w:r>
        <w:rPr>
          <w:rFonts w:ascii="Tahoma" w:hAnsi="Tahoma"/>
          <w:iCs/>
          <w:sz w:val="22"/>
          <w:szCs w:val="22"/>
        </w:rPr>
        <w:t>CEIN-Nafarroako</w:t>
      </w:r>
      <w:proofErr w:type="spellEnd"/>
      <w:r>
        <w:rPr>
          <w:rFonts w:ascii="Tahoma" w:hAnsi="Tahoma"/>
          <w:iCs/>
          <w:sz w:val="22"/>
          <w:szCs w:val="22"/>
        </w:rPr>
        <w:t xml:space="preserve"> Enpresa eta Berrikuntzarako Europako Zentroaren, </w:t>
      </w:r>
      <w:proofErr w:type="spellStart"/>
      <w:r>
        <w:rPr>
          <w:rFonts w:ascii="Tahoma" w:hAnsi="Tahoma"/>
          <w:iCs/>
          <w:sz w:val="22"/>
          <w:szCs w:val="22"/>
        </w:rPr>
        <w:t>SODENAren</w:t>
      </w:r>
      <w:proofErr w:type="spellEnd"/>
      <w:r>
        <w:rPr>
          <w:rFonts w:ascii="Tahoma" w:hAnsi="Tahoma"/>
          <w:iCs/>
          <w:sz w:val="22"/>
          <w:szCs w:val="22"/>
        </w:rPr>
        <w:t xml:space="preserve"> bidez nahiz enpresei eta ekintzaileei arreta emateko Nafarroako Gobernuak dauzkan puntuetako baten bidez </w:t>
      </w:r>
      <w:proofErr w:type="spellStart"/>
      <w:r>
        <w:rPr>
          <w:rFonts w:ascii="Tahoma" w:hAnsi="Tahoma"/>
          <w:iCs/>
          <w:sz w:val="22"/>
          <w:szCs w:val="22"/>
        </w:rPr>
        <w:t>–esate</w:t>
      </w:r>
      <w:proofErr w:type="spellEnd"/>
      <w:r>
        <w:rPr>
          <w:rFonts w:ascii="Tahoma" w:hAnsi="Tahoma"/>
          <w:iCs/>
          <w:sz w:val="22"/>
          <w:szCs w:val="22"/>
        </w:rPr>
        <w:t xml:space="preserve"> baterako, Politika Ekonomiko eta </w:t>
      </w:r>
      <w:proofErr w:type="spellStart"/>
      <w:r>
        <w:rPr>
          <w:rFonts w:ascii="Tahoma" w:hAnsi="Tahoma"/>
          <w:iCs/>
          <w:sz w:val="22"/>
          <w:szCs w:val="22"/>
        </w:rPr>
        <w:t>Enpresarialaren</w:t>
      </w:r>
      <w:proofErr w:type="spellEnd"/>
      <w:r>
        <w:rPr>
          <w:rFonts w:ascii="Tahoma" w:hAnsi="Tahoma"/>
          <w:iCs/>
          <w:sz w:val="22"/>
          <w:szCs w:val="22"/>
        </w:rPr>
        <w:t xml:space="preserve"> eta Lanaren Zuzendaritza Nagusikoaren edo Nafarroako Enplegu Zerbitzuko </w:t>
      </w:r>
      <w:proofErr w:type="spellStart"/>
      <w:r>
        <w:rPr>
          <w:rFonts w:ascii="Tahoma" w:hAnsi="Tahoma"/>
          <w:iCs/>
          <w:sz w:val="22"/>
          <w:szCs w:val="22"/>
        </w:rPr>
        <w:t>Iturrondo</w:t>
      </w:r>
      <w:proofErr w:type="spellEnd"/>
      <w:r>
        <w:rPr>
          <w:rFonts w:ascii="Tahoma" w:hAnsi="Tahoma"/>
          <w:iCs/>
          <w:sz w:val="22"/>
          <w:szCs w:val="22"/>
        </w:rPr>
        <w:t xml:space="preserve"> Zentrokoaren </w:t>
      </w:r>
      <w:proofErr w:type="spellStart"/>
      <w:r>
        <w:rPr>
          <w:rFonts w:ascii="Tahoma" w:hAnsi="Tahoma"/>
          <w:iCs/>
          <w:sz w:val="22"/>
          <w:szCs w:val="22"/>
        </w:rPr>
        <w:t>bidez–</w:t>
      </w:r>
      <w:proofErr w:type="spellEnd"/>
      <w:r>
        <w:rPr>
          <w:rFonts w:ascii="Tahoma" w:hAnsi="Tahoma"/>
          <w:iCs/>
          <w:sz w:val="22"/>
          <w:szCs w:val="22"/>
        </w:rPr>
        <w:t xml:space="preserve"> egin daiteke zuzenean. </w:t>
      </w:r>
    </w:p>
    <w:p w:rsidR="00FE15B2" w:rsidRDefault="007E1835" w:rsidP="007E1835">
      <w:pPr>
        <w:spacing w:line="276" w:lineRule="auto"/>
        <w:rPr>
          <w:rFonts w:ascii="Tahoma" w:hAnsi="Tahoma" w:cs="Tahoma"/>
          <w:iCs/>
          <w:sz w:val="22"/>
          <w:szCs w:val="22"/>
        </w:rPr>
      </w:pPr>
      <w:r>
        <w:rPr>
          <w:rFonts w:ascii="Tahoma" w:hAnsi="Tahoma"/>
          <w:iCs/>
          <w:sz w:val="22"/>
          <w:szCs w:val="22"/>
        </w:rPr>
        <w:t xml:space="preserve">Ekimen ekintzaileko pertsona </w:t>
      </w:r>
      <w:proofErr w:type="spellStart"/>
      <w:r>
        <w:rPr>
          <w:rFonts w:ascii="Tahoma" w:hAnsi="Tahoma"/>
          <w:iCs/>
          <w:sz w:val="22"/>
          <w:szCs w:val="22"/>
        </w:rPr>
        <w:t>pertsona</w:t>
      </w:r>
      <w:proofErr w:type="spellEnd"/>
      <w:r>
        <w:rPr>
          <w:rFonts w:ascii="Tahoma" w:hAnsi="Tahoma"/>
          <w:iCs/>
          <w:sz w:val="22"/>
          <w:szCs w:val="22"/>
        </w:rPr>
        <w:t xml:space="preserve"> gehienek </w:t>
      </w:r>
      <w:proofErr w:type="spellStart"/>
      <w:r>
        <w:rPr>
          <w:rFonts w:ascii="Tahoma" w:hAnsi="Tahoma"/>
          <w:iCs/>
          <w:sz w:val="22"/>
          <w:szCs w:val="22"/>
        </w:rPr>
        <w:t>CEINera</w:t>
      </w:r>
      <w:proofErr w:type="spellEnd"/>
      <w:r>
        <w:rPr>
          <w:rFonts w:ascii="Tahoma" w:hAnsi="Tahoma"/>
          <w:iCs/>
          <w:sz w:val="22"/>
          <w:szCs w:val="22"/>
        </w:rPr>
        <w:t xml:space="preserve"> jo ohi dute hasiera batean, espiritu ekintzailea bultzatzen duen eta enpresa berrien sorrera babesten duen Nafarroako Gobernuaren “besoa” delakoan.</w:t>
      </w:r>
    </w:p>
    <w:p w:rsidR="00FE15B2" w:rsidRDefault="007E1835" w:rsidP="007E1835">
      <w:pPr>
        <w:rPr>
          <w:rFonts w:ascii="Tahoma" w:hAnsi="Tahoma" w:cs="Tahoma"/>
          <w:sz w:val="22"/>
          <w:szCs w:val="22"/>
        </w:rPr>
      </w:pPr>
      <w:proofErr w:type="spellStart"/>
      <w:r>
        <w:rPr>
          <w:rFonts w:ascii="Tahoma" w:hAnsi="Tahoma"/>
          <w:sz w:val="22"/>
          <w:szCs w:val="22"/>
        </w:rPr>
        <w:lastRenderedPageBreak/>
        <w:t>CEINek</w:t>
      </w:r>
      <w:proofErr w:type="spellEnd"/>
      <w:r>
        <w:rPr>
          <w:rFonts w:ascii="Tahoma" w:hAnsi="Tahoma"/>
          <w:sz w:val="22"/>
          <w:szCs w:val="22"/>
        </w:rPr>
        <w:t xml:space="preserve"> eskaintzen dituen zerbitzuak ez zaizkie soilik zuzentzen enpresa bat abian jarri nahi duten pertsona ekintzaileei, pertsona potentzialki ekintzaileentzako edo </w:t>
      </w:r>
      <w:proofErr w:type="spellStart"/>
      <w:r>
        <w:rPr>
          <w:rFonts w:ascii="Tahoma" w:hAnsi="Tahoma"/>
          <w:sz w:val="22"/>
          <w:szCs w:val="22"/>
        </w:rPr>
        <w:t>autoenpleguarekiko</w:t>
      </w:r>
      <w:proofErr w:type="spellEnd"/>
      <w:r>
        <w:rPr>
          <w:rFonts w:ascii="Tahoma" w:hAnsi="Tahoma"/>
          <w:sz w:val="22"/>
          <w:szCs w:val="22"/>
        </w:rPr>
        <w:t xml:space="preserve"> kezka dutenentzako eta </w:t>
      </w:r>
      <w:proofErr w:type="spellStart"/>
      <w:r>
        <w:rPr>
          <w:rFonts w:ascii="Tahoma" w:hAnsi="Tahoma"/>
          <w:i/>
          <w:iCs/>
          <w:sz w:val="22"/>
          <w:szCs w:val="22"/>
        </w:rPr>
        <w:t>start</w:t>
      </w:r>
      <w:proofErr w:type="spellEnd"/>
      <w:r>
        <w:rPr>
          <w:rFonts w:ascii="Tahoma" w:hAnsi="Tahoma"/>
          <w:i/>
          <w:iCs/>
          <w:sz w:val="22"/>
          <w:szCs w:val="22"/>
        </w:rPr>
        <w:t xml:space="preserve"> </w:t>
      </w:r>
      <w:proofErr w:type="spellStart"/>
      <w:r>
        <w:rPr>
          <w:rFonts w:ascii="Tahoma" w:hAnsi="Tahoma"/>
          <w:i/>
          <w:iCs/>
          <w:sz w:val="22"/>
          <w:szCs w:val="22"/>
        </w:rPr>
        <w:t>ups</w:t>
      </w:r>
      <w:proofErr w:type="spellEnd"/>
      <w:r>
        <w:rPr>
          <w:rFonts w:ascii="Tahoma" w:hAnsi="Tahoma"/>
          <w:sz w:val="22"/>
          <w:szCs w:val="22"/>
        </w:rPr>
        <w:t xml:space="preserve"> berritzaileentzako ere badelako. </w:t>
      </w:r>
    </w:p>
    <w:p w:rsidR="00FE15B2" w:rsidRDefault="007E1835" w:rsidP="007E1835">
      <w:pPr>
        <w:rPr>
          <w:rFonts w:ascii="Tahoma" w:hAnsi="Tahoma" w:cs="Tahoma"/>
          <w:sz w:val="22"/>
          <w:szCs w:val="22"/>
        </w:rPr>
      </w:pPr>
      <w:proofErr w:type="spellStart"/>
      <w:r>
        <w:rPr>
          <w:rFonts w:ascii="Tahoma" w:hAnsi="Tahoma"/>
          <w:sz w:val="22"/>
          <w:szCs w:val="22"/>
        </w:rPr>
        <w:t>CEINera</w:t>
      </w:r>
      <w:proofErr w:type="spellEnd"/>
      <w:r>
        <w:rPr>
          <w:rFonts w:ascii="Tahoma" w:hAnsi="Tahoma"/>
          <w:sz w:val="22"/>
          <w:szCs w:val="22"/>
        </w:rPr>
        <w:t xml:space="preserve"> askok jo dute eta proiektu ugari sortu ditu. Hona hiru jarduketa-izenpe nagusietan 2018an lortutako emaitzak: </w:t>
      </w:r>
    </w:p>
    <w:p w:rsidR="007E1835" w:rsidRPr="007E1835" w:rsidRDefault="007E1835" w:rsidP="007E1835">
      <w:pPr>
        <w:rPr>
          <w:rFonts w:ascii="Tahoma" w:hAnsi="Tahoma" w:cs="Tahoma"/>
          <w:sz w:val="22"/>
          <w:szCs w:val="22"/>
        </w:rPr>
      </w:pPr>
      <w:r>
        <w:rPr>
          <w:rFonts w:ascii="Tahoma" w:hAnsi="Tahoma"/>
          <w:sz w:val="22"/>
          <w:szCs w:val="22"/>
        </w:rPr>
        <w:t>1.</w:t>
      </w:r>
      <w:r>
        <w:rPr>
          <w:rFonts w:ascii="Tahoma" w:hAnsi="Tahoma"/>
          <w:sz w:val="22"/>
          <w:szCs w:val="22"/>
        </w:rPr>
        <w:tab/>
      </w:r>
      <w:proofErr w:type="spellStart"/>
      <w:r>
        <w:rPr>
          <w:rFonts w:ascii="Tahoma" w:hAnsi="Tahoma"/>
          <w:sz w:val="22"/>
          <w:szCs w:val="22"/>
        </w:rPr>
        <w:t>EKINTZAILETZA-AURREKO</w:t>
      </w:r>
      <w:proofErr w:type="spellEnd"/>
      <w:r>
        <w:rPr>
          <w:rFonts w:ascii="Tahoma" w:hAnsi="Tahoma"/>
          <w:sz w:val="22"/>
          <w:szCs w:val="22"/>
        </w:rPr>
        <w:t xml:space="preserve"> FASEA unibertsitateetan, lehiaketetan, </w:t>
      </w:r>
      <w:proofErr w:type="spellStart"/>
      <w:r>
        <w:rPr>
          <w:rFonts w:ascii="Tahoma" w:hAnsi="Tahoma"/>
          <w:sz w:val="22"/>
          <w:szCs w:val="22"/>
        </w:rPr>
        <w:t>Medtech</w:t>
      </w:r>
      <w:proofErr w:type="spellEnd"/>
      <w:r>
        <w:rPr>
          <w:rFonts w:ascii="Tahoma" w:hAnsi="Tahoma"/>
          <w:sz w:val="22"/>
          <w:szCs w:val="22"/>
        </w:rPr>
        <w:t xml:space="preserve"> bezalako programa sektorialetan, eta abar.</w:t>
      </w:r>
    </w:p>
    <w:p w:rsidR="007E1835" w:rsidRPr="007E1835" w:rsidRDefault="007E1835" w:rsidP="007E1835">
      <w:pPr>
        <w:ind w:left="708"/>
        <w:rPr>
          <w:rFonts w:ascii="Tahoma" w:hAnsi="Tahoma" w:cs="Tahoma"/>
          <w:sz w:val="22"/>
          <w:szCs w:val="22"/>
        </w:rPr>
      </w:pPr>
      <w:r>
        <w:rPr>
          <w:rFonts w:ascii="Tahoma" w:hAnsi="Tahoma"/>
          <w:sz w:val="22"/>
          <w:szCs w:val="22"/>
        </w:rPr>
        <w:t>Sortutako proiektuak: 180 proiektu</w:t>
      </w:r>
    </w:p>
    <w:p w:rsidR="00FE15B2" w:rsidRDefault="007E1835" w:rsidP="007E1835">
      <w:pPr>
        <w:ind w:left="708"/>
        <w:rPr>
          <w:rFonts w:ascii="Tahoma" w:hAnsi="Tahoma" w:cs="Tahoma"/>
          <w:sz w:val="22"/>
          <w:szCs w:val="22"/>
        </w:rPr>
      </w:pPr>
      <w:r>
        <w:rPr>
          <w:rFonts w:ascii="Tahoma" w:hAnsi="Tahoma"/>
          <w:sz w:val="22"/>
          <w:szCs w:val="22"/>
        </w:rPr>
        <w:t>Horietan aritutako pertsona ekintzaileak: 2.882 pertsona</w:t>
      </w:r>
    </w:p>
    <w:p w:rsidR="007E1835" w:rsidRPr="007E1835" w:rsidRDefault="007E1835" w:rsidP="007E1835">
      <w:pPr>
        <w:rPr>
          <w:rFonts w:ascii="Tahoma" w:hAnsi="Tahoma" w:cs="Tahoma"/>
          <w:sz w:val="22"/>
          <w:szCs w:val="22"/>
        </w:rPr>
      </w:pPr>
      <w:r>
        <w:rPr>
          <w:rFonts w:ascii="Tahoma" w:hAnsi="Tahoma"/>
          <w:sz w:val="22"/>
          <w:szCs w:val="22"/>
        </w:rPr>
        <w:t>2.</w:t>
      </w:r>
      <w:r>
        <w:rPr>
          <w:rFonts w:ascii="Tahoma" w:hAnsi="Tahoma"/>
          <w:sz w:val="22"/>
          <w:szCs w:val="22"/>
        </w:rPr>
        <w:tab/>
        <w:t>ENPRESEN SORRERAKO FASEA:</w:t>
      </w:r>
    </w:p>
    <w:p w:rsidR="007E1835" w:rsidRPr="007E1835" w:rsidRDefault="007E1835" w:rsidP="007E1835">
      <w:pPr>
        <w:ind w:left="708"/>
        <w:rPr>
          <w:rFonts w:ascii="Tahoma" w:hAnsi="Tahoma" w:cs="Tahoma"/>
          <w:sz w:val="22"/>
          <w:szCs w:val="22"/>
        </w:rPr>
      </w:pPr>
      <w:r>
        <w:rPr>
          <w:rFonts w:ascii="Tahoma" w:hAnsi="Tahoma"/>
          <w:sz w:val="22"/>
          <w:szCs w:val="22"/>
        </w:rPr>
        <w:t>Artatutako proiektuak: 573 proiektu</w:t>
      </w:r>
    </w:p>
    <w:p w:rsidR="00FE15B2" w:rsidRDefault="007E1835" w:rsidP="007E1835">
      <w:pPr>
        <w:ind w:left="708"/>
        <w:rPr>
          <w:rFonts w:ascii="Tahoma" w:hAnsi="Tahoma" w:cs="Tahoma"/>
          <w:sz w:val="22"/>
          <w:szCs w:val="22"/>
        </w:rPr>
      </w:pPr>
      <w:r>
        <w:rPr>
          <w:rFonts w:ascii="Tahoma" w:hAnsi="Tahoma"/>
          <w:sz w:val="22"/>
          <w:szCs w:val="22"/>
        </w:rPr>
        <w:t>Sortutako enpresak: 136 enpresa</w:t>
      </w:r>
    </w:p>
    <w:p w:rsidR="007E1835" w:rsidRPr="007E1835" w:rsidRDefault="007E1835" w:rsidP="007E1835">
      <w:pPr>
        <w:rPr>
          <w:rFonts w:ascii="Tahoma" w:hAnsi="Tahoma" w:cs="Tahoma"/>
          <w:sz w:val="22"/>
          <w:szCs w:val="22"/>
        </w:rPr>
      </w:pPr>
      <w:r>
        <w:rPr>
          <w:rFonts w:ascii="Tahoma" w:hAnsi="Tahoma"/>
          <w:sz w:val="22"/>
          <w:szCs w:val="22"/>
        </w:rPr>
        <w:t>3.</w:t>
      </w:r>
      <w:r>
        <w:rPr>
          <w:rFonts w:ascii="Tahoma" w:hAnsi="Tahoma"/>
          <w:sz w:val="22"/>
          <w:szCs w:val="22"/>
        </w:rPr>
        <w:tab/>
        <w:t>HAZKUNDE ETA SENDOTZE FASEA:</w:t>
      </w:r>
    </w:p>
    <w:p w:rsidR="007E1835" w:rsidRPr="007E1835" w:rsidRDefault="007E1835" w:rsidP="007E1835">
      <w:pPr>
        <w:ind w:firstLine="708"/>
        <w:rPr>
          <w:rFonts w:ascii="Tahoma" w:hAnsi="Tahoma" w:cs="Tahoma"/>
          <w:sz w:val="22"/>
          <w:szCs w:val="22"/>
        </w:rPr>
      </w:pPr>
      <w:r>
        <w:rPr>
          <w:rFonts w:ascii="Tahoma" w:hAnsi="Tahoma"/>
          <w:sz w:val="22"/>
          <w:szCs w:val="22"/>
        </w:rPr>
        <w:t xml:space="preserve">Berrikuntza-haztegietako enpresa kopurua: 40 enpresa instalatu dira. </w:t>
      </w:r>
      <w:r>
        <w:rPr>
          <w:rFonts w:ascii="Tahoma" w:hAnsi="Tahoma"/>
          <w:sz w:val="22"/>
          <w:szCs w:val="22"/>
        </w:rPr>
        <w:tab/>
        <w:t>15 enpresa berri 2018an.</w:t>
      </w:r>
    </w:p>
    <w:p w:rsidR="007E1835" w:rsidRPr="007E1835" w:rsidRDefault="007E1835" w:rsidP="007E1835">
      <w:pPr>
        <w:ind w:firstLine="708"/>
        <w:rPr>
          <w:rFonts w:ascii="Tahoma" w:hAnsi="Tahoma" w:cs="Tahoma"/>
          <w:sz w:val="22"/>
          <w:szCs w:val="22"/>
        </w:rPr>
      </w:pPr>
      <w:r>
        <w:rPr>
          <w:rFonts w:ascii="Tahoma" w:hAnsi="Tahoma"/>
          <w:sz w:val="22"/>
          <w:szCs w:val="22"/>
        </w:rPr>
        <w:t>Biziraupena: % 78koa enpresa sortu eta 3 urtera.</w:t>
      </w:r>
    </w:p>
    <w:p w:rsidR="00FE15B2" w:rsidRDefault="007E1835" w:rsidP="007E1835">
      <w:pPr>
        <w:ind w:firstLine="708"/>
        <w:rPr>
          <w:rFonts w:ascii="Tahoma" w:hAnsi="Tahoma" w:cs="Tahoma"/>
          <w:sz w:val="22"/>
          <w:szCs w:val="22"/>
        </w:rPr>
      </w:pPr>
      <w:r>
        <w:rPr>
          <w:rFonts w:ascii="Tahoma" w:hAnsi="Tahoma"/>
          <w:sz w:val="22"/>
          <w:szCs w:val="22"/>
        </w:rPr>
        <w:t>Enpleguaren sorrera: % 35eko hazkuntza urtean.</w:t>
      </w:r>
    </w:p>
    <w:p w:rsidR="00FE15B2" w:rsidRDefault="007E1835" w:rsidP="007E1835">
      <w:pPr>
        <w:rPr>
          <w:rFonts w:ascii="Tahoma" w:hAnsi="Tahoma" w:cs="Tahoma"/>
          <w:sz w:val="22"/>
          <w:szCs w:val="22"/>
        </w:rPr>
      </w:pPr>
      <w:r>
        <w:rPr>
          <w:rFonts w:ascii="Tahoma" w:hAnsi="Tahoma"/>
          <w:sz w:val="22"/>
          <w:szCs w:val="22"/>
        </w:rPr>
        <w:t xml:space="preserve">Egindako lan </w:t>
      </w:r>
      <w:proofErr w:type="spellStart"/>
      <w:r>
        <w:rPr>
          <w:rFonts w:ascii="Tahoma" w:hAnsi="Tahoma"/>
          <w:sz w:val="22"/>
          <w:szCs w:val="22"/>
        </w:rPr>
        <w:t>onare</w:t>
      </w:r>
      <w:proofErr w:type="spellEnd"/>
      <w:r>
        <w:rPr>
          <w:rFonts w:ascii="Tahoma" w:hAnsi="Tahoma"/>
          <w:sz w:val="22"/>
          <w:szCs w:val="22"/>
        </w:rPr>
        <w:t xml:space="preserve"> froga dira egindako lana dela-eta jasotako aipamen independenteak:</w:t>
      </w:r>
    </w:p>
    <w:p w:rsidR="00FE15B2" w:rsidRDefault="007E1835" w:rsidP="007E1835">
      <w:pPr>
        <w:pStyle w:val="Prrafodelista"/>
        <w:numPr>
          <w:ilvl w:val="0"/>
          <w:numId w:val="13"/>
        </w:numPr>
        <w:spacing w:after="0"/>
        <w:jc w:val="both"/>
        <w:rPr>
          <w:rFonts w:ascii="Tahoma" w:hAnsi="Tahoma" w:cs="Tahoma"/>
        </w:rPr>
      </w:pPr>
      <w:r>
        <w:rPr>
          <w:rFonts w:ascii="Tahoma" w:hAnsi="Tahoma"/>
          <w:b/>
          <w:bCs/>
        </w:rPr>
        <w:t>Entitate Nabarmenaren Saria</w:t>
      </w:r>
      <w:r>
        <w:rPr>
          <w:rFonts w:ascii="Tahoma" w:hAnsi="Tahoma"/>
        </w:rPr>
        <w:t xml:space="preserve">, Nafarroako Unibertsitate Publikoak emana, </w:t>
      </w:r>
      <w:proofErr w:type="spellStart"/>
      <w:r>
        <w:rPr>
          <w:rFonts w:ascii="Tahoma" w:hAnsi="Tahoma"/>
        </w:rPr>
        <w:t>ekintzailetzaren</w:t>
      </w:r>
      <w:proofErr w:type="spellEnd"/>
      <w:r>
        <w:rPr>
          <w:rFonts w:ascii="Tahoma" w:hAnsi="Tahoma"/>
        </w:rPr>
        <w:t xml:space="preserve"> arloan unibertsitatean azken hogei urteotan egindako lanagatik, beti emaitza on-onak lortuta. </w:t>
      </w:r>
      <w:proofErr w:type="spellStart"/>
      <w:r>
        <w:rPr>
          <w:rFonts w:ascii="Tahoma" w:hAnsi="Tahoma"/>
        </w:rPr>
        <w:t>CEINek</w:t>
      </w:r>
      <w:proofErr w:type="spellEnd"/>
      <w:r>
        <w:rPr>
          <w:rFonts w:ascii="Tahoma" w:hAnsi="Tahoma"/>
        </w:rPr>
        <w:t xml:space="preserve"> batez beste 3.000 unibertsitariorekin, 75 ikertzailerekin eta 50 irakasle baino gehiagorekin egiten du lan urtero. Lan on horren emaitza da unibertsitatetik heldu diren pertsonak edo unibertsitateak eskaintzen dituen zerbitzuetatik igaro diren pertsonak egotea Ekintzaile-bultzada bezalako programa gehienen edo </w:t>
      </w:r>
      <w:proofErr w:type="spellStart"/>
      <w:r>
        <w:rPr>
          <w:rFonts w:ascii="Tahoma" w:hAnsi="Tahoma"/>
        </w:rPr>
        <w:t>CEINen</w:t>
      </w:r>
      <w:proofErr w:type="spellEnd"/>
      <w:r>
        <w:rPr>
          <w:rFonts w:ascii="Tahoma" w:hAnsi="Tahoma"/>
        </w:rPr>
        <w:t xml:space="preserve"> berrikuntza-haztegietako enpresen buru. NUPen eskaintzen den zerbitzua da, </w:t>
      </w:r>
      <w:proofErr w:type="spellStart"/>
      <w:r>
        <w:rPr>
          <w:rFonts w:ascii="Tahoma" w:hAnsi="Tahoma"/>
        </w:rPr>
        <w:t>CEINen</w:t>
      </w:r>
      <w:proofErr w:type="spellEnd"/>
      <w:r>
        <w:rPr>
          <w:rFonts w:ascii="Tahoma" w:hAnsi="Tahoma"/>
        </w:rPr>
        <w:t xml:space="preserve"> berrikuntza-haztegiekin batera, aspaldikoena, eta hori soilik justifikatzen da unibertsitatetik heldu diren pertsona berritzaileenei eta teknologikoenei eskainitako tratu eta zerbitzu onari esker.</w:t>
      </w:r>
    </w:p>
    <w:p w:rsidR="00FE15B2" w:rsidRDefault="007E1835" w:rsidP="007E1835">
      <w:pPr>
        <w:pStyle w:val="Prrafodelista"/>
        <w:jc w:val="both"/>
        <w:rPr>
          <w:rFonts w:ascii="Tahoma" w:hAnsi="Tahoma" w:cs="Tahoma"/>
        </w:rPr>
      </w:pPr>
      <w:r>
        <w:rPr>
          <w:rFonts w:ascii="Tahoma" w:hAnsi="Tahoma"/>
        </w:rPr>
        <w:t xml:space="preserve">Unibertsitateko errektoreak saria emateko ekitaldian nabarmendu zuen 1996an sinatu zela entitate nabarmen gisa aintzatetsi den </w:t>
      </w:r>
      <w:proofErr w:type="spellStart"/>
      <w:r>
        <w:rPr>
          <w:rFonts w:ascii="Tahoma" w:hAnsi="Tahoma"/>
        </w:rPr>
        <w:t>CEINekiko</w:t>
      </w:r>
      <w:proofErr w:type="spellEnd"/>
      <w:r>
        <w:rPr>
          <w:rFonts w:ascii="Tahoma" w:hAnsi="Tahoma"/>
        </w:rPr>
        <w:t xml:space="preserve"> lehen hitzarmena, eta “s</w:t>
      </w:r>
      <w:r>
        <w:rPr>
          <w:rFonts w:ascii="Tahoma" w:hAnsi="Tahoma"/>
          <w:b/>
          <w:bCs/>
        </w:rPr>
        <w:t>inadura haren ondorioz sortu zen lankidetzak, trinkoa eta etengabea denbora honetan guztian zehar, ikerkuntzaren eta berrikuntzaren emaitzetan oinarritutako enpresen sorkuntzako erreferente bihurtu duela NUP</w:t>
      </w:r>
      <w:r>
        <w:rPr>
          <w:rFonts w:ascii="Tahoma" w:hAnsi="Tahoma"/>
        </w:rPr>
        <w:t>”.</w:t>
      </w:r>
    </w:p>
    <w:p w:rsidR="00FE15B2" w:rsidRDefault="007E1835" w:rsidP="007E1835">
      <w:pPr>
        <w:pStyle w:val="Prrafodelista"/>
        <w:numPr>
          <w:ilvl w:val="0"/>
          <w:numId w:val="13"/>
        </w:numPr>
        <w:spacing w:after="0"/>
        <w:jc w:val="both"/>
        <w:rPr>
          <w:rFonts w:ascii="Tahoma" w:hAnsi="Tahoma" w:cs="Tahoma"/>
        </w:rPr>
      </w:pPr>
      <w:r>
        <w:rPr>
          <w:rFonts w:ascii="Tahoma" w:hAnsi="Tahoma"/>
          <w:b/>
          <w:bCs/>
        </w:rPr>
        <w:t>Ekintzaile-bultzada programak</w:t>
      </w:r>
      <w:r>
        <w:rPr>
          <w:rFonts w:ascii="Tahoma" w:hAnsi="Tahoma"/>
        </w:rPr>
        <w:t xml:space="preserve"> zortzigarren tokia betetzen du Estatuko 73 </w:t>
      </w:r>
      <w:proofErr w:type="spellStart"/>
      <w:r>
        <w:rPr>
          <w:rFonts w:ascii="Tahoma" w:hAnsi="Tahoma"/>
        </w:rPr>
        <w:t>azeleratzaileren</w:t>
      </w:r>
      <w:proofErr w:type="spellEnd"/>
      <w:r>
        <w:rPr>
          <w:rFonts w:ascii="Tahoma" w:hAnsi="Tahoma"/>
        </w:rPr>
        <w:t xml:space="preserve"> artean, </w:t>
      </w:r>
      <w:proofErr w:type="spellStart"/>
      <w:r>
        <w:rPr>
          <w:rFonts w:ascii="Tahoma" w:hAnsi="Tahoma"/>
        </w:rPr>
        <w:t>Funcas-Aurrezki</w:t>
      </w:r>
      <w:proofErr w:type="spellEnd"/>
      <w:r>
        <w:rPr>
          <w:rFonts w:ascii="Tahoma" w:hAnsi="Tahoma"/>
        </w:rPr>
        <w:t xml:space="preserve"> Kutxen Fundazioak eta Rey Juan Carlos Unibertsitateak taxututako “</w:t>
      </w:r>
      <w:proofErr w:type="spellStart"/>
      <w:r>
        <w:rPr>
          <w:rFonts w:ascii="Tahoma" w:hAnsi="Tahoma"/>
        </w:rPr>
        <w:t>Los</w:t>
      </w:r>
      <w:proofErr w:type="spellEnd"/>
      <w:r>
        <w:rPr>
          <w:rFonts w:ascii="Tahoma" w:hAnsi="Tahoma"/>
        </w:rPr>
        <w:t xml:space="preserve"> </w:t>
      </w:r>
      <w:proofErr w:type="spellStart"/>
      <w:r>
        <w:rPr>
          <w:rFonts w:ascii="Tahoma" w:hAnsi="Tahoma"/>
        </w:rPr>
        <w:t>servicios</w:t>
      </w:r>
      <w:proofErr w:type="spellEnd"/>
      <w:r>
        <w:rPr>
          <w:rFonts w:ascii="Tahoma" w:hAnsi="Tahoma"/>
        </w:rPr>
        <w:t xml:space="preserve"> </w:t>
      </w:r>
      <w:proofErr w:type="spellStart"/>
      <w:r>
        <w:rPr>
          <w:rFonts w:ascii="Tahoma" w:hAnsi="Tahoma"/>
        </w:rPr>
        <w:t>que</w:t>
      </w:r>
      <w:proofErr w:type="spellEnd"/>
      <w:r>
        <w:rPr>
          <w:rFonts w:ascii="Tahoma" w:hAnsi="Tahoma"/>
        </w:rPr>
        <w:t xml:space="preserve"> </w:t>
      </w:r>
      <w:proofErr w:type="spellStart"/>
      <w:r>
        <w:rPr>
          <w:rFonts w:ascii="Tahoma" w:hAnsi="Tahoma"/>
        </w:rPr>
        <w:t>prestan</w:t>
      </w:r>
      <w:proofErr w:type="spellEnd"/>
      <w:r>
        <w:rPr>
          <w:rFonts w:ascii="Tahoma" w:hAnsi="Tahoma"/>
        </w:rPr>
        <w:t xml:space="preserve"> </w:t>
      </w:r>
      <w:proofErr w:type="spellStart"/>
      <w:r>
        <w:rPr>
          <w:rFonts w:ascii="Tahoma" w:hAnsi="Tahoma"/>
        </w:rPr>
        <w:t>los</w:t>
      </w:r>
      <w:proofErr w:type="spellEnd"/>
      <w:r>
        <w:rPr>
          <w:rFonts w:ascii="Tahoma" w:hAnsi="Tahoma"/>
        </w:rPr>
        <w:t xml:space="preserve"> </w:t>
      </w:r>
      <w:proofErr w:type="spellStart"/>
      <w:r>
        <w:rPr>
          <w:rFonts w:ascii="Tahoma" w:hAnsi="Tahoma"/>
        </w:rPr>
        <w:t>viveros</w:t>
      </w:r>
      <w:proofErr w:type="spellEnd"/>
      <w:r>
        <w:rPr>
          <w:rFonts w:ascii="Tahoma" w:hAnsi="Tahoma"/>
        </w:rPr>
        <w:t xml:space="preserve"> de </w:t>
      </w:r>
      <w:proofErr w:type="spellStart"/>
      <w:r>
        <w:rPr>
          <w:rFonts w:ascii="Tahoma" w:hAnsi="Tahoma"/>
        </w:rPr>
        <w:t>empresas</w:t>
      </w:r>
      <w:proofErr w:type="spellEnd"/>
      <w:r>
        <w:rPr>
          <w:rFonts w:ascii="Tahoma" w:hAnsi="Tahoma"/>
        </w:rPr>
        <w:t xml:space="preserve"> </w:t>
      </w:r>
      <w:proofErr w:type="spellStart"/>
      <w:r>
        <w:rPr>
          <w:rFonts w:ascii="Tahoma" w:hAnsi="Tahoma"/>
        </w:rPr>
        <w:t>en</w:t>
      </w:r>
      <w:proofErr w:type="spellEnd"/>
      <w:r>
        <w:rPr>
          <w:rFonts w:ascii="Tahoma" w:hAnsi="Tahoma"/>
        </w:rPr>
        <w:t xml:space="preserve"> España. Ranking 2016/2017” txostenaren arabera. </w:t>
      </w:r>
    </w:p>
    <w:p w:rsidR="00FE15B2" w:rsidRDefault="007E1835" w:rsidP="007E1835">
      <w:pPr>
        <w:pStyle w:val="Prrafodelista"/>
        <w:numPr>
          <w:ilvl w:val="0"/>
          <w:numId w:val="13"/>
        </w:numPr>
        <w:jc w:val="both"/>
        <w:rPr>
          <w:rFonts w:ascii="Tahoma" w:hAnsi="Tahoma" w:cs="Tahoma"/>
        </w:rPr>
      </w:pPr>
      <w:proofErr w:type="spellStart"/>
      <w:r>
        <w:rPr>
          <w:rFonts w:ascii="Tahoma" w:hAnsi="Tahoma"/>
          <w:b/>
          <w:bCs/>
        </w:rPr>
        <w:t>CEINen</w:t>
      </w:r>
      <w:proofErr w:type="spellEnd"/>
      <w:r>
        <w:rPr>
          <w:rFonts w:ascii="Tahoma" w:hAnsi="Tahoma"/>
          <w:b/>
          <w:bCs/>
        </w:rPr>
        <w:t xml:space="preserve"> berrikuntza-haztegiek</w:t>
      </w:r>
      <w:r>
        <w:rPr>
          <w:rFonts w:ascii="Tahoma" w:hAnsi="Tahoma"/>
        </w:rPr>
        <w:t xml:space="preserve"> zortzigarren tokia betetzen dute azterlan horretan aipatzen diren 227 haztegien artean, eta toki bera izan du 2018an ere.</w:t>
      </w:r>
    </w:p>
    <w:p w:rsidR="007E1835" w:rsidRPr="007E1835" w:rsidRDefault="007E1835" w:rsidP="007E1835">
      <w:pPr>
        <w:pStyle w:val="Prrafodelista"/>
        <w:numPr>
          <w:ilvl w:val="0"/>
          <w:numId w:val="13"/>
        </w:numPr>
        <w:spacing w:after="0"/>
        <w:jc w:val="both"/>
        <w:rPr>
          <w:rFonts w:ascii="Tahoma" w:hAnsi="Tahoma" w:cs="Tahoma"/>
        </w:rPr>
      </w:pPr>
      <w:proofErr w:type="spellStart"/>
      <w:r>
        <w:rPr>
          <w:rFonts w:ascii="Tahoma" w:hAnsi="Tahoma"/>
        </w:rPr>
        <w:t>CEINen</w:t>
      </w:r>
      <w:proofErr w:type="spellEnd"/>
      <w:r>
        <w:rPr>
          <w:rFonts w:ascii="Tahoma" w:hAnsi="Tahoma"/>
        </w:rPr>
        <w:t xml:space="preserve"> lanean sinesten duten enpresa laguntzaileak, zeina Ekintzaile-bultzada bezalako programei emandako babesean gauzatzen baita, 8.000 euroko diru-ekarpena eginez eta zuzendaritzako kideen aipamena eginez. Hona sei urteotan babesle gisa jardun diren enpresak:</w:t>
      </w:r>
    </w:p>
    <w:p w:rsidR="007E1835" w:rsidRDefault="007E1835" w:rsidP="007E1835">
      <w:pPr>
        <w:pStyle w:val="Prrafodelista"/>
        <w:ind w:left="0"/>
        <w:jc w:val="both"/>
        <w:rPr>
          <w:rFonts w:ascii="Tahoma" w:hAnsi="Tahoma" w:cs="Tahoma"/>
        </w:rPr>
      </w:pPr>
    </w:p>
    <w:p w:rsidR="00586C76" w:rsidRPr="007E1835" w:rsidRDefault="00586C76" w:rsidP="007E1835">
      <w:pPr>
        <w:pStyle w:val="Prrafodelista"/>
        <w:ind w:left="0"/>
        <w:jc w:val="both"/>
        <w:rPr>
          <w:rFonts w:ascii="Tahoma" w:hAnsi="Tahoma" w:cs="Tahoma"/>
        </w:rPr>
      </w:pPr>
    </w:p>
    <w:tbl>
      <w:tblPr>
        <w:tblW w:w="8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431"/>
        <w:gridCol w:w="1431"/>
        <w:gridCol w:w="1431"/>
        <w:gridCol w:w="1470"/>
        <w:gridCol w:w="1470"/>
      </w:tblGrid>
      <w:tr w:rsidR="007E1835" w:rsidRPr="00586C76" w:rsidTr="00586C76">
        <w:trPr>
          <w:trHeight w:val="20"/>
        </w:trPr>
        <w:tc>
          <w:tcPr>
            <w:tcW w:w="1560" w:type="dxa"/>
            <w:shd w:val="clear" w:color="auto" w:fill="DDD9C3" w:themeFill="background2" w:themeFillShade="E6"/>
            <w:noWrap/>
          </w:tcPr>
          <w:p w:rsidR="007E1835" w:rsidRPr="00586C76" w:rsidRDefault="007E1835" w:rsidP="00586C76">
            <w:pPr>
              <w:spacing w:before="40" w:after="40"/>
              <w:jc w:val="center"/>
              <w:rPr>
                <w:rFonts w:asciiTheme="minorHAnsi" w:hAnsiTheme="minorHAnsi" w:cs="Tahoma"/>
                <w:b/>
                <w:bCs/>
                <w:color w:val="000000"/>
                <w:sz w:val="18"/>
                <w:szCs w:val="18"/>
              </w:rPr>
            </w:pPr>
            <w:r w:rsidRPr="00586C76">
              <w:rPr>
                <w:rFonts w:asciiTheme="minorHAnsi" w:hAnsiTheme="minorHAnsi"/>
                <w:b/>
                <w:bCs/>
                <w:color w:val="000000"/>
                <w:sz w:val="18"/>
                <w:szCs w:val="18"/>
              </w:rPr>
              <w:t>1. edizioa</w:t>
            </w:r>
          </w:p>
        </w:tc>
        <w:tc>
          <w:tcPr>
            <w:tcW w:w="1431" w:type="dxa"/>
            <w:shd w:val="clear" w:color="auto" w:fill="DDD9C3" w:themeFill="background2" w:themeFillShade="E6"/>
            <w:noWrap/>
          </w:tcPr>
          <w:p w:rsidR="007E1835" w:rsidRPr="00586C76" w:rsidRDefault="007E1835" w:rsidP="00586C76">
            <w:pPr>
              <w:spacing w:before="40" w:after="40"/>
              <w:jc w:val="center"/>
              <w:rPr>
                <w:rFonts w:asciiTheme="minorHAnsi" w:hAnsiTheme="minorHAnsi" w:cs="Tahoma"/>
                <w:b/>
                <w:bCs/>
                <w:color w:val="000000"/>
                <w:sz w:val="18"/>
                <w:szCs w:val="18"/>
              </w:rPr>
            </w:pPr>
            <w:r w:rsidRPr="00586C76">
              <w:rPr>
                <w:rFonts w:asciiTheme="minorHAnsi" w:hAnsiTheme="minorHAnsi"/>
                <w:b/>
                <w:bCs/>
                <w:color w:val="000000"/>
                <w:sz w:val="18"/>
                <w:szCs w:val="18"/>
              </w:rPr>
              <w:lastRenderedPageBreak/>
              <w:t>2. edizioa</w:t>
            </w:r>
          </w:p>
        </w:tc>
        <w:tc>
          <w:tcPr>
            <w:tcW w:w="1431" w:type="dxa"/>
            <w:shd w:val="clear" w:color="auto" w:fill="DDD9C3" w:themeFill="background2" w:themeFillShade="E6"/>
            <w:noWrap/>
          </w:tcPr>
          <w:p w:rsidR="007E1835" w:rsidRPr="00586C76" w:rsidRDefault="007E1835" w:rsidP="00586C76">
            <w:pPr>
              <w:spacing w:before="40" w:after="40"/>
              <w:jc w:val="center"/>
              <w:rPr>
                <w:rFonts w:asciiTheme="minorHAnsi" w:hAnsiTheme="minorHAnsi" w:cs="Tahoma"/>
                <w:b/>
                <w:bCs/>
                <w:color w:val="000000"/>
                <w:sz w:val="18"/>
                <w:szCs w:val="18"/>
              </w:rPr>
            </w:pPr>
            <w:r w:rsidRPr="00586C76">
              <w:rPr>
                <w:rFonts w:asciiTheme="minorHAnsi" w:hAnsiTheme="minorHAnsi"/>
                <w:b/>
                <w:bCs/>
                <w:color w:val="000000"/>
                <w:sz w:val="18"/>
                <w:szCs w:val="18"/>
              </w:rPr>
              <w:lastRenderedPageBreak/>
              <w:t xml:space="preserve">3. edizioa </w:t>
            </w:r>
          </w:p>
        </w:tc>
        <w:tc>
          <w:tcPr>
            <w:tcW w:w="1431" w:type="dxa"/>
            <w:shd w:val="clear" w:color="auto" w:fill="DDD9C3" w:themeFill="background2" w:themeFillShade="E6"/>
            <w:noWrap/>
          </w:tcPr>
          <w:p w:rsidR="007E1835" w:rsidRPr="00586C76" w:rsidRDefault="007E1835" w:rsidP="00586C76">
            <w:pPr>
              <w:spacing w:before="40" w:after="40"/>
              <w:jc w:val="center"/>
              <w:rPr>
                <w:rFonts w:asciiTheme="minorHAnsi" w:hAnsiTheme="minorHAnsi" w:cs="Tahoma"/>
                <w:b/>
                <w:bCs/>
                <w:color w:val="000000"/>
                <w:sz w:val="18"/>
                <w:szCs w:val="18"/>
              </w:rPr>
            </w:pPr>
            <w:r w:rsidRPr="00586C76">
              <w:rPr>
                <w:rFonts w:asciiTheme="minorHAnsi" w:hAnsiTheme="minorHAnsi"/>
                <w:b/>
                <w:bCs/>
                <w:color w:val="000000"/>
                <w:sz w:val="18"/>
                <w:szCs w:val="18"/>
              </w:rPr>
              <w:lastRenderedPageBreak/>
              <w:t>4. edizioa</w:t>
            </w:r>
          </w:p>
        </w:tc>
        <w:tc>
          <w:tcPr>
            <w:tcW w:w="1470" w:type="dxa"/>
            <w:shd w:val="clear" w:color="auto" w:fill="DDD9C3" w:themeFill="background2" w:themeFillShade="E6"/>
            <w:noWrap/>
          </w:tcPr>
          <w:p w:rsidR="007E1835" w:rsidRPr="00586C76" w:rsidRDefault="007E1835" w:rsidP="00586C76">
            <w:pPr>
              <w:spacing w:before="40" w:after="40"/>
              <w:jc w:val="center"/>
              <w:rPr>
                <w:rFonts w:asciiTheme="minorHAnsi" w:hAnsiTheme="minorHAnsi" w:cs="Tahoma"/>
                <w:b/>
                <w:bCs/>
                <w:color w:val="000000"/>
                <w:sz w:val="18"/>
                <w:szCs w:val="18"/>
              </w:rPr>
            </w:pPr>
            <w:r w:rsidRPr="00586C76">
              <w:rPr>
                <w:rFonts w:asciiTheme="minorHAnsi" w:hAnsiTheme="minorHAnsi"/>
                <w:b/>
                <w:bCs/>
                <w:color w:val="000000"/>
                <w:sz w:val="18"/>
                <w:szCs w:val="18"/>
              </w:rPr>
              <w:lastRenderedPageBreak/>
              <w:t>5. edizioa</w:t>
            </w:r>
          </w:p>
        </w:tc>
        <w:tc>
          <w:tcPr>
            <w:tcW w:w="1470" w:type="dxa"/>
            <w:shd w:val="clear" w:color="auto" w:fill="DDD9C3" w:themeFill="background2" w:themeFillShade="E6"/>
            <w:noWrap/>
          </w:tcPr>
          <w:p w:rsidR="007E1835" w:rsidRPr="00586C76" w:rsidRDefault="007E1835" w:rsidP="00586C76">
            <w:pPr>
              <w:spacing w:before="40" w:after="40"/>
              <w:jc w:val="center"/>
              <w:rPr>
                <w:rFonts w:asciiTheme="minorHAnsi" w:hAnsiTheme="minorHAnsi" w:cs="Tahoma"/>
                <w:b/>
                <w:bCs/>
                <w:color w:val="000000"/>
                <w:sz w:val="18"/>
                <w:szCs w:val="18"/>
              </w:rPr>
            </w:pPr>
            <w:r w:rsidRPr="00586C76">
              <w:rPr>
                <w:rFonts w:asciiTheme="minorHAnsi" w:hAnsiTheme="minorHAnsi"/>
                <w:b/>
                <w:bCs/>
                <w:color w:val="000000"/>
                <w:sz w:val="18"/>
                <w:szCs w:val="18"/>
              </w:rPr>
              <w:lastRenderedPageBreak/>
              <w:t>6. edizioa</w:t>
            </w:r>
          </w:p>
        </w:tc>
      </w:tr>
      <w:tr w:rsidR="007E1835" w:rsidRPr="00586C76" w:rsidTr="00586C76">
        <w:trPr>
          <w:trHeight w:val="20"/>
        </w:trPr>
        <w:tc>
          <w:tcPr>
            <w:tcW w:w="1560" w:type="dxa"/>
            <w:shd w:val="clear" w:color="auto" w:fill="auto"/>
            <w:noWrap/>
          </w:tcPr>
          <w:p w:rsidR="007E1835" w:rsidRPr="00586C76" w:rsidRDefault="007E1835" w:rsidP="00586C76">
            <w:pPr>
              <w:spacing w:before="40" w:after="40"/>
              <w:rPr>
                <w:rFonts w:asciiTheme="minorHAnsi" w:hAnsiTheme="minorHAnsi" w:cs="Tahoma"/>
                <w:bCs/>
                <w:color w:val="000000"/>
                <w:sz w:val="18"/>
                <w:szCs w:val="18"/>
              </w:rPr>
            </w:pPr>
            <w:proofErr w:type="spellStart"/>
            <w:r w:rsidRPr="00586C76">
              <w:rPr>
                <w:rFonts w:asciiTheme="minorHAnsi" w:hAnsiTheme="minorHAnsi"/>
                <w:bCs/>
                <w:color w:val="000000"/>
                <w:sz w:val="18"/>
                <w:szCs w:val="18"/>
              </w:rPr>
              <w:lastRenderedPageBreak/>
              <w:t>Rural</w:t>
            </w:r>
            <w:proofErr w:type="spellEnd"/>
            <w:r w:rsidRPr="00586C76">
              <w:rPr>
                <w:rFonts w:asciiTheme="minorHAnsi" w:hAnsiTheme="minorHAnsi"/>
                <w:bCs/>
                <w:color w:val="000000"/>
                <w:sz w:val="18"/>
                <w:szCs w:val="18"/>
              </w:rPr>
              <w:t xml:space="preserve"> Kutxa</w:t>
            </w:r>
          </w:p>
        </w:tc>
        <w:tc>
          <w:tcPr>
            <w:tcW w:w="1431"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roofErr w:type="spellStart"/>
            <w:r w:rsidRPr="00586C76">
              <w:rPr>
                <w:rFonts w:asciiTheme="minorHAnsi" w:hAnsiTheme="minorHAnsi"/>
                <w:color w:val="000000"/>
                <w:sz w:val="18"/>
                <w:szCs w:val="18"/>
              </w:rPr>
              <w:t>Rural</w:t>
            </w:r>
            <w:proofErr w:type="spellEnd"/>
            <w:r w:rsidRPr="00586C76">
              <w:rPr>
                <w:rFonts w:asciiTheme="minorHAnsi" w:hAnsiTheme="minorHAnsi"/>
                <w:color w:val="000000"/>
                <w:sz w:val="18"/>
                <w:szCs w:val="18"/>
              </w:rPr>
              <w:t xml:space="preserve"> Kutxa</w:t>
            </w:r>
          </w:p>
        </w:tc>
        <w:tc>
          <w:tcPr>
            <w:tcW w:w="1431"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roofErr w:type="spellStart"/>
            <w:r w:rsidRPr="00586C76">
              <w:rPr>
                <w:rFonts w:asciiTheme="minorHAnsi" w:hAnsiTheme="minorHAnsi"/>
                <w:color w:val="000000"/>
                <w:sz w:val="18"/>
                <w:szCs w:val="18"/>
              </w:rPr>
              <w:t>Rural</w:t>
            </w:r>
            <w:proofErr w:type="spellEnd"/>
            <w:r w:rsidRPr="00586C76">
              <w:rPr>
                <w:rFonts w:asciiTheme="minorHAnsi" w:hAnsiTheme="minorHAnsi"/>
                <w:color w:val="000000"/>
                <w:sz w:val="18"/>
                <w:szCs w:val="18"/>
              </w:rPr>
              <w:t xml:space="preserve"> Kutxa</w:t>
            </w:r>
          </w:p>
        </w:tc>
        <w:tc>
          <w:tcPr>
            <w:tcW w:w="1431"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roofErr w:type="spellStart"/>
            <w:r w:rsidRPr="00586C76">
              <w:rPr>
                <w:rFonts w:asciiTheme="minorHAnsi" w:hAnsiTheme="minorHAnsi"/>
                <w:color w:val="000000"/>
                <w:sz w:val="18"/>
                <w:szCs w:val="18"/>
              </w:rPr>
              <w:t>Rural</w:t>
            </w:r>
            <w:proofErr w:type="spellEnd"/>
            <w:r w:rsidRPr="00586C76">
              <w:rPr>
                <w:rFonts w:asciiTheme="minorHAnsi" w:hAnsiTheme="minorHAnsi"/>
                <w:color w:val="000000"/>
                <w:sz w:val="18"/>
                <w:szCs w:val="18"/>
              </w:rPr>
              <w:t xml:space="preserve"> Kutxa</w:t>
            </w:r>
          </w:p>
        </w:tc>
        <w:tc>
          <w:tcPr>
            <w:tcW w:w="1470"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roofErr w:type="spellStart"/>
            <w:r w:rsidRPr="00586C76">
              <w:rPr>
                <w:rFonts w:asciiTheme="minorHAnsi" w:hAnsiTheme="minorHAnsi"/>
                <w:color w:val="000000"/>
                <w:sz w:val="18"/>
                <w:szCs w:val="18"/>
              </w:rPr>
              <w:t>Rural</w:t>
            </w:r>
            <w:proofErr w:type="spellEnd"/>
            <w:r w:rsidRPr="00586C76">
              <w:rPr>
                <w:rFonts w:asciiTheme="minorHAnsi" w:hAnsiTheme="minorHAnsi"/>
                <w:color w:val="000000"/>
                <w:sz w:val="18"/>
                <w:szCs w:val="18"/>
              </w:rPr>
              <w:t xml:space="preserve"> Kutxa</w:t>
            </w:r>
          </w:p>
        </w:tc>
        <w:tc>
          <w:tcPr>
            <w:tcW w:w="1470"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roofErr w:type="spellStart"/>
            <w:r w:rsidRPr="00586C76">
              <w:rPr>
                <w:rFonts w:asciiTheme="minorHAnsi" w:hAnsiTheme="minorHAnsi"/>
                <w:color w:val="000000"/>
                <w:sz w:val="18"/>
                <w:szCs w:val="18"/>
              </w:rPr>
              <w:t>Rural</w:t>
            </w:r>
            <w:proofErr w:type="spellEnd"/>
            <w:r w:rsidRPr="00586C76">
              <w:rPr>
                <w:rFonts w:asciiTheme="minorHAnsi" w:hAnsiTheme="minorHAnsi"/>
                <w:color w:val="000000"/>
                <w:sz w:val="18"/>
                <w:szCs w:val="18"/>
              </w:rPr>
              <w:t xml:space="preserve"> Kutxa</w:t>
            </w:r>
          </w:p>
        </w:tc>
      </w:tr>
      <w:tr w:rsidR="007E1835" w:rsidRPr="00586C76" w:rsidTr="00586C76">
        <w:trPr>
          <w:trHeight w:val="20"/>
        </w:trPr>
        <w:tc>
          <w:tcPr>
            <w:tcW w:w="1560" w:type="dxa"/>
            <w:shd w:val="clear" w:color="auto" w:fill="auto"/>
            <w:noWrap/>
          </w:tcPr>
          <w:p w:rsidR="007E1835" w:rsidRPr="00586C76" w:rsidRDefault="007E1835" w:rsidP="00586C76">
            <w:pPr>
              <w:spacing w:before="40" w:after="40"/>
              <w:rPr>
                <w:rFonts w:asciiTheme="minorHAnsi" w:hAnsiTheme="minorHAnsi" w:cs="Tahoma"/>
                <w:bCs/>
                <w:color w:val="000000"/>
                <w:sz w:val="18"/>
                <w:szCs w:val="18"/>
              </w:rPr>
            </w:pPr>
            <w:proofErr w:type="spellStart"/>
            <w:r w:rsidRPr="00586C76">
              <w:rPr>
                <w:rFonts w:asciiTheme="minorHAnsi" w:hAnsiTheme="minorHAnsi"/>
                <w:bCs/>
                <w:color w:val="000000"/>
                <w:sz w:val="18"/>
                <w:szCs w:val="18"/>
              </w:rPr>
              <w:t>Correos</w:t>
            </w:r>
            <w:proofErr w:type="spellEnd"/>
          </w:p>
        </w:tc>
        <w:tc>
          <w:tcPr>
            <w:tcW w:w="1431"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roofErr w:type="spellStart"/>
            <w:r w:rsidRPr="00586C76">
              <w:rPr>
                <w:rFonts w:asciiTheme="minorHAnsi" w:hAnsiTheme="minorHAnsi"/>
                <w:color w:val="000000"/>
                <w:sz w:val="18"/>
                <w:szCs w:val="18"/>
              </w:rPr>
              <w:t>Correos</w:t>
            </w:r>
            <w:proofErr w:type="spellEnd"/>
          </w:p>
        </w:tc>
        <w:tc>
          <w:tcPr>
            <w:tcW w:w="1431"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roofErr w:type="spellStart"/>
            <w:r w:rsidRPr="00586C76">
              <w:rPr>
                <w:rFonts w:asciiTheme="minorHAnsi" w:hAnsiTheme="minorHAnsi"/>
                <w:color w:val="000000"/>
                <w:sz w:val="18"/>
                <w:szCs w:val="18"/>
              </w:rPr>
              <w:t>Correos</w:t>
            </w:r>
            <w:proofErr w:type="spellEnd"/>
          </w:p>
        </w:tc>
        <w:tc>
          <w:tcPr>
            <w:tcW w:w="1431"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roofErr w:type="spellStart"/>
            <w:r w:rsidRPr="00586C76">
              <w:rPr>
                <w:rFonts w:asciiTheme="minorHAnsi" w:hAnsiTheme="minorHAnsi"/>
                <w:color w:val="000000"/>
                <w:sz w:val="18"/>
                <w:szCs w:val="18"/>
              </w:rPr>
              <w:t>Correos</w:t>
            </w:r>
            <w:proofErr w:type="spellEnd"/>
          </w:p>
        </w:tc>
        <w:tc>
          <w:tcPr>
            <w:tcW w:w="1470"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roofErr w:type="spellStart"/>
            <w:r w:rsidRPr="00586C76">
              <w:rPr>
                <w:rFonts w:asciiTheme="minorHAnsi" w:hAnsiTheme="minorHAnsi"/>
                <w:color w:val="000000"/>
                <w:sz w:val="18"/>
                <w:szCs w:val="18"/>
              </w:rPr>
              <w:t>Correos</w:t>
            </w:r>
            <w:proofErr w:type="spellEnd"/>
          </w:p>
        </w:tc>
        <w:tc>
          <w:tcPr>
            <w:tcW w:w="1470"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roofErr w:type="spellStart"/>
            <w:r w:rsidRPr="00586C76">
              <w:rPr>
                <w:rFonts w:asciiTheme="minorHAnsi" w:hAnsiTheme="minorHAnsi"/>
                <w:color w:val="000000"/>
                <w:sz w:val="18"/>
                <w:szCs w:val="18"/>
              </w:rPr>
              <w:t>Correos</w:t>
            </w:r>
            <w:proofErr w:type="spellEnd"/>
          </w:p>
        </w:tc>
      </w:tr>
      <w:tr w:rsidR="007E1835" w:rsidRPr="00586C76" w:rsidTr="00586C76">
        <w:trPr>
          <w:trHeight w:val="20"/>
        </w:trPr>
        <w:tc>
          <w:tcPr>
            <w:tcW w:w="1560" w:type="dxa"/>
            <w:shd w:val="clear" w:color="auto" w:fill="auto"/>
            <w:noWrap/>
          </w:tcPr>
          <w:p w:rsidR="007E1835" w:rsidRPr="00586C76" w:rsidRDefault="007E1835" w:rsidP="00586C76">
            <w:pPr>
              <w:spacing w:before="40" w:after="40"/>
              <w:rPr>
                <w:rFonts w:asciiTheme="minorHAnsi" w:hAnsiTheme="minorHAnsi" w:cs="Tahoma"/>
                <w:bCs/>
                <w:color w:val="000000"/>
                <w:sz w:val="18"/>
                <w:szCs w:val="18"/>
              </w:rPr>
            </w:pPr>
            <w:proofErr w:type="spellStart"/>
            <w:r w:rsidRPr="00586C76">
              <w:rPr>
                <w:rFonts w:asciiTheme="minorHAnsi" w:hAnsiTheme="minorHAnsi"/>
                <w:bCs/>
                <w:color w:val="000000"/>
                <w:sz w:val="18"/>
                <w:szCs w:val="18"/>
              </w:rPr>
              <w:t>Cinfa</w:t>
            </w:r>
            <w:proofErr w:type="spellEnd"/>
          </w:p>
        </w:tc>
        <w:tc>
          <w:tcPr>
            <w:tcW w:w="1431"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roofErr w:type="spellStart"/>
            <w:r w:rsidRPr="00586C76">
              <w:rPr>
                <w:rFonts w:asciiTheme="minorHAnsi" w:hAnsiTheme="minorHAnsi"/>
                <w:color w:val="000000"/>
                <w:sz w:val="18"/>
                <w:szCs w:val="18"/>
              </w:rPr>
              <w:t>Cinfa</w:t>
            </w:r>
            <w:proofErr w:type="spellEnd"/>
          </w:p>
        </w:tc>
        <w:tc>
          <w:tcPr>
            <w:tcW w:w="1431"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roofErr w:type="spellStart"/>
            <w:r w:rsidRPr="00586C76">
              <w:rPr>
                <w:rFonts w:asciiTheme="minorHAnsi" w:hAnsiTheme="minorHAnsi"/>
                <w:color w:val="000000"/>
                <w:sz w:val="18"/>
                <w:szCs w:val="18"/>
              </w:rPr>
              <w:t>Cinfa</w:t>
            </w:r>
            <w:proofErr w:type="spellEnd"/>
          </w:p>
        </w:tc>
        <w:tc>
          <w:tcPr>
            <w:tcW w:w="1431"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roofErr w:type="spellStart"/>
            <w:r w:rsidRPr="00586C76">
              <w:rPr>
                <w:rFonts w:asciiTheme="minorHAnsi" w:hAnsiTheme="minorHAnsi"/>
                <w:color w:val="000000"/>
                <w:sz w:val="18"/>
                <w:szCs w:val="18"/>
              </w:rPr>
              <w:t>Cinfa</w:t>
            </w:r>
            <w:proofErr w:type="spellEnd"/>
          </w:p>
        </w:tc>
        <w:tc>
          <w:tcPr>
            <w:tcW w:w="1470"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roofErr w:type="spellStart"/>
            <w:r w:rsidRPr="00586C76">
              <w:rPr>
                <w:rFonts w:asciiTheme="minorHAnsi" w:hAnsiTheme="minorHAnsi"/>
                <w:color w:val="000000"/>
                <w:sz w:val="18"/>
                <w:szCs w:val="18"/>
              </w:rPr>
              <w:t>Cinfa</w:t>
            </w:r>
            <w:proofErr w:type="spellEnd"/>
          </w:p>
        </w:tc>
        <w:tc>
          <w:tcPr>
            <w:tcW w:w="1470"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roofErr w:type="spellStart"/>
            <w:r w:rsidRPr="00586C76">
              <w:rPr>
                <w:rFonts w:asciiTheme="minorHAnsi" w:hAnsiTheme="minorHAnsi"/>
                <w:color w:val="000000"/>
                <w:sz w:val="18"/>
                <w:szCs w:val="18"/>
              </w:rPr>
              <w:t>Cinfa</w:t>
            </w:r>
            <w:proofErr w:type="spellEnd"/>
          </w:p>
        </w:tc>
      </w:tr>
      <w:tr w:rsidR="007E1835" w:rsidRPr="00586C76" w:rsidTr="00586C76">
        <w:trPr>
          <w:trHeight w:val="20"/>
        </w:trPr>
        <w:tc>
          <w:tcPr>
            <w:tcW w:w="1560" w:type="dxa"/>
            <w:shd w:val="clear" w:color="auto" w:fill="auto"/>
            <w:noWrap/>
          </w:tcPr>
          <w:p w:rsidR="007E1835" w:rsidRPr="00586C76" w:rsidRDefault="007E1835" w:rsidP="00586C76">
            <w:pPr>
              <w:spacing w:before="40" w:after="40"/>
              <w:rPr>
                <w:rFonts w:asciiTheme="minorHAnsi" w:hAnsiTheme="minorHAnsi" w:cs="Tahoma"/>
                <w:bCs/>
                <w:color w:val="000000"/>
                <w:sz w:val="18"/>
                <w:szCs w:val="18"/>
              </w:rPr>
            </w:pPr>
            <w:proofErr w:type="spellStart"/>
            <w:r w:rsidRPr="00586C76">
              <w:rPr>
                <w:rFonts w:asciiTheme="minorHAnsi" w:hAnsiTheme="minorHAnsi"/>
                <w:bCs/>
                <w:color w:val="000000"/>
                <w:sz w:val="18"/>
                <w:szCs w:val="18"/>
              </w:rPr>
              <w:t>Viscofan</w:t>
            </w:r>
            <w:proofErr w:type="spellEnd"/>
          </w:p>
        </w:tc>
        <w:tc>
          <w:tcPr>
            <w:tcW w:w="1431"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roofErr w:type="spellStart"/>
            <w:r w:rsidRPr="00586C76">
              <w:rPr>
                <w:rFonts w:asciiTheme="minorHAnsi" w:hAnsiTheme="minorHAnsi"/>
                <w:color w:val="000000"/>
                <w:sz w:val="18"/>
                <w:szCs w:val="18"/>
              </w:rPr>
              <w:t>Viscofan</w:t>
            </w:r>
            <w:proofErr w:type="spellEnd"/>
          </w:p>
        </w:tc>
        <w:tc>
          <w:tcPr>
            <w:tcW w:w="1431"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roofErr w:type="spellStart"/>
            <w:r w:rsidRPr="00586C76">
              <w:rPr>
                <w:rFonts w:asciiTheme="minorHAnsi" w:hAnsiTheme="minorHAnsi"/>
                <w:color w:val="000000"/>
                <w:sz w:val="18"/>
                <w:szCs w:val="18"/>
              </w:rPr>
              <w:t>Viscofan</w:t>
            </w:r>
            <w:proofErr w:type="spellEnd"/>
          </w:p>
        </w:tc>
        <w:tc>
          <w:tcPr>
            <w:tcW w:w="1431"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roofErr w:type="spellStart"/>
            <w:r w:rsidRPr="00586C76">
              <w:rPr>
                <w:rFonts w:asciiTheme="minorHAnsi" w:hAnsiTheme="minorHAnsi"/>
                <w:color w:val="000000"/>
                <w:sz w:val="18"/>
                <w:szCs w:val="18"/>
              </w:rPr>
              <w:t>Viscofan</w:t>
            </w:r>
            <w:proofErr w:type="spellEnd"/>
          </w:p>
        </w:tc>
        <w:tc>
          <w:tcPr>
            <w:tcW w:w="1470"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roofErr w:type="spellStart"/>
            <w:r w:rsidRPr="00586C76">
              <w:rPr>
                <w:rFonts w:asciiTheme="minorHAnsi" w:hAnsiTheme="minorHAnsi"/>
                <w:color w:val="000000"/>
                <w:sz w:val="18"/>
                <w:szCs w:val="18"/>
              </w:rPr>
              <w:t>Viscofan</w:t>
            </w:r>
            <w:proofErr w:type="spellEnd"/>
          </w:p>
        </w:tc>
        <w:tc>
          <w:tcPr>
            <w:tcW w:w="1470"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roofErr w:type="spellStart"/>
            <w:r w:rsidRPr="00586C76">
              <w:rPr>
                <w:rFonts w:asciiTheme="minorHAnsi" w:hAnsiTheme="minorHAnsi"/>
                <w:color w:val="000000"/>
                <w:sz w:val="18"/>
                <w:szCs w:val="18"/>
              </w:rPr>
              <w:t>Viscofán</w:t>
            </w:r>
            <w:proofErr w:type="spellEnd"/>
          </w:p>
        </w:tc>
      </w:tr>
      <w:tr w:rsidR="007E1835" w:rsidRPr="00586C76" w:rsidTr="00586C76">
        <w:trPr>
          <w:trHeight w:val="20"/>
        </w:trPr>
        <w:tc>
          <w:tcPr>
            <w:tcW w:w="1560" w:type="dxa"/>
            <w:shd w:val="clear" w:color="auto" w:fill="auto"/>
            <w:noWrap/>
          </w:tcPr>
          <w:p w:rsidR="007E1835" w:rsidRPr="00586C76" w:rsidRDefault="007E1835" w:rsidP="00586C76">
            <w:pPr>
              <w:spacing w:before="40" w:after="40"/>
              <w:rPr>
                <w:rFonts w:asciiTheme="minorHAnsi" w:hAnsiTheme="minorHAnsi" w:cs="Tahoma"/>
                <w:bCs/>
                <w:color w:val="000000"/>
                <w:sz w:val="18"/>
                <w:szCs w:val="18"/>
              </w:rPr>
            </w:pPr>
            <w:proofErr w:type="spellStart"/>
            <w:r w:rsidRPr="00586C76">
              <w:rPr>
                <w:rFonts w:asciiTheme="minorHAnsi" w:hAnsiTheme="minorHAnsi"/>
                <w:bCs/>
                <w:color w:val="000000"/>
                <w:sz w:val="18"/>
                <w:szCs w:val="18"/>
              </w:rPr>
              <w:t>Mtorres</w:t>
            </w:r>
            <w:proofErr w:type="spellEnd"/>
          </w:p>
        </w:tc>
        <w:tc>
          <w:tcPr>
            <w:tcW w:w="1431"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roofErr w:type="spellStart"/>
            <w:r w:rsidRPr="00586C76">
              <w:rPr>
                <w:rFonts w:asciiTheme="minorHAnsi" w:hAnsiTheme="minorHAnsi"/>
                <w:color w:val="000000"/>
                <w:sz w:val="18"/>
                <w:szCs w:val="18"/>
              </w:rPr>
              <w:t>Mtorres</w:t>
            </w:r>
            <w:proofErr w:type="spellEnd"/>
          </w:p>
        </w:tc>
        <w:tc>
          <w:tcPr>
            <w:tcW w:w="1431"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roofErr w:type="spellStart"/>
            <w:r w:rsidRPr="00586C76">
              <w:rPr>
                <w:rFonts w:asciiTheme="minorHAnsi" w:hAnsiTheme="minorHAnsi"/>
                <w:color w:val="000000"/>
                <w:sz w:val="18"/>
                <w:szCs w:val="18"/>
              </w:rPr>
              <w:t>Mtorres</w:t>
            </w:r>
            <w:proofErr w:type="spellEnd"/>
          </w:p>
        </w:tc>
        <w:tc>
          <w:tcPr>
            <w:tcW w:w="1431"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roofErr w:type="spellStart"/>
            <w:r w:rsidRPr="00586C76">
              <w:rPr>
                <w:rFonts w:asciiTheme="minorHAnsi" w:hAnsiTheme="minorHAnsi"/>
                <w:color w:val="000000"/>
                <w:sz w:val="18"/>
                <w:szCs w:val="18"/>
              </w:rPr>
              <w:t>Mtorres</w:t>
            </w:r>
            <w:proofErr w:type="spellEnd"/>
          </w:p>
        </w:tc>
        <w:tc>
          <w:tcPr>
            <w:tcW w:w="1470"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roofErr w:type="spellStart"/>
            <w:r w:rsidRPr="00586C76">
              <w:rPr>
                <w:rFonts w:asciiTheme="minorHAnsi" w:hAnsiTheme="minorHAnsi"/>
                <w:color w:val="000000"/>
                <w:sz w:val="18"/>
                <w:szCs w:val="18"/>
              </w:rPr>
              <w:t>Mtorres</w:t>
            </w:r>
            <w:proofErr w:type="spellEnd"/>
          </w:p>
        </w:tc>
        <w:tc>
          <w:tcPr>
            <w:tcW w:w="1470"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roofErr w:type="spellStart"/>
            <w:r w:rsidRPr="00586C76">
              <w:rPr>
                <w:rFonts w:asciiTheme="minorHAnsi" w:hAnsiTheme="minorHAnsi"/>
                <w:color w:val="000000"/>
                <w:sz w:val="18"/>
                <w:szCs w:val="18"/>
              </w:rPr>
              <w:t>Mtorres</w:t>
            </w:r>
            <w:proofErr w:type="spellEnd"/>
          </w:p>
        </w:tc>
      </w:tr>
      <w:tr w:rsidR="007E1835" w:rsidRPr="00586C76" w:rsidTr="00586C76">
        <w:trPr>
          <w:trHeight w:val="20"/>
        </w:trPr>
        <w:tc>
          <w:tcPr>
            <w:tcW w:w="1560" w:type="dxa"/>
            <w:shd w:val="clear" w:color="auto" w:fill="auto"/>
            <w:noWrap/>
          </w:tcPr>
          <w:p w:rsidR="007E1835" w:rsidRPr="00586C76" w:rsidRDefault="007E1835" w:rsidP="00586C76">
            <w:pPr>
              <w:spacing w:before="40" w:after="40"/>
              <w:rPr>
                <w:rFonts w:asciiTheme="minorHAnsi" w:hAnsiTheme="minorHAnsi" w:cs="Tahoma"/>
                <w:bCs/>
                <w:color w:val="000000"/>
                <w:sz w:val="18"/>
                <w:szCs w:val="18"/>
              </w:rPr>
            </w:pPr>
            <w:r w:rsidRPr="00586C76">
              <w:rPr>
                <w:rFonts w:asciiTheme="minorHAnsi" w:hAnsiTheme="minorHAnsi"/>
                <w:bCs/>
                <w:color w:val="000000"/>
                <w:sz w:val="18"/>
                <w:szCs w:val="18"/>
              </w:rPr>
              <w:t>Iberdrola</w:t>
            </w:r>
          </w:p>
        </w:tc>
        <w:tc>
          <w:tcPr>
            <w:tcW w:w="1431"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
        </w:tc>
        <w:tc>
          <w:tcPr>
            <w:tcW w:w="1431"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
        </w:tc>
        <w:tc>
          <w:tcPr>
            <w:tcW w:w="1431"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
        </w:tc>
        <w:tc>
          <w:tcPr>
            <w:tcW w:w="1470"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
        </w:tc>
        <w:tc>
          <w:tcPr>
            <w:tcW w:w="1470"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
        </w:tc>
      </w:tr>
      <w:tr w:rsidR="007E1835" w:rsidRPr="00586C76" w:rsidTr="00586C76">
        <w:trPr>
          <w:trHeight w:val="20"/>
        </w:trPr>
        <w:tc>
          <w:tcPr>
            <w:tcW w:w="1560" w:type="dxa"/>
            <w:shd w:val="clear" w:color="auto" w:fill="auto"/>
            <w:noWrap/>
          </w:tcPr>
          <w:p w:rsidR="007E1835" w:rsidRPr="00586C76" w:rsidRDefault="007E1835" w:rsidP="00586C76">
            <w:pPr>
              <w:spacing w:before="40" w:after="40"/>
              <w:rPr>
                <w:rFonts w:asciiTheme="minorHAnsi" w:hAnsiTheme="minorHAnsi" w:cs="Tahoma"/>
                <w:bCs/>
                <w:color w:val="000000"/>
                <w:sz w:val="18"/>
                <w:szCs w:val="18"/>
              </w:rPr>
            </w:pPr>
          </w:p>
        </w:tc>
        <w:tc>
          <w:tcPr>
            <w:tcW w:w="1431"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roofErr w:type="spellStart"/>
            <w:r w:rsidRPr="00586C76">
              <w:rPr>
                <w:rFonts w:asciiTheme="minorHAnsi" w:hAnsiTheme="minorHAnsi"/>
                <w:color w:val="000000"/>
                <w:sz w:val="18"/>
                <w:szCs w:val="18"/>
              </w:rPr>
              <w:t>Mondragón</w:t>
            </w:r>
            <w:proofErr w:type="spellEnd"/>
          </w:p>
        </w:tc>
        <w:tc>
          <w:tcPr>
            <w:tcW w:w="1431"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roofErr w:type="spellStart"/>
            <w:r w:rsidRPr="00586C76">
              <w:rPr>
                <w:rFonts w:asciiTheme="minorHAnsi" w:hAnsiTheme="minorHAnsi"/>
                <w:color w:val="000000"/>
                <w:sz w:val="18"/>
                <w:szCs w:val="18"/>
              </w:rPr>
              <w:t>Mondragón</w:t>
            </w:r>
            <w:proofErr w:type="spellEnd"/>
          </w:p>
        </w:tc>
        <w:tc>
          <w:tcPr>
            <w:tcW w:w="1431"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roofErr w:type="spellStart"/>
            <w:r w:rsidRPr="00586C76">
              <w:rPr>
                <w:rFonts w:asciiTheme="minorHAnsi" w:hAnsiTheme="minorHAnsi"/>
                <w:color w:val="000000"/>
                <w:sz w:val="18"/>
                <w:szCs w:val="18"/>
              </w:rPr>
              <w:t>Mondragón</w:t>
            </w:r>
            <w:proofErr w:type="spellEnd"/>
          </w:p>
        </w:tc>
        <w:tc>
          <w:tcPr>
            <w:tcW w:w="1470"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roofErr w:type="spellStart"/>
            <w:r w:rsidRPr="00586C76">
              <w:rPr>
                <w:rFonts w:asciiTheme="minorHAnsi" w:hAnsiTheme="minorHAnsi"/>
                <w:color w:val="000000"/>
                <w:sz w:val="18"/>
                <w:szCs w:val="18"/>
              </w:rPr>
              <w:t>Mondragón</w:t>
            </w:r>
            <w:proofErr w:type="spellEnd"/>
          </w:p>
        </w:tc>
        <w:tc>
          <w:tcPr>
            <w:tcW w:w="1470"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roofErr w:type="spellStart"/>
            <w:r w:rsidRPr="00586C76">
              <w:rPr>
                <w:rFonts w:asciiTheme="minorHAnsi" w:hAnsiTheme="minorHAnsi"/>
                <w:color w:val="000000"/>
                <w:sz w:val="18"/>
                <w:szCs w:val="18"/>
              </w:rPr>
              <w:t>Mondragón</w:t>
            </w:r>
            <w:proofErr w:type="spellEnd"/>
          </w:p>
        </w:tc>
      </w:tr>
      <w:tr w:rsidR="007E1835" w:rsidRPr="00586C76" w:rsidTr="00586C76">
        <w:trPr>
          <w:trHeight w:val="20"/>
        </w:trPr>
        <w:tc>
          <w:tcPr>
            <w:tcW w:w="1560" w:type="dxa"/>
            <w:shd w:val="clear" w:color="auto" w:fill="auto"/>
            <w:noWrap/>
          </w:tcPr>
          <w:p w:rsidR="007E1835" w:rsidRPr="00586C76" w:rsidRDefault="007E1835" w:rsidP="00586C76">
            <w:pPr>
              <w:spacing w:before="40" w:after="40"/>
              <w:rPr>
                <w:rFonts w:asciiTheme="minorHAnsi" w:hAnsiTheme="minorHAnsi" w:cs="Tahoma"/>
                <w:bCs/>
                <w:color w:val="000000"/>
                <w:sz w:val="18"/>
                <w:szCs w:val="18"/>
              </w:rPr>
            </w:pPr>
          </w:p>
        </w:tc>
        <w:tc>
          <w:tcPr>
            <w:tcW w:w="1431"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roofErr w:type="spellStart"/>
            <w:r w:rsidRPr="00586C76">
              <w:rPr>
                <w:rFonts w:asciiTheme="minorHAnsi" w:hAnsiTheme="minorHAnsi"/>
                <w:color w:val="000000"/>
                <w:sz w:val="18"/>
                <w:szCs w:val="18"/>
              </w:rPr>
              <w:t>Jofemar</w:t>
            </w:r>
            <w:proofErr w:type="spellEnd"/>
          </w:p>
        </w:tc>
        <w:tc>
          <w:tcPr>
            <w:tcW w:w="1431"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roofErr w:type="spellStart"/>
            <w:r w:rsidRPr="00586C76">
              <w:rPr>
                <w:rFonts w:asciiTheme="minorHAnsi" w:hAnsiTheme="minorHAnsi"/>
                <w:color w:val="000000"/>
                <w:sz w:val="18"/>
                <w:szCs w:val="18"/>
              </w:rPr>
              <w:t>Jofemar</w:t>
            </w:r>
            <w:proofErr w:type="spellEnd"/>
          </w:p>
        </w:tc>
        <w:tc>
          <w:tcPr>
            <w:tcW w:w="1431"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roofErr w:type="spellStart"/>
            <w:r w:rsidRPr="00586C76">
              <w:rPr>
                <w:rFonts w:asciiTheme="minorHAnsi" w:hAnsiTheme="minorHAnsi"/>
                <w:color w:val="000000"/>
                <w:sz w:val="18"/>
                <w:szCs w:val="18"/>
              </w:rPr>
              <w:t>Jofemar</w:t>
            </w:r>
            <w:proofErr w:type="spellEnd"/>
          </w:p>
        </w:tc>
        <w:tc>
          <w:tcPr>
            <w:tcW w:w="1470"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roofErr w:type="spellStart"/>
            <w:r w:rsidRPr="00586C76">
              <w:rPr>
                <w:rFonts w:asciiTheme="minorHAnsi" w:hAnsiTheme="minorHAnsi"/>
                <w:color w:val="000000"/>
                <w:sz w:val="18"/>
                <w:szCs w:val="18"/>
              </w:rPr>
              <w:t>Jofemar</w:t>
            </w:r>
            <w:proofErr w:type="spellEnd"/>
          </w:p>
        </w:tc>
        <w:tc>
          <w:tcPr>
            <w:tcW w:w="1470"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
        </w:tc>
      </w:tr>
      <w:tr w:rsidR="007E1835" w:rsidRPr="00586C76" w:rsidTr="00586C76">
        <w:trPr>
          <w:trHeight w:val="20"/>
        </w:trPr>
        <w:tc>
          <w:tcPr>
            <w:tcW w:w="1560" w:type="dxa"/>
            <w:shd w:val="clear" w:color="auto" w:fill="auto"/>
            <w:noWrap/>
          </w:tcPr>
          <w:p w:rsidR="007E1835" w:rsidRPr="00586C76" w:rsidRDefault="007E1835" w:rsidP="00586C76">
            <w:pPr>
              <w:spacing w:before="40" w:after="40"/>
              <w:rPr>
                <w:rFonts w:asciiTheme="minorHAnsi" w:hAnsiTheme="minorHAnsi" w:cs="Tahoma"/>
                <w:bCs/>
                <w:color w:val="000000"/>
                <w:sz w:val="18"/>
                <w:szCs w:val="18"/>
              </w:rPr>
            </w:pPr>
          </w:p>
        </w:tc>
        <w:tc>
          <w:tcPr>
            <w:tcW w:w="1431"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r w:rsidRPr="00586C76">
              <w:rPr>
                <w:rFonts w:asciiTheme="minorHAnsi" w:hAnsiTheme="minorHAnsi"/>
                <w:color w:val="000000"/>
                <w:sz w:val="18"/>
                <w:szCs w:val="18"/>
              </w:rPr>
              <w:t>Mutua Navarra</w:t>
            </w:r>
          </w:p>
        </w:tc>
        <w:tc>
          <w:tcPr>
            <w:tcW w:w="1431"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r w:rsidRPr="00586C76">
              <w:rPr>
                <w:rFonts w:asciiTheme="minorHAnsi" w:hAnsiTheme="minorHAnsi"/>
                <w:color w:val="000000"/>
                <w:sz w:val="18"/>
                <w:szCs w:val="18"/>
              </w:rPr>
              <w:t>Mutua Navarra</w:t>
            </w:r>
          </w:p>
        </w:tc>
        <w:tc>
          <w:tcPr>
            <w:tcW w:w="1431"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r w:rsidRPr="00586C76">
              <w:rPr>
                <w:rFonts w:asciiTheme="minorHAnsi" w:hAnsiTheme="minorHAnsi"/>
                <w:color w:val="000000"/>
                <w:sz w:val="18"/>
                <w:szCs w:val="18"/>
              </w:rPr>
              <w:t>Mutua Navarra</w:t>
            </w:r>
          </w:p>
        </w:tc>
        <w:tc>
          <w:tcPr>
            <w:tcW w:w="1470"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r w:rsidRPr="00586C76">
              <w:rPr>
                <w:rFonts w:asciiTheme="minorHAnsi" w:hAnsiTheme="minorHAnsi"/>
                <w:color w:val="000000"/>
                <w:sz w:val="18"/>
                <w:szCs w:val="18"/>
              </w:rPr>
              <w:t>Mutua Navarra</w:t>
            </w:r>
          </w:p>
        </w:tc>
        <w:tc>
          <w:tcPr>
            <w:tcW w:w="1470"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r w:rsidRPr="00586C76">
              <w:rPr>
                <w:rFonts w:asciiTheme="minorHAnsi" w:hAnsiTheme="minorHAnsi"/>
                <w:color w:val="000000"/>
                <w:sz w:val="18"/>
                <w:szCs w:val="18"/>
              </w:rPr>
              <w:t>Mutua Navarra</w:t>
            </w:r>
          </w:p>
        </w:tc>
      </w:tr>
      <w:tr w:rsidR="007E1835" w:rsidRPr="00586C76" w:rsidTr="00586C76">
        <w:trPr>
          <w:trHeight w:val="20"/>
        </w:trPr>
        <w:tc>
          <w:tcPr>
            <w:tcW w:w="1560" w:type="dxa"/>
            <w:shd w:val="clear" w:color="auto" w:fill="auto"/>
            <w:noWrap/>
          </w:tcPr>
          <w:p w:rsidR="007E1835" w:rsidRPr="00586C76" w:rsidRDefault="007E1835" w:rsidP="00586C76">
            <w:pPr>
              <w:spacing w:before="40" w:after="40"/>
              <w:rPr>
                <w:rFonts w:asciiTheme="minorHAnsi" w:hAnsiTheme="minorHAnsi" w:cs="Tahoma"/>
                <w:bCs/>
                <w:color w:val="000000"/>
                <w:sz w:val="18"/>
                <w:szCs w:val="18"/>
              </w:rPr>
            </w:pPr>
          </w:p>
        </w:tc>
        <w:tc>
          <w:tcPr>
            <w:tcW w:w="1431"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
        </w:tc>
        <w:tc>
          <w:tcPr>
            <w:tcW w:w="1431"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
        </w:tc>
        <w:tc>
          <w:tcPr>
            <w:tcW w:w="1431"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roofErr w:type="spellStart"/>
            <w:r w:rsidRPr="00586C76">
              <w:rPr>
                <w:rFonts w:asciiTheme="minorHAnsi" w:hAnsiTheme="minorHAnsi"/>
                <w:color w:val="000000"/>
                <w:sz w:val="18"/>
                <w:szCs w:val="18"/>
              </w:rPr>
              <w:t>Uscal</w:t>
            </w:r>
            <w:proofErr w:type="spellEnd"/>
          </w:p>
        </w:tc>
        <w:tc>
          <w:tcPr>
            <w:tcW w:w="1470"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roofErr w:type="spellStart"/>
            <w:r w:rsidRPr="00586C76">
              <w:rPr>
                <w:rFonts w:asciiTheme="minorHAnsi" w:hAnsiTheme="minorHAnsi"/>
                <w:color w:val="000000"/>
                <w:sz w:val="18"/>
                <w:szCs w:val="18"/>
              </w:rPr>
              <w:t>Uscal</w:t>
            </w:r>
            <w:proofErr w:type="spellEnd"/>
          </w:p>
        </w:tc>
        <w:tc>
          <w:tcPr>
            <w:tcW w:w="1470"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roofErr w:type="spellStart"/>
            <w:r w:rsidRPr="00586C76">
              <w:rPr>
                <w:rFonts w:asciiTheme="minorHAnsi" w:hAnsiTheme="minorHAnsi"/>
                <w:color w:val="000000"/>
                <w:sz w:val="18"/>
                <w:szCs w:val="18"/>
              </w:rPr>
              <w:t>Uscal</w:t>
            </w:r>
            <w:proofErr w:type="spellEnd"/>
          </w:p>
        </w:tc>
      </w:tr>
      <w:tr w:rsidR="007E1835" w:rsidRPr="00586C76" w:rsidTr="00586C76">
        <w:trPr>
          <w:trHeight w:val="20"/>
        </w:trPr>
        <w:tc>
          <w:tcPr>
            <w:tcW w:w="1560" w:type="dxa"/>
            <w:shd w:val="clear" w:color="auto" w:fill="auto"/>
            <w:noWrap/>
          </w:tcPr>
          <w:p w:rsidR="007E1835" w:rsidRPr="00586C76" w:rsidRDefault="007E1835" w:rsidP="00586C76">
            <w:pPr>
              <w:spacing w:before="40" w:after="40"/>
              <w:rPr>
                <w:rFonts w:asciiTheme="minorHAnsi" w:hAnsiTheme="minorHAnsi" w:cs="Tahoma"/>
                <w:bCs/>
                <w:color w:val="000000"/>
                <w:sz w:val="18"/>
                <w:szCs w:val="18"/>
              </w:rPr>
            </w:pPr>
          </w:p>
        </w:tc>
        <w:tc>
          <w:tcPr>
            <w:tcW w:w="1431"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
        </w:tc>
        <w:tc>
          <w:tcPr>
            <w:tcW w:w="1431"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
        </w:tc>
        <w:tc>
          <w:tcPr>
            <w:tcW w:w="1431"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
        </w:tc>
        <w:tc>
          <w:tcPr>
            <w:tcW w:w="1470"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roofErr w:type="spellStart"/>
            <w:r w:rsidRPr="00586C76">
              <w:rPr>
                <w:rFonts w:asciiTheme="minorHAnsi" w:hAnsiTheme="minorHAnsi"/>
                <w:color w:val="000000"/>
                <w:sz w:val="18"/>
                <w:szCs w:val="18"/>
              </w:rPr>
              <w:t>Inycom</w:t>
            </w:r>
            <w:proofErr w:type="spellEnd"/>
          </w:p>
        </w:tc>
        <w:tc>
          <w:tcPr>
            <w:tcW w:w="1470"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roofErr w:type="spellStart"/>
            <w:r w:rsidRPr="00586C76">
              <w:rPr>
                <w:rFonts w:asciiTheme="minorHAnsi" w:hAnsiTheme="minorHAnsi"/>
                <w:color w:val="000000"/>
                <w:sz w:val="18"/>
                <w:szCs w:val="18"/>
              </w:rPr>
              <w:t>Inycom</w:t>
            </w:r>
            <w:proofErr w:type="spellEnd"/>
          </w:p>
        </w:tc>
      </w:tr>
      <w:tr w:rsidR="007E1835" w:rsidRPr="00586C76" w:rsidTr="00586C76">
        <w:trPr>
          <w:trHeight w:val="20"/>
        </w:trPr>
        <w:tc>
          <w:tcPr>
            <w:tcW w:w="1560" w:type="dxa"/>
            <w:shd w:val="clear" w:color="auto" w:fill="auto"/>
            <w:noWrap/>
          </w:tcPr>
          <w:p w:rsidR="007E1835" w:rsidRPr="00586C76" w:rsidRDefault="007E1835" w:rsidP="00586C76">
            <w:pPr>
              <w:spacing w:before="40" w:after="40"/>
              <w:rPr>
                <w:rFonts w:asciiTheme="minorHAnsi" w:hAnsiTheme="minorHAnsi" w:cs="Tahoma"/>
                <w:bCs/>
                <w:color w:val="000000"/>
                <w:sz w:val="18"/>
                <w:szCs w:val="18"/>
              </w:rPr>
            </w:pPr>
          </w:p>
        </w:tc>
        <w:tc>
          <w:tcPr>
            <w:tcW w:w="1431"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
        </w:tc>
        <w:tc>
          <w:tcPr>
            <w:tcW w:w="1431"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
        </w:tc>
        <w:tc>
          <w:tcPr>
            <w:tcW w:w="1431"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
        </w:tc>
        <w:tc>
          <w:tcPr>
            <w:tcW w:w="1470"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p>
        </w:tc>
        <w:tc>
          <w:tcPr>
            <w:tcW w:w="1470" w:type="dxa"/>
            <w:shd w:val="clear" w:color="auto" w:fill="auto"/>
            <w:noWrap/>
          </w:tcPr>
          <w:p w:rsidR="007E1835" w:rsidRPr="00586C76" w:rsidRDefault="007E1835" w:rsidP="00586C76">
            <w:pPr>
              <w:spacing w:before="40" w:after="40"/>
              <w:rPr>
                <w:rFonts w:asciiTheme="minorHAnsi" w:hAnsiTheme="minorHAnsi" w:cs="Tahoma"/>
                <w:color w:val="000000"/>
                <w:sz w:val="18"/>
                <w:szCs w:val="18"/>
              </w:rPr>
            </w:pPr>
            <w:r w:rsidRPr="00586C76">
              <w:rPr>
                <w:rFonts w:asciiTheme="minorHAnsi" w:hAnsiTheme="minorHAnsi"/>
                <w:color w:val="000000"/>
                <w:sz w:val="18"/>
                <w:szCs w:val="18"/>
              </w:rPr>
              <w:t>Zabala</w:t>
            </w:r>
          </w:p>
        </w:tc>
      </w:tr>
      <w:tr w:rsidR="007E1835" w:rsidRPr="00586C76" w:rsidTr="00586C76">
        <w:trPr>
          <w:trHeight w:val="20"/>
        </w:trPr>
        <w:tc>
          <w:tcPr>
            <w:tcW w:w="1560" w:type="dxa"/>
            <w:shd w:val="clear" w:color="auto" w:fill="auto"/>
            <w:noWrap/>
          </w:tcPr>
          <w:p w:rsidR="007E1835" w:rsidRPr="00586C76" w:rsidRDefault="007E1835" w:rsidP="00586C76">
            <w:pPr>
              <w:spacing w:before="40" w:after="40"/>
              <w:jc w:val="center"/>
              <w:rPr>
                <w:rFonts w:asciiTheme="minorHAnsi" w:hAnsiTheme="minorHAnsi" w:cs="Tahoma"/>
                <w:bCs/>
                <w:color w:val="000000"/>
                <w:sz w:val="18"/>
                <w:szCs w:val="18"/>
              </w:rPr>
            </w:pPr>
            <w:r w:rsidRPr="00586C76">
              <w:rPr>
                <w:rFonts w:asciiTheme="minorHAnsi" w:hAnsiTheme="minorHAnsi"/>
                <w:bCs/>
                <w:color w:val="000000"/>
                <w:sz w:val="18"/>
                <w:szCs w:val="18"/>
              </w:rPr>
              <w:t>6</w:t>
            </w:r>
          </w:p>
        </w:tc>
        <w:tc>
          <w:tcPr>
            <w:tcW w:w="1431" w:type="dxa"/>
            <w:shd w:val="clear" w:color="auto" w:fill="auto"/>
            <w:noWrap/>
          </w:tcPr>
          <w:p w:rsidR="007E1835" w:rsidRPr="00586C76" w:rsidRDefault="007E1835" w:rsidP="00586C76">
            <w:pPr>
              <w:spacing w:before="40" w:after="40"/>
              <w:jc w:val="center"/>
              <w:rPr>
                <w:rFonts w:asciiTheme="minorHAnsi" w:hAnsiTheme="minorHAnsi" w:cs="Tahoma"/>
                <w:color w:val="000000"/>
                <w:sz w:val="18"/>
                <w:szCs w:val="18"/>
              </w:rPr>
            </w:pPr>
            <w:r w:rsidRPr="00586C76">
              <w:rPr>
                <w:rFonts w:asciiTheme="minorHAnsi" w:hAnsiTheme="minorHAnsi"/>
                <w:color w:val="000000"/>
                <w:sz w:val="18"/>
                <w:szCs w:val="18"/>
              </w:rPr>
              <w:t>8</w:t>
            </w:r>
          </w:p>
        </w:tc>
        <w:tc>
          <w:tcPr>
            <w:tcW w:w="1431" w:type="dxa"/>
            <w:shd w:val="clear" w:color="auto" w:fill="auto"/>
            <w:noWrap/>
          </w:tcPr>
          <w:p w:rsidR="007E1835" w:rsidRPr="00586C76" w:rsidRDefault="007E1835" w:rsidP="00586C76">
            <w:pPr>
              <w:spacing w:before="40" w:after="40"/>
              <w:jc w:val="center"/>
              <w:rPr>
                <w:rFonts w:asciiTheme="minorHAnsi" w:hAnsiTheme="minorHAnsi" w:cs="Tahoma"/>
                <w:color w:val="000000"/>
                <w:sz w:val="18"/>
                <w:szCs w:val="18"/>
              </w:rPr>
            </w:pPr>
            <w:r w:rsidRPr="00586C76">
              <w:rPr>
                <w:rFonts w:asciiTheme="minorHAnsi" w:hAnsiTheme="minorHAnsi"/>
                <w:color w:val="000000"/>
                <w:sz w:val="18"/>
                <w:szCs w:val="18"/>
              </w:rPr>
              <w:t>8</w:t>
            </w:r>
          </w:p>
        </w:tc>
        <w:tc>
          <w:tcPr>
            <w:tcW w:w="1431" w:type="dxa"/>
            <w:shd w:val="clear" w:color="auto" w:fill="auto"/>
            <w:noWrap/>
          </w:tcPr>
          <w:p w:rsidR="007E1835" w:rsidRPr="00586C76" w:rsidRDefault="007E1835" w:rsidP="00586C76">
            <w:pPr>
              <w:spacing w:before="40" w:after="40"/>
              <w:jc w:val="center"/>
              <w:rPr>
                <w:rFonts w:asciiTheme="minorHAnsi" w:hAnsiTheme="minorHAnsi" w:cs="Tahoma"/>
                <w:color w:val="000000"/>
                <w:sz w:val="18"/>
                <w:szCs w:val="18"/>
              </w:rPr>
            </w:pPr>
            <w:r w:rsidRPr="00586C76">
              <w:rPr>
                <w:rFonts w:asciiTheme="minorHAnsi" w:hAnsiTheme="minorHAnsi"/>
                <w:color w:val="000000"/>
                <w:sz w:val="18"/>
                <w:szCs w:val="18"/>
              </w:rPr>
              <w:t>9</w:t>
            </w:r>
          </w:p>
        </w:tc>
        <w:tc>
          <w:tcPr>
            <w:tcW w:w="1470" w:type="dxa"/>
            <w:shd w:val="clear" w:color="auto" w:fill="auto"/>
            <w:noWrap/>
          </w:tcPr>
          <w:p w:rsidR="007E1835" w:rsidRPr="00586C76" w:rsidRDefault="007E1835" w:rsidP="00586C76">
            <w:pPr>
              <w:spacing w:before="40" w:after="40"/>
              <w:jc w:val="center"/>
              <w:rPr>
                <w:rFonts w:asciiTheme="minorHAnsi" w:hAnsiTheme="minorHAnsi" w:cs="Tahoma"/>
                <w:color w:val="000000"/>
                <w:sz w:val="18"/>
                <w:szCs w:val="18"/>
              </w:rPr>
            </w:pPr>
            <w:r w:rsidRPr="00586C76">
              <w:rPr>
                <w:rFonts w:asciiTheme="minorHAnsi" w:hAnsiTheme="minorHAnsi"/>
                <w:color w:val="000000"/>
                <w:sz w:val="18"/>
                <w:szCs w:val="18"/>
              </w:rPr>
              <w:t>10</w:t>
            </w:r>
          </w:p>
        </w:tc>
        <w:tc>
          <w:tcPr>
            <w:tcW w:w="1470" w:type="dxa"/>
            <w:shd w:val="clear" w:color="auto" w:fill="auto"/>
            <w:noWrap/>
          </w:tcPr>
          <w:p w:rsidR="007E1835" w:rsidRPr="00586C76" w:rsidRDefault="007E1835" w:rsidP="00586C76">
            <w:pPr>
              <w:spacing w:before="40" w:after="40"/>
              <w:jc w:val="center"/>
              <w:rPr>
                <w:rFonts w:asciiTheme="minorHAnsi" w:hAnsiTheme="minorHAnsi" w:cs="Tahoma"/>
                <w:color w:val="000000"/>
                <w:sz w:val="18"/>
                <w:szCs w:val="18"/>
              </w:rPr>
            </w:pPr>
            <w:r w:rsidRPr="00586C76">
              <w:rPr>
                <w:rFonts w:asciiTheme="minorHAnsi" w:hAnsiTheme="minorHAnsi"/>
                <w:color w:val="000000"/>
                <w:sz w:val="18"/>
                <w:szCs w:val="18"/>
              </w:rPr>
              <w:t>10</w:t>
            </w:r>
          </w:p>
        </w:tc>
      </w:tr>
    </w:tbl>
    <w:p w:rsidR="007E1835" w:rsidRPr="007E1835" w:rsidRDefault="007E1835" w:rsidP="007E1835">
      <w:pPr>
        <w:rPr>
          <w:rFonts w:ascii="Tahoma" w:hAnsi="Tahoma" w:cs="Tahoma"/>
          <w:b/>
          <w:sz w:val="22"/>
          <w:szCs w:val="22"/>
        </w:rPr>
      </w:pPr>
    </w:p>
    <w:p w:rsidR="00FE15B2" w:rsidRDefault="007E1835" w:rsidP="007E1835">
      <w:pPr>
        <w:spacing w:line="276" w:lineRule="auto"/>
        <w:ind w:left="708"/>
        <w:rPr>
          <w:rFonts w:ascii="Tahoma" w:hAnsi="Tahoma" w:cs="Tahoma"/>
          <w:sz w:val="22"/>
          <w:szCs w:val="22"/>
        </w:rPr>
      </w:pPr>
      <w:r>
        <w:rPr>
          <w:rFonts w:ascii="Tahoma" w:hAnsi="Tahoma"/>
          <w:sz w:val="22"/>
          <w:szCs w:val="22"/>
        </w:rPr>
        <w:t xml:space="preserve">Lehendabiziko edizioan sei enpresa pribatuk babestu zuten programa hau, </w:t>
      </w:r>
      <w:proofErr w:type="spellStart"/>
      <w:r>
        <w:rPr>
          <w:rFonts w:ascii="Tahoma" w:hAnsi="Tahoma"/>
          <w:sz w:val="22"/>
          <w:szCs w:val="22"/>
        </w:rPr>
        <w:t>CEINen</w:t>
      </w:r>
      <w:proofErr w:type="spellEnd"/>
      <w:r>
        <w:rPr>
          <w:rFonts w:ascii="Tahoma" w:hAnsi="Tahoma"/>
          <w:sz w:val="22"/>
          <w:szCs w:val="22"/>
        </w:rPr>
        <w:t xml:space="preserve"> “ekimen pilotu” gisa. Taulan ikus daitekeenez, guztiek errepikatu dute edizio guztietan, Iberdrola (eta </w:t>
      </w:r>
      <w:proofErr w:type="spellStart"/>
      <w:r>
        <w:rPr>
          <w:rFonts w:ascii="Tahoma" w:hAnsi="Tahoma"/>
          <w:sz w:val="22"/>
          <w:szCs w:val="22"/>
        </w:rPr>
        <w:t>Jofemar</w:t>
      </w:r>
      <w:proofErr w:type="spellEnd"/>
      <w:r>
        <w:rPr>
          <w:rFonts w:ascii="Tahoma" w:hAnsi="Tahoma"/>
          <w:sz w:val="22"/>
          <w:szCs w:val="22"/>
        </w:rPr>
        <w:t xml:space="preserve"> azken edizioan) izan ezin, programarekin zerikusirik ez zuten arazoengatik. Gaurko egunean hamar dira Ekintzaile-bultzada programa aldezten duten enpresak.</w:t>
      </w:r>
    </w:p>
    <w:p w:rsidR="007E1835" w:rsidRPr="007E1835" w:rsidRDefault="007E1835" w:rsidP="007E1835">
      <w:pPr>
        <w:numPr>
          <w:ilvl w:val="0"/>
          <w:numId w:val="13"/>
        </w:numPr>
        <w:spacing w:line="276" w:lineRule="auto"/>
        <w:rPr>
          <w:rFonts w:ascii="Tahoma" w:hAnsi="Tahoma" w:cs="Tahoma"/>
          <w:sz w:val="22"/>
          <w:szCs w:val="22"/>
        </w:rPr>
      </w:pPr>
      <w:r>
        <w:rPr>
          <w:rFonts w:ascii="Tahoma" w:hAnsi="Tahoma"/>
          <w:sz w:val="22"/>
          <w:szCs w:val="22"/>
        </w:rPr>
        <w:t xml:space="preserve">Azkenik, CEIN </w:t>
      </w:r>
      <w:proofErr w:type="spellStart"/>
      <w:r>
        <w:rPr>
          <w:rFonts w:ascii="Tahoma" w:hAnsi="Tahoma"/>
          <w:sz w:val="22"/>
          <w:szCs w:val="22"/>
        </w:rPr>
        <w:t>azeleratzailearen</w:t>
      </w:r>
      <w:proofErr w:type="spellEnd"/>
      <w:r>
        <w:rPr>
          <w:rFonts w:ascii="Tahoma" w:hAnsi="Tahoma"/>
          <w:sz w:val="22"/>
          <w:szCs w:val="22"/>
        </w:rPr>
        <w:t xml:space="preserve"> bezeroen jatorriari buruzko estatistikei erreparatzen badiegu (2018an eta 2019tik daramagun denbora honetan artatutako 573 proiektuei dagozkienak), ikus daiteke horietako gehienak aspaldiko bezeroen edo beste erakunde batzuen gomendioei esker heldu direla. Horrek erakusten du, beste behin ere, </w:t>
      </w:r>
      <w:proofErr w:type="spellStart"/>
      <w:r>
        <w:rPr>
          <w:rFonts w:ascii="Tahoma" w:hAnsi="Tahoma"/>
          <w:sz w:val="22"/>
          <w:szCs w:val="22"/>
        </w:rPr>
        <w:t>CEINek</w:t>
      </w:r>
      <w:proofErr w:type="spellEnd"/>
      <w:r>
        <w:rPr>
          <w:rFonts w:ascii="Tahoma" w:hAnsi="Tahoma"/>
          <w:sz w:val="22"/>
          <w:szCs w:val="22"/>
        </w:rPr>
        <w:t xml:space="preserve"> zer tratu ona ematen dien erkidegoko pertsona ekintzaileei: </w:t>
      </w:r>
    </w:p>
    <w:p w:rsidR="007E1835" w:rsidRPr="007E1835" w:rsidRDefault="007E1835" w:rsidP="007E1835">
      <w:pPr>
        <w:spacing w:line="276" w:lineRule="auto"/>
        <w:ind w:left="720"/>
        <w:rPr>
          <w:rFonts w:ascii="Tahoma" w:hAnsi="Tahoma" w:cs="Tahoma"/>
          <w:sz w:val="22"/>
          <w:szCs w:val="22"/>
        </w:rPr>
      </w:pPr>
    </w:p>
    <w:tbl>
      <w:tblPr>
        <w:tblW w:w="7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850"/>
        <w:gridCol w:w="958"/>
      </w:tblGrid>
      <w:tr w:rsidR="007E1835" w:rsidRPr="00586C76" w:rsidTr="00586C76">
        <w:trPr>
          <w:trHeight w:val="20"/>
          <w:jc w:val="center"/>
        </w:trPr>
        <w:tc>
          <w:tcPr>
            <w:tcW w:w="5387" w:type="dxa"/>
            <w:tcBorders>
              <w:top w:val="nil"/>
              <w:left w:val="nil"/>
            </w:tcBorders>
            <w:noWrap/>
            <w:tcMar>
              <w:top w:w="0" w:type="dxa"/>
              <w:left w:w="70" w:type="dxa"/>
              <w:bottom w:w="0" w:type="dxa"/>
              <w:right w:w="70" w:type="dxa"/>
            </w:tcMar>
            <w:vAlign w:val="bottom"/>
          </w:tcPr>
          <w:p w:rsidR="007E1835" w:rsidRPr="00586C76" w:rsidRDefault="007E1835" w:rsidP="00586C76">
            <w:pPr>
              <w:spacing w:before="40" w:after="40"/>
              <w:rPr>
                <w:rFonts w:asciiTheme="minorHAnsi" w:hAnsiTheme="minorHAnsi" w:cs="Tahoma"/>
                <w:sz w:val="18"/>
                <w:szCs w:val="18"/>
              </w:rPr>
            </w:pPr>
          </w:p>
        </w:tc>
        <w:tc>
          <w:tcPr>
            <w:tcW w:w="850" w:type="dxa"/>
            <w:shd w:val="clear" w:color="auto" w:fill="DDD9C3" w:themeFill="background2" w:themeFillShade="E6"/>
            <w:noWrap/>
            <w:tcMar>
              <w:top w:w="0" w:type="dxa"/>
              <w:left w:w="70" w:type="dxa"/>
              <w:bottom w:w="0" w:type="dxa"/>
              <w:right w:w="70" w:type="dxa"/>
            </w:tcMar>
            <w:vAlign w:val="bottom"/>
          </w:tcPr>
          <w:p w:rsidR="007E1835" w:rsidRPr="00586C76" w:rsidRDefault="007E1835" w:rsidP="00586C76">
            <w:pPr>
              <w:spacing w:before="40" w:after="40"/>
              <w:jc w:val="center"/>
              <w:rPr>
                <w:rFonts w:asciiTheme="minorHAnsi" w:eastAsia="Calibri" w:hAnsiTheme="minorHAnsi" w:cs="Tahoma"/>
                <w:b/>
                <w:bCs/>
                <w:color w:val="000000"/>
                <w:sz w:val="18"/>
                <w:szCs w:val="18"/>
              </w:rPr>
            </w:pPr>
            <w:r w:rsidRPr="00586C76">
              <w:rPr>
                <w:rFonts w:asciiTheme="minorHAnsi" w:hAnsiTheme="minorHAnsi"/>
                <w:b/>
                <w:bCs/>
                <w:color w:val="000000"/>
                <w:sz w:val="18"/>
                <w:szCs w:val="18"/>
              </w:rPr>
              <w:t>2018</w:t>
            </w:r>
          </w:p>
        </w:tc>
        <w:tc>
          <w:tcPr>
            <w:tcW w:w="958" w:type="dxa"/>
            <w:shd w:val="clear" w:color="auto" w:fill="DDD9C3" w:themeFill="background2" w:themeFillShade="E6"/>
            <w:noWrap/>
            <w:tcMar>
              <w:top w:w="0" w:type="dxa"/>
              <w:left w:w="70" w:type="dxa"/>
              <w:bottom w:w="0" w:type="dxa"/>
              <w:right w:w="70" w:type="dxa"/>
            </w:tcMar>
            <w:vAlign w:val="bottom"/>
          </w:tcPr>
          <w:p w:rsidR="007E1835" w:rsidRPr="00586C76" w:rsidRDefault="007E1835" w:rsidP="00586C76">
            <w:pPr>
              <w:spacing w:before="40" w:after="40"/>
              <w:jc w:val="center"/>
              <w:rPr>
                <w:rFonts w:asciiTheme="minorHAnsi" w:eastAsia="Calibri" w:hAnsiTheme="minorHAnsi" w:cs="Tahoma"/>
                <w:b/>
                <w:bCs/>
                <w:color w:val="000000"/>
                <w:sz w:val="18"/>
                <w:szCs w:val="18"/>
              </w:rPr>
            </w:pPr>
            <w:r w:rsidRPr="00586C76">
              <w:rPr>
                <w:rFonts w:asciiTheme="minorHAnsi" w:hAnsiTheme="minorHAnsi"/>
                <w:b/>
                <w:bCs/>
                <w:color w:val="000000"/>
                <w:sz w:val="18"/>
                <w:szCs w:val="18"/>
              </w:rPr>
              <w:t>2019</w:t>
            </w:r>
          </w:p>
        </w:tc>
      </w:tr>
      <w:tr w:rsidR="007E1835" w:rsidRPr="00586C76" w:rsidTr="00586C76">
        <w:trPr>
          <w:trHeight w:val="20"/>
          <w:jc w:val="center"/>
        </w:trPr>
        <w:tc>
          <w:tcPr>
            <w:tcW w:w="5387" w:type="dxa"/>
            <w:shd w:val="clear" w:color="auto" w:fill="auto"/>
            <w:noWrap/>
            <w:tcMar>
              <w:top w:w="0" w:type="dxa"/>
              <w:left w:w="70" w:type="dxa"/>
              <w:bottom w:w="0" w:type="dxa"/>
              <w:right w:w="70" w:type="dxa"/>
            </w:tcMar>
            <w:vAlign w:val="bottom"/>
          </w:tcPr>
          <w:p w:rsidR="007E1835" w:rsidRPr="00586C76" w:rsidRDefault="007E1835" w:rsidP="00586C76">
            <w:pPr>
              <w:spacing w:before="40" w:after="40"/>
              <w:rPr>
                <w:rFonts w:asciiTheme="minorHAnsi" w:eastAsia="Calibri" w:hAnsiTheme="minorHAnsi" w:cs="Tahoma"/>
                <w:bCs/>
                <w:color w:val="000000"/>
                <w:sz w:val="18"/>
                <w:szCs w:val="18"/>
              </w:rPr>
            </w:pPr>
            <w:proofErr w:type="spellStart"/>
            <w:r w:rsidRPr="00586C76">
              <w:rPr>
                <w:rFonts w:asciiTheme="minorHAnsi" w:hAnsiTheme="minorHAnsi"/>
                <w:bCs/>
                <w:color w:val="000000"/>
                <w:sz w:val="18"/>
                <w:szCs w:val="18"/>
              </w:rPr>
              <w:t>CEINen</w:t>
            </w:r>
            <w:proofErr w:type="spellEnd"/>
            <w:r w:rsidRPr="00586C76">
              <w:rPr>
                <w:rFonts w:asciiTheme="minorHAnsi" w:hAnsiTheme="minorHAnsi"/>
                <w:bCs/>
                <w:color w:val="000000"/>
                <w:sz w:val="18"/>
                <w:szCs w:val="18"/>
              </w:rPr>
              <w:t xml:space="preserve"> aspaldiko bezeroa</w:t>
            </w:r>
          </w:p>
        </w:tc>
        <w:tc>
          <w:tcPr>
            <w:tcW w:w="850" w:type="dxa"/>
            <w:noWrap/>
            <w:tcMar>
              <w:top w:w="0" w:type="dxa"/>
              <w:left w:w="70" w:type="dxa"/>
              <w:bottom w:w="0" w:type="dxa"/>
              <w:right w:w="70" w:type="dxa"/>
            </w:tcMar>
            <w:vAlign w:val="bottom"/>
          </w:tcPr>
          <w:p w:rsidR="007E1835" w:rsidRPr="00586C76" w:rsidRDefault="007E1835" w:rsidP="00586C76">
            <w:pPr>
              <w:spacing w:before="40" w:after="40"/>
              <w:jc w:val="right"/>
              <w:rPr>
                <w:rFonts w:asciiTheme="minorHAnsi" w:eastAsia="Calibri" w:hAnsiTheme="minorHAnsi" w:cs="Tahoma"/>
                <w:color w:val="000000"/>
                <w:sz w:val="18"/>
                <w:szCs w:val="18"/>
              </w:rPr>
            </w:pPr>
            <w:r w:rsidRPr="00586C76">
              <w:rPr>
                <w:rFonts w:asciiTheme="minorHAnsi" w:hAnsiTheme="minorHAnsi"/>
                <w:color w:val="000000"/>
                <w:sz w:val="18"/>
                <w:szCs w:val="18"/>
              </w:rPr>
              <w:t>% 8</w:t>
            </w:r>
          </w:p>
        </w:tc>
        <w:tc>
          <w:tcPr>
            <w:tcW w:w="958" w:type="dxa"/>
            <w:noWrap/>
            <w:tcMar>
              <w:top w:w="0" w:type="dxa"/>
              <w:left w:w="70" w:type="dxa"/>
              <w:bottom w:w="0" w:type="dxa"/>
              <w:right w:w="70" w:type="dxa"/>
            </w:tcMar>
            <w:vAlign w:val="bottom"/>
          </w:tcPr>
          <w:p w:rsidR="007E1835" w:rsidRPr="00586C76" w:rsidRDefault="007E1835" w:rsidP="00586C76">
            <w:pPr>
              <w:spacing w:before="40" w:after="40"/>
              <w:jc w:val="right"/>
              <w:rPr>
                <w:rFonts w:asciiTheme="minorHAnsi" w:eastAsia="Calibri" w:hAnsiTheme="minorHAnsi" w:cs="Tahoma"/>
                <w:color w:val="000000"/>
                <w:sz w:val="18"/>
                <w:szCs w:val="18"/>
              </w:rPr>
            </w:pPr>
            <w:r w:rsidRPr="00586C76">
              <w:rPr>
                <w:rFonts w:asciiTheme="minorHAnsi" w:hAnsiTheme="minorHAnsi"/>
                <w:color w:val="000000"/>
                <w:sz w:val="18"/>
                <w:szCs w:val="18"/>
              </w:rPr>
              <w:t>% 12</w:t>
            </w:r>
          </w:p>
        </w:tc>
      </w:tr>
      <w:tr w:rsidR="007E1835" w:rsidRPr="00586C76" w:rsidTr="00586C76">
        <w:trPr>
          <w:trHeight w:val="20"/>
          <w:jc w:val="center"/>
        </w:trPr>
        <w:tc>
          <w:tcPr>
            <w:tcW w:w="5387" w:type="dxa"/>
            <w:shd w:val="clear" w:color="auto" w:fill="auto"/>
            <w:noWrap/>
            <w:tcMar>
              <w:top w:w="0" w:type="dxa"/>
              <w:left w:w="70" w:type="dxa"/>
              <w:bottom w:w="0" w:type="dxa"/>
              <w:right w:w="70" w:type="dxa"/>
            </w:tcMar>
            <w:vAlign w:val="bottom"/>
          </w:tcPr>
          <w:p w:rsidR="007E1835" w:rsidRPr="00586C76" w:rsidRDefault="007E1835" w:rsidP="00586C76">
            <w:pPr>
              <w:spacing w:before="40" w:after="40"/>
              <w:rPr>
                <w:rFonts w:asciiTheme="minorHAnsi" w:eastAsia="Calibri" w:hAnsiTheme="minorHAnsi" w:cs="Tahoma"/>
                <w:bCs/>
                <w:color w:val="000000"/>
                <w:sz w:val="18"/>
                <w:szCs w:val="18"/>
              </w:rPr>
            </w:pPr>
            <w:r w:rsidRPr="00586C76">
              <w:rPr>
                <w:rFonts w:asciiTheme="minorHAnsi" w:hAnsiTheme="minorHAnsi"/>
                <w:bCs/>
                <w:color w:val="000000"/>
                <w:sz w:val="18"/>
                <w:szCs w:val="18"/>
              </w:rPr>
              <w:t>Beste entitate batzuetatik heldu direnak (INEM, Udala, Merkataritza Ganbera, Hirigintza, bankuak, eta abar).</w:t>
            </w:r>
          </w:p>
        </w:tc>
        <w:tc>
          <w:tcPr>
            <w:tcW w:w="850" w:type="dxa"/>
            <w:noWrap/>
            <w:tcMar>
              <w:top w:w="0" w:type="dxa"/>
              <w:left w:w="70" w:type="dxa"/>
              <w:bottom w:w="0" w:type="dxa"/>
              <w:right w:w="70" w:type="dxa"/>
            </w:tcMar>
            <w:vAlign w:val="bottom"/>
          </w:tcPr>
          <w:p w:rsidR="007E1835" w:rsidRPr="00586C76" w:rsidRDefault="007E1835" w:rsidP="00586C76">
            <w:pPr>
              <w:spacing w:before="40" w:after="40"/>
              <w:jc w:val="right"/>
              <w:rPr>
                <w:rFonts w:asciiTheme="minorHAnsi" w:eastAsia="Calibri" w:hAnsiTheme="minorHAnsi" w:cs="Tahoma"/>
                <w:color w:val="000000"/>
                <w:sz w:val="18"/>
                <w:szCs w:val="18"/>
              </w:rPr>
            </w:pPr>
            <w:r w:rsidRPr="00586C76">
              <w:rPr>
                <w:rFonts w:asciiTheme="minorHAnsi" w:hAnsiTheme="minorHAnsi"/>
                <w:color w:val="000000"/>
                <w:sz w:val="18"/>
                <w:szCs w:val="18"/>
              </w:rPr>
              <w:t>% 37</w:t>
            </w:r>
          </w:p>
        </w:tc>
        <w:tc>
          <w:tcPr>
            <w:tcW w:w="958" w:type="dxa"/>
            <w:noWrap/>
            <w:tcMar>
              <w:top w:w="0" w:type="dxa"/>
              <w:left w:w="70" w:type="dxa"/>
              <w:bottom w:w="0" w:type="dxa"/>
              <w:right w:w="70" w:type="dxa"/>
            </w:tcMar>
            <w:vAlign w:val="bottom"/>
          </w:tcPr>
          <w:p w:rsidR="007E1835" w:rsidRPr="00586C76" w:rsidRDefault="007E1835" w:rsidP="00586C76">
            <w:pPr>
              <w:spacing w:before="40" w:after="40"/>
              <w:jc w:val="right"/>
              <w:rPr>
                <w:rFonts w:asciiTheme="minorHAnsi" w:eastAsia="Calibri" w:hAnsiTheme="minorHAnsi" w:cs="Tahoma"/>
                <w:color w:val="000000"/>
                <w:sz w:val="18"/>
                <w:szCs w:val="18"/>
              </w:rPr>
            </w:pPr>
            <w:r w:rsidRPr="00586C76">
              <w:rPr>
                <w:rFonts w:asciiTheme="minorHAnsi" w:hAnsiTheme="minorHAnsi"/>
                <w:color w:val="000000"/>
                <w:sz w:val="18"/>
                <w:szCs w:val="18"/>
              </w:rPr>
              <w:t>% 38</w:t>
            </w:r>
          </w:p>
        </w:tc>
      </w:tr>
      <w:tr w:rsidR="007E1835" w:rsidRPr="00586C76" w:rsidTr="00586C76">
        <w:trPr>
          <w:trHeight w:val="20"/>
          <w:jc w:val="center"/>
        </w:trPr>
        <w:tc>
          <w:tcPr>
            <w:tcW w:w="5387" w:type="dxa"/>
            <w:shd w:val="clear" w:color="auto" w:fill="auto"/>
            <w:noWrap/>
            <w:tcMar>
              <w:top w:w="0" w:type="dxa"/>
              <w:left w:w="70" w:type="dxa"/>
              <w:bottom w:w="0" w:type="dxa"/>
              <w:right w:w="70" w:type="dxa"/>
            </w:tcMar>
            <w:vAlign w:val="bottom"/>
          </w:tcPr>
          <w:p w:rsidR="007E1835" w:rsidRPr="00586C76" w:rsidRDefault="007E1835" w:rsidP="00586C76">
            <w:pPr>
              <w:spacing w:before="40" w:after="40"/>
              <w:rPr>
                <w:rFonts w:asciiTheme="minorHAnsi" w:eastAsia="Calibri" w:hAnsiTheme="minorHAnsi" w:cs="Tahoma"/>
                <w:bCs/>
                <w:color w:val="000000"/>
                <w:sz w:val="18"/>
                <w:szCs w:val="18"/>
              </w:rPr>
            </w:pPr>
            <w:proofErr w:type="spellStart"/>
            <w:r w:rsidRPr="00586C76">
              <w:rPr>
                <w:rFonts w:asciiTheme="minorHAnsi" w:hAnsiTheme="minorHAnsi"/>
                <w:bCs/>
                <w:color w:val="000000"/>
                <w:sz w:val="18"/>
                <w:szCs w:val="18"/>
              </w:rPr>
              <w:t>CEINen</w:t>
            </w:r>
            <w:proofErr w:type="spellEnd"/>
            <w:r w:rsidRPr="00586C76">
              <w:rPr>
                <w:rFonts w:asciiTheme="minorHAnsi" w:hAnsiTheme="minorHAnsi"/>
                <w:bCs/>
                <w:color w:val="000000"/>
                <w:sz w:val="18"/>
                <w:szCs w:val="18"/>
              </w:rPr>
              <w:t xml:space="preserve"> beste programa batzuetatik heldu direnak (</w:t>
            </w:r>
            <w:proofErr w:type="spellStart"/>
            <w:r w:rsidRPr="00586C76">
              <w:rPr>
                <w:rFonts w:asciiTheme="minorHAnsi" w:hAnsiTheme="minorHAnsi"/>
                <w:bCs/>
                <w:color w:val="000000"/>
                <w:sz w:val="18"/>
                <w:szCs w:val="18"/>
              </w:rPr>
              <w:t>Luce</w:t>
            </w:r>
            <w:proofErr w:type="spellEnd"/>
            <w:r w:rsidRPr="00586C76">
              <w:rPr>
                <w:rFonts w:asciiTheme="minorHAnsi" w:hAnsiTheme="minorHAnsi"/>
                <w:bCs/>
                <w:color w:val="000000"/>
                <w:sz w:val="18"/>
                <w:szCs w:val="18"/>
              </w:rPr>
              <w:t xml:space="preserve">, Denda Naiz, </w:t>
            </w:r>
            <w:proofErr w:type="spellStart"/>
            <w:r w:rsidRPr="00586C76">
              <w:rPr>
                <w:rFonts w:asciiTheme="minorHAnsi" w:hAnsiTheme="minorHAnsi"/>
                <w:bCs/>
                <w:color w:val="000000"/>
                <w:sz w:val="18"/>
                <w:szCs w:val="18"/>
              </w:rPr>
              <w:t>Impulso</w:t>
            </w:r>
            <w:proofErr w:type="spellEnd"/>
            <w:r w:rsidRPr="00586C76">
              <w:rPr>
                <w:rFonts w:asciiTheme="minorHAnsi" w:hAnsiTheme="minorHAnsi"/>
                <w:bCs/>
                <w:color w:val="000000"/>
                <w:sz w:val="18"/>
                <w:szCs w:val="18"/>
              </w:rPr>
              <w:t xml:space="preserve">, </w:t>
            </w:r>
            <w:proofErr w:type="spellStart"/>
            <w:r w:rsidRPr="00586C76">
              <w:rPr>
                <w:rFonts w:asciiTheme="minorHAnsi" w:hAnsiTheme="minorHAnsi"/>
                <w:bCs/>
                <w:color w:val="000000"/>
                <w:sz w:val="18"/>
                <w:szCs w:val="18"/>
              </w:rPr>
              <w:t>Iníciate</w:t>
            </w:r>
            <w:proofErr w:type="spellEnd"/>
            <w:r w:rsidRPr="00586C76">
              <w:rPr>
                <w:rFonts w:asciiTheme="minorHAnsi" w:hAnsiTheme="minorHAnsi"/>
                <w:bCs/>
                <w:color w:val="000000"/>
                <w:sz w:val="18"/>
                <w:szCs w:val="18"/>
              </w:rPr>
              <w:t>, eta abar).</w:t>
            </w:r>
          </w:p>
        </w:tc>
        <w:tc>
          <w:tcPr>
            <w:tcW w:w="850" w:type="dxa"/>
            <w:noWrap/>
            <w:tcMar>
              <w:top w:w="0" w:type="dxa"/>
              <w:left w:w="70" w:type="dxa"/>
              <w:bottom w:w="0" w:type="dxa"/>
              <w:right w:w="70" w:type="dxa"/>
            </w:tcMar>
            <w:vAlign w:val="bottom"/>
          </w:tcPr>
          <w:p w:rsidR="007E1835" w:rsidRPr="00586C76" w:rsidRDefault="007E1835" w:rsidP="00586C76">
            <w:pPr>
              <w:spacing w:before="40" w:after="40"/>
              <w:jc w:val="right"/>
              <w:rPr>
                <w:rFonts w:asciiTheme="minorHAnsi" w:eastAsia="Calibri" w:hAnsiTheme="minorHAnsi" w:cs="Tahoma"/>
                <w:color w:val="000000"/>
                <w:sz w:val="18"/>
                <w:szCs w:val="18"/>
              </w:rPr>
            </w:pPr>
            <w:r w:rsidRPr="00586C76">
              <w:rPr>
                <w:rFonts w:asciiTheme="minorHAnsi" w:hAnsiTheme="minorHAnsi"/>
                <w:color w:val="000000"/>
                <w:sz w:val="18"/>
                <w:szCs w:val="18"/>
              </w:rPr>
              <w:t>% 8</w:t>
            </w:r>
          </w:p>
        </w:tc>
        <w:tc>
          <w:tcPr>
            <w:tcW w:w="958" w:type="dxa"/>
            <w:noWrap/>
            <w:tcMar>
              <w:top w:w="0" w:type="dxa"/>
              <w:left w:w="70" w:type="dxa"/>
              <w:bottom w:w="0" w:type="dxa"/>
              <w:right w:w="70" w:type="dxa"/>
            </w:tcMar>
            <w:vAlign w:val="bottom"/>
          </w:tcPr>
          <w:p w:rsidR="007E1835" w:rsidRPr="00586C76" w:rsidRDefault="007E1835" w:rsidP="00586C76">
            <w:pPr>
              <w:spacing w:before="40" w:after="40"/>
              <w:jc w:val="right"/>
              <w:rPr>
                <w:rFonts w:asciiTheme="minorHAnsi" w:eastAsia="Calibri" w:hAnsiTheme="minorHAnsi" w:cs="Tahoma"/>
                <w:color w:val="000000"/>
                <w:sz w:val="18"/>
                <w:szCs w:val="18"/>
              </w:rPr>
            </w:pPr>
            <w:r w:rsidRPr="00586C76">
              <w:rPr>
                <w:rFonts w:asciiTheme="minorHAnsi" w:hAnsiTheme="minorHAnsi"/>
                <w:color w:val="000000"/>
                <w:sz w:val="18"/>
                <w:szCs w:val="18"/>
              </w:rPr>
              <w:t>% 7</w:t>
            </w:r>
          </w:p>
        </w:tc>
      </w:tr>
      <w:tr w:rsidR="007E1835" w:rsidRPr="00586C76" w:rsidTr="00586C76">
        <w:trPr>
          <w:trHeight w:val="20"/>
          <w:jc w:val="center"/>
        </w:trPr>
        <w:tc>
          <w:tcPr>
            <w:tcW w:w="5387" w:type="dxa"/>
            <w:shd w:val="clear" w:color="auto" w:fill="auto"/>
            <w:noWrap/>
            <w:tcMar>
              <w:top w:w="0" w:type="dxa"/>
              <w:left w:w="70" w:type="dxa"/>
              <w:bottom w:w="0" w:type="dxa"/>
              <w:right w:w="70" w:type="dxa"/>
            </w:tcMar>
            <w:vAlign w:val="bottom"/>
          </w:tcPr>
          <w:p w:rsidR="007E1835" w:rsidRPr="00586C76" w:rsidRDefault="007E1835" w:rsidP="00586C76">
            <w:pPr>
              <w:spacing w:before="40" w:after="40"/>
              <w:rPr>
                <w:rFonts w:asciiTheme="minorHAnsi" w:eastAsia="Calibri" w:hAnsiTheme="minorHAnsi" w:cs="Tahoma"/>
                <w:bCs/>
                <w:color w:val="000000"/>
                <w:sz w:val="18"/>
                <w:szCs w:val="18"/>
              </w:rPr>
            </w:pPr>
            <w:r w:rsidRPr="00586C76">
              <w:rPr>
                <w:rFonts w:asciiTheme="minorHAnsi" w:hAnsiTheme="minorHAnsi"/>
                <w:bCs/>
                <w:color w:val="000000"/>
                <w:sz w:val="18"/>
                <w:szCs w:val="18"/>
              </w:rPr>
              <w:t xml:space="preserve">Navarra </w:t>
            </w:r>
            <w:proofErr w:type="spellStart"/>
            <w:r w:rsidRPr="00586C76">
              <w:rPr>
                <w:rFonts w:asciiTheme="minorHAnsi" w:hAnsiTheme="minorHAnsi"/>
                <w:bCs/>
                <w:color w:val="000000"/>
                <w:sz w:val="18"/>
                <w:szCs w:val="18"/>
              </w:rPr>
              <w:t>Emprende</w:t>
            </w:r>
            <w:proofErr w:type="spellEnd"/>
            <w:r w:rsidRPr="00586C76">
              <w:rPr>
                <w:rFonts w:asciiTheme="minorHAnsi" w:hAnsiTheme="minorHAnsi"/>
                <w:bCs/>
                <w:color w:val="000000"/>
                <w:sz w:val="18"/>
                <w:szCs w:val="18"/>
              </w:rPr>
              <w:t xml:space="preserve">, </w:t>
            </w:r>
            <w:proofErr w:type="spellStart"/>
            <w:r w:rsidRPr="00586C76">
              <w:rPr>
                <w:rFonts w:asciiTheme="minorHAnsi" w:hAnsiTheme="minorHAnsi"/>
                <w:bCs/>
                <w:color w:val="000000"/>
                <w:sz w:val="18"/>
                <w:szCs w:val="18"/>
              </w:rPr>
              <w:t>CEINen</w:t>
            </w:r>
            <w:proofErr w:type="spellEnd"/>
            <w:r w:rsidRPr="00586C76">
              <w:rPr>
                <w:rFonts w:asciiTheme="minorHAnsi" w:hAnsiTheme="minorHAnsi"/>
                <w:bCs/>
                <w:color w:val="000000"/>
                <w:sz w:val="18"/>
                <w:szCs w:val="18"/>
              </w:rPr>
              <w:t xml:space="preserve"> sare sozialak, </w:t>
            </w:r>
            <w:proofErr w:type="spellStart"/>
            <w:r w:rsidRPr="00586C76">
              <w:rPr>
                <w:rFonts w:asciiTheme="minorHAnsi" w:hAnsiTheme="minorHAnsi"/>
                <w:bCs/>
                <w:color w:val="000000"/>
                <w:sz w:val="18"/>
                <w:szCs w:val="18"/>
              </w:rPr>
              <w:t>CEINen</w:t>
            </w:r>
            <w:proofErr w:type="spellEnd"/>
            <w:r w:rsidRPr="00586C76">
              <w:rPr>
                <w:rFonts w:asciiTheme="minorHAnsi" w:hAnsiTheme="minorHAnsi"/>
                <w:bCs/>
                <w:color w:val="000000"/>
                <w:sz w:val="18"/>
                <w:szCs w:val="18"/>
              </w:rPr>
              <w:t xml:space="preserve"> webgunea</w:t>
            </w:r>
          </w:p>
        </w:tc>
        <w:tc>
          <w:tcPr>
            <w:tcW w:w="850" w:type="dxa"/>
            <w:noWrap/>
            <w:tcMar>
              <w:top w:w="0" w:type="dxa"/>
              <w:left w:w="70" w:type="dxa"/>
              <w:bottom w:w="0" w:type="dxa"/>
              <w:right w:w="70" w:type="dxa"/>
            </w:tcMar>
            <w:vAlign w:val="bottom"/>
          </w:tcPr>
          <w:p w:rsidR="007E1835" w:rsidRPr="00586C76" w:rsidRDefault="007E1835" w:rsidP="00586C76">
            <w:pPr>
              <w:spacing w:before="40" w:after="40"/>
              <w:jc w:val="right"/>
              <w:rPr>
                <w:rFonts w:asciiTheme="minorHAnsi" w:eastAsia="Calibri" w:hAnsiTheme="minorHAnsi" w:cs="Tahoma"/>
                <w:color w:val="000000"/>
                <w:sz w:val="18"/>
                <w:szCs w:val="18"/>
              </w:rPr>
            </w:pPr>
            <w:r w:rsidRPr="00586C76">
              <w:rPr>
                <w:rFonts w:asciiTheme="minorHAnsi" w:hAnsiTheme="minorHAnsi"/>
                <w:color w:val="000000"/>
                <w:sz w:val="18"/>
                <w:szCs w:val="18"/>
              </w:rPr>
              <w:t>% 17</w:t>
            </w:r>
          </w:p>
        </w:tc>
        <w:tc>
          <w:tcPr>
            <w:tcW w:w="958" w:type="dxa"/>
            <w:noWrap/>
            <w:tcMar>
              <w:top w:w="0" w:type="dxa"/>
              <w:left w:w="70" w:type="dxa"/>
              <w:bottom w:w="0" w:type="dxa"/>
              <w:right w:w="70" w:type="dxa"/>
            </w:tcMar>
            <w:vAlign w:val="bottom"/>
          </w:tcPr>
          <w:p w:rsidR="007E1835" w:rsidRPr="00586C76" w:rsidRDefault="007E1835" w:rsidP="00586C76">
            <w:pPr>
              <w:spacing w:before="40" w:after="40"/>
              <w:jc w:val="right"/>
              <w:rPr>
                <w:rFonts w:asciiTheme="minorHAnsi" w:eastAsia="Calibri" w:hAnsiTheme="minorHAnsi" w:cs="Tahoma"/>
                <w:color w:val="000000"/>
                <w:sz w:val="18"/>
                <w:szCs w:val="18"/>
              </w:rPr>
            </w:pPr>
            <w:r w:rsidRPr="00586C76">
              <w:rPr>
                <w:rFonts w:asciiTheme="minorHAnsi" w:hAnsiTheme="minorHAnsi"/>
                <w:color w:val="000000"/>
                <w:sz w:val="18"/>
                <w:szCs w:val="18"/>
              </w:rPr>
              <w:t>% 11</w:t>
            </w:r>
          </w:p>
        </w:tc>
      </w:tr>
      <w:tr w:rsidR="007E1835" w:rsidRPr="00586C76" w:rsidTr="00586C76">
        <w:trPr>
          <w:trHeight w:val="20"/>
          <w:jc w:val="center"/>
        </w:trPr>
        <w:tc>
          <w:tcPr>
            <w:tcW w:w="5387" w:type="dxa"/>
            <w:shd w:val="clear" w:color="auto" w:fill="auto"/>
            <w:noWrap/>
            <w:tcMar>
              <w:top w:w="0" w:type="dxa"/>
              <w:left w:w="70" w:type="dxa"/>
              <w:bottom w:w="0" w:type="dxa"/>
              <w:right w:w="70" w:type="dxa"/>
            </w:tcMar>
            <w:vAlign w:val="bottom"/>
          </w:tcPr>
          <w:p w:rsidR="007E1835" w:rsidRPr="00586C76" w:rsidRDefault="007E1835" w:rsidP="00586C76">
            <w:pPr>
              <w:spacing w:before="40" w:after="40"/>
              <w:rPr>
                <w:rFonts w:asciiTheme="minorHAnsi" w:eastAsia="Calibri" w:hAnsiTheme="minorHAnsi" w:cs="Tahoma"/>
                <w:bCs/>
                <w:color w:val="000000"/>
                <w:sz w:val="18"/>
                <w:szCs w:val="18"/>
              </w:rPr>
            </w:pPr>
            <w:r w:rsidRPr="00586C76">
              <w:rPr>
                <w:rFonts w:asciiTheme="minorHAnsi" w:hAnsiTheme="minorHAnsi"/>
                <w:bCs/>
                <w:color w:val="000000"/>
                <w:sz w:val="18"/>
                <w:szCs w:val="18"/>
              </w:rPr>
              <w:t>Aspaldiko bezeroen gomendioz</w:t>
            </w:r>
          </w:p>
        </w:tc>
        <w:tc>
          <w:tcPr>
            <w:tcW w:w="850" w:type="dxa"/>
            <w:noWrap/>
            <w:tcMar>
              <w:top w:w="0" w:type="dxa"/>
              <w:left w:w="70" w:type="dxa"/>
              <w:bottom w:w="0" w:type="dxa"/>
              <w:right w:w="70" w:type="dxa"/>
            </w:tcMar>
            <w:vAlign w:val="bottom"/>
          </w:tcPr>
          <w:p w:rsidR="007E1835" w:rsidRPr="00586C76" w:rsidRDefault="007E1835" w:rsidP="00586C76">
            <w:pPr>
              <w:spacing w:before="40" w:after="40"/>
              <w:jc w:val="right"/>
              <w:rPr>
                <w:rFonts w:asciiTheme="minorHAnsi" w:hAnsiTheme="minorHAnsi" w:cs="Tahoma"/>
                <w:color w:val="000000"/>
                <w:sz w:val="18"/>
                <w:szCs w:val="18"/>
              </w:rPr>
            </w:pPr>
            <w:r w:rsidRPr="00586C76">
              <w:rPr>
                <w:rFonts w:asciiTheme="minorHAnsi" w:hAnsiTheme="minorHAnsi"/>
                <w:color w:val="000000"/>
                <w:sz w:val="18"/>
                <w:szCs w:val="18"/>
              </w:rPr>
              <w:t>% 29</w:t>
            </w:r>
          </w:p>
        </w:tc>
        <w:tc>
          <w:tcPr>
            <w:tcW w:w="958" w:type="dxa"/>
            <w:noWrap/>
            <w:tcMar>
              <w:top w:w="0" w:type="dxa"/>
              <w:left w:w="70" w:type="dxa"/>
              <w:bottom w:w="0" w:type="dxa"/>
              <w:right w:w="70" w:type="dxa"/>
            </w:tcMar>
            <w:vAlign w:val="bottom"/>
          </w:tcPr>
          <w:p w:rsidR="007E1835" w:rsidRPr="00586C76" w:rsidRDefault="007E1835" w:rsidP="00586C76">
            <w:pPr>
              <w:spacing w:before="40" w:after="40"/>
              <w:jc w:val="right"/>
              <w:rPr>
                <w:rFonts w:asciiTheme="minorHAnsi" w:eastAsia="Calibri" w:hAnsiTheme="minorHAnsi" w:cs="Tahoma"/>
                <w:color w:val="000000"/>
                <w:sz w:val="18"/>
                <w:szCs w:val="18"/>
              </w:rPr>
            </w:pPr>
            <w:r w:rsidRPr="00586C76">
              <w:rPr>
                <w:rFonts w:asciiTheme="minorHAnsi" w:hAnsiTheme="minorHAnsi"/>
                <w:color w:val="000000"/>
                <w:sz w:val="18"/>
                <w:szCs w:val="18"/>
              </w:rPr>
              <w:t>% 31</w:t>
            </w:r>
          </w:p>
        </w:tc>
      </w:tr>
    </w:tbl>
    <w:p w:rsidR="00FE15B2" w:rsidRDefault="00FE15B2" w:rsidP="007E1835">
      <w:pPr>
        <w:rPr>
          <w:rFonts w:ascii="Tahoma" w:hAnsi="Tahoma" w:cs="Tahoma"/>
          <w:sz w:val="22"/>
          <w:szCs w:val="22"/>
        </w:rPr>
      </w:pPr>
    </w:p>
    <w:p w:rsidR="00FE15B2" w:rsidRDefault="007E1835" w:rsidP="007E1835">
      <w:pPr>
        <w:spacing w:line="276" w:lineRule="auto"/>
        <w:rPr>
          <w:rFonts w:ascii="Tahoma" w:hAnsi="Tahoma" w:cs="Tahoma"/>
          <w:sz w:val="22"/>
          <w:szCs w:val="22"/>
        </w:rPr>
      </w:pPr>
      <w:proofErr w:type="spellStart"/>
      <w:r>
        <w:rPr>
          <w:rFonts w:ascii="Tahoma" w:hAnsi="Tahoma"/>
          <w:sz w:val="22"/>
          <w:szCs w:val="22"/>
        </w:rPr>
        <w:t>CEINek</w:t>
      </w:r>
      <w:proofErr w:type="spellEnd"/>
      <w:r>
        <w:rPr>
          <w:rFonts w:ascii="Tahoma" w:hAnsi="Tahoma"/>
          <w:sz w:val="22"/>
          <w:szCs w:val="22"/>
        </w:rPr>
        <w:t xml:space="preserve"> ekimenak jasotzen ditu, aholku ematen du eta tutoretza egiten du; </w:t>
      </w:r>
      <w:proofErr w:type="spellStart"/>
      <w:r>
        <w:rPr>
          <w:rFonts w:ascii="Tahoma" w:hAnsi="Tahoma"/>
          <w:sz w:val="22"/>
          <w:szCs w:val="22"/>
        </w:rPr>
        <w:t>SODENAk</w:t>
      </w:r>
      <w:proofErr w:type="spellEnd"/>
      <w:r>
        <w:rPr>
          <w:rFonts w:ascii="Tahoma" w:hAnsi="Tahoma"/>
          <w:sz w:val="22"/>
          <w:szCs w:val="22"/>
        </w:rPr>
        <w:t xml:space="preserve">, berriz, horien finantzaketarako aukerak ebaluatzen ditu. </w:t>
      </w:r>
      <w:proofErr w:type="spellStart"/>
      <w:r>
        <w:rPr>
          <w:rFonts w:ascii="Tahoma" w:hAnsi="Tahoma"/>
          <w:sz w:val="22"/>
          <w:szCs w:val="22"/>
        </w:rPr>
        <w:t>SODENAko</w:t>
      </w:r>
      <w:proofErr w:type="spellEnd"/>
      <w:r>
        <w:rPr>
          <w:rFonts w:ascii="Tahoma" w:hAnsi="Tahoma"/>
          <w:sz w:val="22"/>
          <w:szCs w:val="22"/>
        </w:rPr>
        <w:t xml:space="preserve"> CAPITAL </w:t>
      </w:r>
      <w:proofErr w:type="spellStart"/>
      <w:r>
        <w:rPr>
          <w:rFonts w:ascii="Tahoma" w:hAnsi="Tahoma"/>
          <w:sz w:val="22"/>
          <w:szCs w:val="22"/>
        </w:rPr>
        <w:t>SEMILLAko</w:t>
      </w:r>
      <w:proofErr w:type="spellEnd"/>
      <w:r>
        <w:rPr>
          <w:rFonts w:ascii="Tahoma" w:hAnsi="Tahoma"/>
          <w:sz w:val="22"/>
          <w:szCs w:val="22"/>
        </w:rPr>
        <w:t xml:space="preserve"> arloak (</w:t>
      </w:r>
      <w:proofErr w:type="spellStart"/>
      <w:r>
        <w:rPr>
          <w:rFonts w:ascii="Tahoma" w:hAnsi="Tahoma"/>
          <w:sz w:val="22"/>
          <w:szCs w:val="22"/>
        </w:rPr>
        <w:t>Start</w:t>
      </w:r>
      <w:proofErr w:type="spellEnd"/>
      <w:r>
        <w:rPr>
          <w:rFonts w:ascii="Tahoma" w:hAnsi="Tahoma"/>
          <w:sz w:val="22"/>
          <w:szCs w:val="22"/>
        </w:rPr>
        <w:t xml:space="preserve"> </w:t>
      </w:r>
      <w:proofErr w:type="spellStart"/>
      <w:r>
        <w:rPr>
          <w:rFonts w:ascii="Tahoma" w:hAnsi="Tahoma"/>
          <w:sz w:val="22"/>
          <w:szCs w:val="22"/>
        </w:rPr>
        <w:t>up</w:t>
      </w:r>
      <w:proofErr w:type="spellEnd"/>
      <w:r>
        <w:rPr>
          <w:rFonts w:ascii="Tahoma" w:hAnsi="Tahoma"/>
          <w:sz w:val="22"/>
          <w:szCs w:val="22"/>
        </w:rPr>
        <w:t>, SSU) bere helburuen artean dauka, arrisku-kapitalaren tresna erabiliz, bere beharrizanen arabera finantzatzea enpresa-proiektuak, garapen-fasea eta tipologia.</w:t>
      </w:r>
    </w:p>
    <w:p w:rsidR="00FE15B2" w:rsidRDefault="007E1835" w:rsidP="007E1835">
      <w:pPr>
        <w:spacing w:line="276" w:lineRule="auto"/>
        <w:rPr>
          <w:rFonts w:ascii="Tahoma" w:hAnsi="Tahoma" w:cs="Tahoma"/>
          <w:sz w:val="22"/>
          <w:szCs w:val="22"/>
        </w:rPr>
      </w:pPr>
      <w:proofErr w:type="spellStart"/>
      <w:r>
        <w:rPr>
          <w:rFonts w:ascii="Tahoma" w:hAnsi="Tahoma"/>
          <w:sz w:val="22"/>
          <w:szCs w:val="22"/>
        </w:rPr>
        <w:t>SODENAk</w:t>
      </w:r>
      <w:proofErr w:type="spellEnd"/>
      <w:r>
        <w:rPr>
          <w:rFonts w:ascii="Tahoma" w:hAnsi="Tahoma"/>
          <w:sz w:val="22"/>
          <w:szCs w:val="22"/>
        </w:rPr>
        <w:t xml:space="preserve"> proiektu bat detektatzen duenean edo sustatzaile batek </w:t>
      </w:r>
      <w:proofErr w:type="spellStart"/>
      <w:r>
        <w:rPr>
          <w:rFonts w:ascii="Tahoma" w:hAnsi="Tahoma"/>
          <w:sz w:val="22"/>
          <w:szCs w:val="22"/>
        </w:rPr>
        <w:t>SODENAra</w:t>
      </w:r>
      <w:proofErr w:type="spellEnd"/>
      <w:r>
        <w:rPr>
          <w:rFonts w:ascii="Tahoma" w:hAnsi="Tahoma"/>
          <w:sz w:val="22"/>
          <w:szCs w:val="22"/>
        </w:rPr>
        <w:t xml:space="preserve"> jotzen duenean, CAPITAL </w:t>
      </w:r>
      <w:proofErr w:type="spellStart"/>
      <w:r>
        <w:rPr>
          <w:rFonts w:ascii="Tahoma" w:hAnsi="Tahoma"/>
          <w:sz w:val="22"/>
          <w:szCs w:val="22"/>
        </w:rPr>
        <w:t>SEMILLAko</w:t>
      </w:r>
      <w:proofErr w:type="spellEnd"/>
      <w:r>
        <w:rPr>
          <w:rFonts w:ascii="Tahoma" w:hAnsi="Tahoma"/>
          <w:sz w:val="22"/>
          <w:szCs w:val="22"/>
        </w:rPr>
        <w:t xml:space="preserve"> arloari egokitzen baldin bazaio, sustatzaileek emandako informazioaren lehen analisi bat egiten da eta hasierako bilera bat egiten da. Lehen harreman horren ostean erabakitzen da ea proiektua arloari egokitzen zaion ala beste arlo bati dagokion edo </w:t>
      </w:r>
      <w:proofErr w:type="spellStart"/>
      <w:r>
        <w:rPr>
          <w:rFonts w:ascii="Tahoma" w:hAnsi="Tahoma"/>
          <w:sz w:val="22"/>
          <w:szCs w:val="22"/>
        </w:rPr>
        <w:t>SODENAren</w:t>
      </w:r>
      <w:proofErr w:type="spellEnd"/>
      <w:r>
        <w:rPr>
          <w:rFonts w:ascii="Tahoma" w:hAnsi="Tahoma"/>
          <w:sz w:val="22"/>
          <w:szCs w:val="22"/>
        </w:rPr>
        <w:t xml:space="preserve"> esparruko beste entitate batzuei pasatzen zaien, bere beharrizanei aurre egiteko egokiagoak direlako.</w:t>
      </w:r>
    </w:p>
    <w:p w:rsidR="00FE15B2" w:rsidRDefault="007E1835" w:rsidP="007E1835">
      <w:pPr>
        <w:spacing w:line="276" w:lineRule="auto"/>
        <w:rPr>
          <w:rFonts w:ascii="Tahoma" w:hAnsi="Tahoma" w:cs="Tahoma"/>
          <w:sz w:val="22"/>
          <w:szCs w:val="22"/>
        </w:rPr>
      </w:pPr>
      <w:r>
        <w:rPr>
          <w:rFonts w:ascii="Tahoma" w:hAnsi="Tahoma"/>
          <w:sz w:val="22"/>
          <w:szCs w:val="22"/>
        </w:rPr>
        <w:t xml:space="preserve">Proiektuaren negozio-planetik abiatuta egiaztatzen da ea </w:t>
      </w:r>
      <w:proofErr w:type="spellStart"/>
      <w:r>
        <w:rPr>
          <w:rFonts w:ascii="Tahoma" w:hAnsi="Tahoma"/>
          <w:sz w:val="22"/>
          <w:szCs w:val="22"/>
        </w:rPr>
        <w:t>exigitutako</w:t>
      </w:r>
      <w:proofErr w:type="spellEnd"/>
      <w:r>
        <w:rPr>
          <w:rFonts w:ascii="Tahoma" w:hAnsi="Tahoma"/>
          <w:sz w:val="22"/>
          <w:szCs w:val="22"/>
        </w:rPr>
        <w:t xml:space="preserve"> baldintzak betetzen dituen (kokapena, sustatzaileak, zuzendaritza-taldea, langileen bilakaera, proiektua eta inbertsio partekatua). Irizpide horiek betetzen baldin badira, laburpen-agiria taxutzen da, honako hauek eztabaidatu dezaten:</w:t>
      </w:r>
    </w:p>
    <w:p w:rsidR="007E1835" w:rsidRPr="007E1835" w:rsidRDefault="007E1835" w:rsidP="007E1835">
      <w:pPr>
        <w:pStyle w:val="Prrafodelista"/>
        <w:numPr>
          <w:ilvl w:val="0"/>
          <w:numId w:val="19"/>
        </w:numPr>
        <w:jc w:val="both"/>
        <w:rPr>
          <w:rFonts w:ascii="Tahoma" w:eastAsia="Times New Roman" w:hAnsi="Tahoma" w:cs="Tahoma"/>
        </w:rPr>
      </w:pPr>
      <w:r>
        <w:rPr>
          <w:rFonts w:ascii="Tahoma" w:hAnsi="Tahoma"/>
        </w:rPr>
        <w:t xml:space="preserve">partaidetza-maileguen kasuan, </w:t>
      </w:r>
      <w:proofErr w:type="spellStart"/>
      <w:r>
        <w:rPr>
          <w:rFonts w:ascii="Tahoma" w:hAnsi="Tahoma"/>
        </w:rPr>
        <w:t>SODENAko</w:t>
      </w:r>
      <w:proofErr w:type="spellEnd"/>
      <w:r>
        <w:rPr>
          <w:rFonts w:ascii="Tahoma" w:hAnsi="Tahoma"/>
        </w:rPr>
        <w:t xml:space="preserve"> zuzendaritza-komiteak, zeinak </w:t>
      </w:r>
      <w:proofErr w:type="spellStart"/>
      <w:r>
        <w:rPr>
          <w:rFonts w:ascii="Tahoma" w:hAnsi="Tahoma"/>
        </w:rPr>
        <w:t>SODENAko</w:t>
      </w:r>
      <w:proofErr w:type="spellEnd"/>
      <w:r>
        <w:rPr>
          <w:rFonts w:ascii="Tahoma" w:hAnsi="Tahoma"/>
        </w:rPr>
        <w:t xml:space="preserve"> administrazio kontseiluari emanen baitio informazioa.</w:t>
      </w:r>
    </w:p>
    <w:p w:rsidR="007E1835" w:rsidRPr="007E1835" w:rsidRDefault="007E1835" w:rsidP="007E1835">
      <w:pPr>
        <w:pStyle w:val="Prrafodelista"/>
        <w:numPr>
          <w:ilvl w:val="0"/>
          <w:numId w:val="16"/>
        </w:numPr>
        <w:jc w:val="both"/>
        <w:rPr>
          <w:rFonts w:ascii="Tahoma" w:eastAsia="Times New Roman" w:hAnsi="Tahoma" w:cs="Tahoma"/>
        </w:rPr>
      </w:pPr>
      <w:proofErr w:type="spellStart"/>
      <w:r>
        <w:rPr>
          <w:rFonts w:ascii="Tahoma" w:hAnsi="Tahoma"/>
        </w:rPr>
        <w:t>Start</w:t>
      </w:r>
      <w:proofErr w:type="spellEnd"/>
      <w:r>
        <w:rPr>
          <w:rFonts w:ascii="Tahoma" w:hAnsi="Tahoma"/>
        </w:rPr>
        <w:t xml:space="preserve"> </w:t>
      </w:r>
      <w:proofErr w:type="spellStart"/>
      <w:r>
        <w:rPr>
          <w:rFonts w:ascii="Tahoma" w:hAnsi="Tahoma"/>
        </w:rPr>
        <w:t>up-en</w:t>
      </w:r>
      <w:proofErr w:type="spellEnd"/>
      <w:r>
        <w:rPr>
          <w:rFonts w:ascii="Tahoma" w:hAnsi="Tahoma"/>
        </w:rPr>
        <w:t xml:space="preserve"> kasuan, </w:t>
      </w:r>
      <w:proofErr w:type="spellStart"/>
      <w:r>
        <w:rPr>
          <w:rFonts w:ascii="Tahoma" w:hAnsi="Tahoma"/>
        </w:rPr>
        <w:t>Start</w:t>
      </w:r>
      <w:proofErr w:type="spellEnd"/>
      <w:r>
        <w:rPr>
          <w:rFonts w:ascii="Tahoma" w:hAnsi="Tahoma"/>
        </w:rPr>
        <w:t xml:space="preserve"> </w:t>
      </w:r>
      <w:proofErr w:type="spellStart"/>
      <w:r>
        <w:rPr>
          <w:rFonts w:ascii="Tahoma" w:hAnsi="Tahoma"/>
        </w:rPr>
        <w:t>Up-en</w:t>
      </w:r>
      <w:proofErr w:type="spellEnd"/>
      <w:r>
        <w:rPr>
          <w:rFonts w:ascii="Tahoma" w:hAnsi="Tahoma"/>
        </w:rPr>
        <w:t xml:space="preserve"> inbertsio komiteak eta administrazio kontseiluak; kapital-partaidetzen kasuan, berriz, </w:t>
      </w:r>
      <w:proofErr w:type="spellStart"/>
      <w:r>
        <w:rPr>
          <w:rFonts w:ascii="Tahoma" w:hAnsi="Tahoma"/>
        </w:rPr>
        <w:t>SODENAko</w:t>
      </w:r>
      <w:proofErr w:type="spellEnd"/>
      <w:r>
        <w:rPr>
          <w:rFonts w:ascii="Tahoma" w:hAnsi="Tahoma"/>
        </w:rPr>
        <w:t xml:space="preserve"> administrazio kontseiluak.</w:t>
      </w:r>
    </w:p>
    <w:p w:rsidR="00FE15B2" w:rsidRDefault="007E1835" w:rsidP="007E1835">
      <w:pPr>
        <w:spacing w:line="276" w:lineRule="auto"/>
        <w:rPr>
          <w:rFonts w:ascii="Tahoma" w:hAnsi="Tahoma" w:cs="Tahoma"/>
          <w:sz w:val="22"/>
          <w:szCs w:val="22"/>
        </w:rPr>
      </w:pPr>
      <w:r>
        <w:rPr>
          <w:rFonts w:ascii="Tahoma" w:hAnsi="Tahoma"/>
          <w:sz w:val="22"/>
          <w:szCs w:val="22"/>
        </w:rPr>
        <w:t>Organo horiek onesten dute inbertsioa, edo inbertsioa onesteko bete beharko liratekeen gomendioak adierazten dituzte. Informazio hori sustatzaileei ematen zaie, eta aldeek notarioaren aitzinean sinatu beharreko dokumentuen negoziazio eta akordio prozesua abiarazten da (partaidetza-mailegua, bazkideen arteko ituna...).</w:t>
      </w:r>
    </w:p>
    <w:p w:rsidR="00FE15B2" w:rsidRDefault="00181A3C" w:rsidP="00181A3C">
      <w:pPr>
        <w:spacing w:line="276" w:lineRule="auto"/>
        <w:rPr>
          <w:rFonts w:ascii="Tahoma" w:hAnsi="Tahoma" w:cs="Tahoma"/>
          <w:sz w:val="22"/>
          <w:szCs w:val="22"/>
        </w:rPr>
      </w:pPr>
      <w:r>
        <w:rPr>
          <w:rFonts w:ascii="Tahoma" w:hAnsi="Tahoma"/>
          <w:sz w:val="22"/>
          <w:szCs w:val="22"/>
        </w:rPr>
        <w:t xml:space="preserve">Halaber, </w:t>
      </w:r>
      <w:proofErr w:type="spellStart"/>
      <w:r>
        <w:rPr>
          <w:rFonts w:ascii="Tahoma" w:hAnsi="Tahoma"/>
          <w:sz w:val="22"/>
          <w:szCs w:val="22"/>
        </w:rPr>
        <w:t>SODENAren</w:t>
      </w:r>
      <w:proofErr w:type="spellEnd"/>
      <w:r>
        <w:rPr>
          <w:rFonts w:ascii="Tahoma" w:hAnsi="Tahoma"/>
          <w:sz w:val="22"/>
          <w:szCs w:val="22"/>
        </w:rPr>
        <w:t xml:space="preserve"> bidez lankidetza-hitzarmenak egiten dira ELKARGI eta SONAGAR elkar bermatzeko sozietateekin, ekintzaileen nahiz enpresa txiki eta ertainen eta </w:t>
      </w:r>
      <w:proofErr w:type="spellStart"/>
      <w:r>
        <w:rPr>
          <w:rFonts w:ascii="Tahoma" w:hAnsi="Tahoma"/>
          <w:sz w:val="22"/>
          <w:szCs w:val="22"/>
        </w:rPr>
        <w:t>mikroenpresen</w:t>
      </w:r>
      <w:proofErr w:type="spellEnd"/>
      <w:r>
        <w:rPr>
          <w:rFonts w:ascii="Tahoma" w:hAnsi="Tahoma"/>
          <w:sz w:val="22"/>
          <w:szCs w:val="22"/>
        </w:rPr>
        <w:t xml:space="preserve"> finantzazioa aldezteko. Hitzarmen horien babesean, 598 operazio sinatu dira 2016an abiatu zenetik 2018ra bitarte, guztira ehun milioi euro baino gehiago egiten dutenak. </w:t>
      </w:r>
    </w:p>
    <w:p w:rsidR="00FE15B2" w:rsidRDefault="007E1835" w:rsidP="007E1835">
      <w:pPr>
        <w:rPr>
          <w:rFonts w:ascii="Tahoma" w:hAnsi="Tahoma" w:cs="Tahoma"/>
          <w:sz w:val="22"/>
          <w:szCs w:val="22"/>
        </w:rPr>
      </w:pPr>
      <w:r>
        <w:rPr>
          <w:rFonts w:ascii="Tahoma" w:hAnsi="Tahoma"/>
          <w:sz w:val="22"/>
          <w:szCs w:val="22"/>
        </w:rPr>
        <w:t xml:space="preserve">Nekazaritzako elikagaien arloko </w:t>
      </w:r>
      <w:proofErr w:type="spellStart"/>
      <w:r>
        <w:rPr>
          <w:rFonts w:ascii="Tahoma" w:hAnsi="Tahoma"/>
          <w:sz w:val="22"/>
          <w:szCs w:val="22"/>
        </w:rPr>
        <w:t>Orizon</w:t>
      </w:r>
      <w:proofErr w:type="spellEnd"/>
      <w:r>
        <w:rPr>
          <w:rFonts w:ascii="Tahoma" w:hAnsi="Tahoma"/>
          <w:sz w:val="22"/>
          <w:szCs w:val="22"/>
        </w:rPr>
        <w:t xml:space="preserve"> </w:t>
      </w:r>
      <w:proofErr w:type="spellStart"/>
      <w:r>
        <w:rPr>
          <w:rFonts w:ascii="Tahoma" w:hAnsi="Tahoma"/>
          <w:sz w:val="22"/>
          <w:szCs w:val="22"/>
        </w:rPr>
        <w:t>azeleratzailearen</w:t>
      </w:r>
      <w:proofErr w:type="spellEnd"/>
      <w:r>
        <w:rPr>
          <w:rFonts w:ascii="Tahoma" w:hAnsi="Tahoma"/>
          <w:sz w:val="22"/>
          <w:szCs w:val="22"/>
        </w:rPr>
        <w:t xml:space="preserve"> kasuan, jaso diren hamabost proiekturik onenak hautatzen ditu </w:t>
      </w:r>
      <w:proofErr w:type="spellStart"/>
      <w:r>
        <w:rPr>
          <w:rFonts w:ascii="Tahoma" w:hAnsi="Tahoma"/>
          <w:sz w:val="22"/>
          <w:szCs w:val="22"/>
        </w:rPr>
        <w:t>SODENAko</w:t>
      </w:r>
      <w:proofErr w:type="spellEnd"/>
      <w:r>
        <w:rPr>
          <w:rFonts w:ascii="Tahoma" w:hAnsi="Tahoma"/>
          <w:sz w:val="22"/>
          <w:szCs w:val="22"/>
        </w:rPr>
        <w:t xml:space="preserve"> eta </w:t>
      </w:r>
      <w:proofErr w:type="spellStart"/>
      <w:r>
        <w:rPr>
          <w:rFonts w:ascii="Tahoma" w:hAnsi="Tahoma"/>
          <w:sz w:val="22"/>
          <w:szCs w:val="22"/>
        </w:rPr>
        <w:t>CEINeko</w:t>
      </w:r>
      <w:proofErr w:type="spellEnd"/>
      <w:r>
        <w:rPr>
          <w:rFonts w:ascii="Tahoma" w:hAnsi="Tahoma"/>
          <w:sz w:val="22"/>
          <w:szCs w:val="22"/>
        </w:rPr>
        <w:t xml:space="preserve"> langileek osatutako batzorde misto batek, berariazko ebaluazio-irizpide hauei jarraiki: </w:t>
      </w:r>
    </w:p>
    <w:p w:rsidR="007E1835" w:rsidRPr="007E1835" w:rsidRDefault="007E1835" w:rsidP="007E1835">
      <w:pPr>
        <w:pStyle w:val="Prrafodelista"/>
        <w:numPr>
          <w:ilvl w:val="0"/>
          <w:numId w:val="18"/>
        </w:numPr>
        <w:jc w:val="both"/>
        <w:rPr>
          <w:rFonts w:ascii="Tahoma" w:eastAsia="Times New Roman" w:hAnsi="Tahoma" w:cs="Tahoma"/>
        </w:rPr>
      </w:pPr>
      <w:r>
        <w:rPr>
          <w:rFonts w:ascii="Tahoma" w:hAnsi="Tahoma"/>
        </w:rPr>
        <w:t>Ekipoa (% 30)</w:t>
      </w:r>
    </w:p>
    <w:p w:rsidR="007E1835" w:rsidRPr="007E1835" w:rsidRDefault="007E1835" w:rsidP="007E1835">
      <w:pPr>
        <w:pStyle w:val="Prrafodelista"/>
        <w:numPr>
          <w:ilvl w:val="0"/>
          <w:numId w:val="18"/>
        </w:numPr>
        <w:jc w:val="both"/>
        <w:rPr>
          <w:rFonts w:ascii="Tahoma" w:eastAsia="Times New Roman" w:hAnsi="Tahoma" w:cs="Tahoma"/>
        </w:rPr>
      </w:pPr>
      <w:r>
        <w:rPr>
          <w:rFonts w:ascii="Tahoma" w:hAnsi="Tahoma"/>
        </w:rPr>
        <w:t>Produktua edo zerbitzua (% 20)</w:t>
      </w:r>
    </w:p>
    <w:p w:rsidR="007E1835" w:rsidRPr="007E1835" w:rsidRDefault="007E1835" w:rsidP="007E1835">
      <w:pPr>
        <w:pStyle w:val="Prrafodelista"/>
        <w:numPr>
          <w:ilvl w:val="0"/>
          <w:numId w:val="18"/>
        </w:numPr>
        <w:jc w:val="both"/>
        <w:rPr>
          <w:rFonts w:ascii="Tahoma" w:eastAsia="Times New Roman" w:hAnsi="Tahoma" w:cs="Tahoma"/>
        </w:rPr>
      </w:pPr>
      <w:r>
        <w:rPr>
          <w:rFonts w:ascii="Tahoma" w:hAnsi="Tahoma"/>
        </w:rPr>
        <w:t>Merkatua (% 20)</w:t>
      </w:r>
    </w:p>
    <w:p w:rsidR="007E1835" w:rsidRPr="007E1835" w:rsidRDefault="007E1835" w:rsidP="007E1835">
      <w:pPr>
        <w:pStyle w:val="Prrafodelista"/>
        <w:numPr>
          <w:ilvl w:val="0"/>
          <w:numId w:val="18"/>
        </w:numPr>
        <w:jc w:val="both"/>
        <w:rPr>
          <w:rFonts w:ascii="Tahoma" w:eastAsia="Times New Roman" w:hAnsi="Tahoma" w:cs="Tahoma"/>
        </w:rPr>
      </w:pPr>
      <w:r>
        <w:rPr>
          <w:rFonts w:ascii="Tahoma" w:hAnsi="Tahoma"/>
        </w:rPr>
        <w:t>Enplegua (% 10)</w:t>
      </w:r>
    </w:p>
    <w:p w:rsidR="007E1835" w:rsidRPr="007E1835" w:rsidRDefault="007E1835" w:rsidP="007E1835">
      <w:pPr>
        <w:pStyle w:val="Prrafodelista"/>
        <w:numPr>
          <w:ilvl w:val="0"/>
          <w:numId w:val="18"/>
        </w:numPr>
        <w:jc w:val="both"/>
        <w:rPr>
          <w:rFonts w:ascii="Tahoma" w:eastAsia="Times New Roman" w:hAnsi="Tahoma" w:cs="Tahoma"/>
        </w:rPr>
      </w:pPr>
      <w:r>
        <w:rPr>
          <w:rFonts w:ascii="Tahoma" w:hAnsi="Tahoma"/>
        </w:rPr>
        <w:t>Kokapena (% 5)</w:t>
      </w:r>
    </w:p>
    <w:p w:rsidR="007E1835" w:rsidRPr="007E1835" w:rsidRDefault="007E1835" w:rsidP="007E1835">
      <w:pPr>
        <w:pStyle w:val="Prrafodelista"/>
        <w:numPr>
          <w:ilvl w:val="0"/>
          <w:numId w:val="18"/>
        </w:numPr>
        <w:jc w:val="both"/>
        <w:rPr>
          <w:rFonts w:ascii="Tahoma" w:eastAsia="Times New Roman" w:hAnsi="Tahoma" w:cs="Tahoma"/>
        </w:rPr>
      </w:pPr>
      <w:r>
        <w:rPr>
          <w:rFonts w:ascii="Tahoma" w:hAnsi="Tahoma"/>
        </w:rPr>
        <w:t>Finantzak (% 5)</w:t>
      </w:r>
    </w:p>
    <w:p w:rsidR="007E1835" w:rsidRPr="007E1835" w:rsidRDefault="007E1835" w:rsidP="007E1835">
      <w:pPr>
        <w:pStyle w:val="Prrafodelista"/>
        <w:numPr>
          <w:ilvl w:val="0"/>
          <w:numId w:val="18"/>
        </w:numPr>
        <w:jc w:val="both"/>
        <w:rPr>
          <w:rFonts w:ascii="Tahoma" w:eastAsia="Times New Roman" w:hAnsi="Tahoma" w:cs="Tahoma"/>
        </w:rPr>
      </w:pPr>
      <w:proofErr w:type="spellStart"/>
      <w:r>
        <w:rPr>
          <w:rFonts w:ascii="Tahoma" w:hAnsi="Tahoma"/>
        </w:rPr>
        <w:t>Hazgarritasuna</w:t>
      </w:r>
      <w:proofErr w:type="spellEnd"/>
      <w:r>
        <w:rPr>
          <w:rFonts w:ascii="Tahoma" w:hAnsi="Tahoma"/>
        </w:rPr>
        <w:t xml:space="preserve"> (% 5)</w:t>
      </w:r>
    </w:p>
    <w:p w:rsidR="007E1835" w:rsidRPr="007E1835" w:rsidRDefault="007E1835" w:rsidP="007E1835">
      <w:pPr>
        <w:pStyle w:val="Prrafodelista"/>
        <w:numPr>
          <w:ilvl w:val="0"/>
          <w:numId w:val="18"/>
        </w:numPr>
        <w:jc w:val="both"/>
        <w:rPr>
          <w:rFonts w:ascii="Tahoma" w:eastAsia="Times New Roman" w:hAnsi="Tahoma" w:cs="Tahoma"/>
        </w:rPr>
      </w:pPr>
      <w:r>
        <w:rPr>
          <w:rFonts w:ascii="Tahoma" w:hAnsi="Tahoma"/>
        </w:rPr>
        <w:t>Enpresa (% 5)</w:t>
      </w:r>
    </w:p>
    <w:p w:rsidR="00FE15B2" w:rsidRDefault="007E1835" w:rsidP="007E1835">
      <w:pPr>
        <w:spacing w:line="276" w:lineRule="auto"/>
        <w:rPr>
          <w:rFonts w:ascii="Tahoma" w:hAnsi="Tahoma" w:cs="Tahoma"/>
          <w:sz w:val="22"/>
          <w:szCs w:val="22"/>
        </w:rPr>
      </w:pPr>
      <w:r>
        <w:rPr>
          <w:rFonts w:ascii="Tahoma" w:hAnsi="Tahoma"/>
          <w:sz w:val="22"/>
          <w:szCs w:val="22"/>
        </w:rPr>
        <w:t xml:space="preserve">Hautatutako hamabost proiektuek aurkezpen bat egin behar dute </w:t>
      </w:r>
      <w:proofErr w:type="spellStart"/>
      <w:r>
        <w:rPr>
          <w:rFonts w:ascii="Tahoma" w:hAnsi="Tahoma"/>
          <w:sz w:val="22"/>
          <w:szCs w:val="22"/>
        </w:rPr>
        <w:t>Orizont-en</w:t>
      </w:r>
      <w:proofErr w:type="spellEnd"/>
      <w:r>
        <w:rPr>
          <w:rFonts w:ascii="Tahoma" w:hAnsi="Tahoma"/>
          <w:sz w:val="22"/>
          <w:szCs w:val="22"/>
        </w:rPr>
        <w:t xml:space="preserve"> aholku-batzordean, eta batzorde horrek gehienez ere zortzi hautatuko ditu bultzatzeko eta finantzarioki aldezteko.</w:t>
      </w:r>
    </w:p>
    <w:p w:rsidR="00FE15B2" w:rsidRDefault="007E1835" w:rsidP="007E1835">
      <w:pPr>
        <w:spacing w:line="276" w:lineRule="auto"/>
        <w:rPr>
          <w:rFonts w:ascii="Tahoma" w:hAnsi="Tahoma" w:cs="Tahoma"/>
          <w:sz w:val="22"/>
          <w:szCs w:val="22"/>
        </w:rPr>
      </w:pPr>
      <w:proofErr w:type="spellStart"/>
      <w:r>
        <w:rPr>
          <w:rFonts w:ascii="Tahoma" w:hAnsi="Tahoma"/>
          <w:sz w:val="22"/>
          <w:szCs w:val="22"/>
        </w:rPr>
        <w:t>Azeleratzaile</w:t>
      </w:r>
      <w:proofErr w:type="spellEnd"/>
      <w:r>
        <w:rPr>
          <w:rFonts w:ascii="Tahoma" w:hAnsi="Tahoma"/>
          <w:sz w:val="22"/>
          <w:szCs w:val="22"/>
        </w:rPr>
        <w:t xml:space="preserve"> hori 78 </w:t>
      </w:r>
      <w:proofErr w:type="spellStart"/>
      <w:r>
        <w:rPr>
          <w:rFonts w:ascii="Tahoma" w:hAnsi="Tahoma"/>
          <w:sz w:val="22"/>
          <w:szCs w:val="22"/>
        </w:rPr>
        <w:t>azeleratzaileren</w:t>
      </w:r>
      <w:proofErr w:type="spellEnd"/>
      <w:r>
        <w:rPr>
          <w:rFonts w:ascii="Tahoma" w:hAnsi="Tahoma"/>
          <w:sz w:val="22"/>
          <w:szCs w:val="22"/>
        </w:rPr>
        <w:t xml:space="preserve"> </w:t>
      </w:r>
      <w:r>
        <w:rPr>
          <w:rFonts w:ascii="Tahoma" w:hAnsi="Tahoma"/>
          <w:i/>
          <w:iCs/>
          <w:sz w:val="22"/>
          <w:szCs w:val="22"/>
        </w:rPr>
        <w:t>ranking</w:t>
      </w:r>
      <w:r>
        <w:rPr>
          <w:rFonts w:ascii="Tahoma" w:hAnsi="Tahoma"/>
          <w:sz w:val="22"/>
          <w:szCs w:val="22"/>
        </w:rPr>
        <w:t xml:space="preserve">ean lehena da, </w:t>
      </w:r>
      <w:proofErr w:type="spellStart"/>
      <w:r>
        <w:rPr>
          <w:rFonts w:ascii="Tahoma" w:hAnsi="Tahoma"/>
          <w:sz w:val="22"/>
          <w:szCs w:val="22"/>
        </w:rPr>
        <w:t>Funcas-Aurrezki</w:t>
      </w:r>
      <w:proofErr w:type="spellEnd"/>
      <w:r>
        <w:rPr>
          <w:rFonts w:ascii="Tahoma" w:hAnsi="Tahoma"/>
          <w:sz w:val="22"/>
          <w:szCs w:val="22"/>
        </w:rPr>
        <w:t xml:space="preserve"> Kutxen Fundazioak eta Rey Juan Carlos Unibertsitateak taxututako “</w:t>
      </w:r>
      <w:proofErr w:type="spellStart"/>
      <w:r>
        <w:rPr>
          <w:rFonts w:ascii="Tahoma" w:hAnsi="Tahoma"/>
          <w:sz w:val="22"/>
          <w:szCs w:val="22"/>
        </w:rPr>
        <w:t>Los</w:t>
      </w:r>
      <w:proofErr w:type="spellEnd"/>
      <w:r>
        <w:rPr>
          <w:rFonts w:ascii="Tahoma" w:hAnsi="Tahoma"/>
          <w:sz w:val="22"/>
          <w:szCs w:val="22"/>
        </w:rPr>
        <w:t xml:space="preserve"> </w:t>
      </w:r>
      <w:proofErr w:type="spellStart"/>
      <w:r>
        <w:rPr>
          <w:rFonts w:ascii="Tahoma" w:hAnsi="Tahoma"/>
          <w:sz w:val="22"/>
          <w:szCs w:val="22"/>
        </w:rPr>
        <w:t>servicios</w:t>
      </w:r>
      <w:proofErr w:type="spellEnd"/>
      <w:r>
        <w:rPr>
          <w:rFonts w:ascii="Tahoma" w:hAnsi="Tahoma"/>
          <w:sz w:val="22"/>
          <w:szCs w:val="22"/>
        </w:rPr>
        <w:t xml:space="preserve"> </w:t>
      </w:r>
      <w:proofErr w:type="spellStart"/>
      <w:r>
        <w:rPr>
          <w:rFonts w:ascii="Tahoma" w:hAnsi="Tahoma"/>
          <w:sz w:val="22"/>
          <w:szCs w:val="22"/>
        </w:rPr>
        <w:t>que</w:t>
      </w:r>
      <w:proofErr w:type="spellEnd"/>
      <w:r>
        <w:rPr>
          <w:rFonts w:ascii="Tahoma" w:hAnsi="Tahoma"/>
          <w:sz w:val="22"/>
          <w:szCs w:val="22"/>
        </w:rPr>
        <w:t xml:space="preserve"> </w:t>
      </w:r>
      <w:proofErr w:type="spellStart"/>
      <w:r>
        <w:rPr>
          <w:rFonts w:ascii="Tahoma" w:hAnsi="Tahoma"/>
          <w:sz w:val="22"/>
          <w:szCs w:val="22"/>
        </w:rPr>
        <w:t>prestan</w:t>
      </w:r>
      <w:proofErr w:type="spellEnd"/>
      <w:r>
        <w:rPr>
          <w:rFonts w:ascii="Tahoma" w:hAnsi="Tahoma"/>
          <w:sz w:val="22"/>
          <w:szCs w:val="22"/>
        </w:rPr>
        <w:t xml:space="preserve"> </w:t>
      </w:r>
      <w:proofErr w:type="spellStart"/>
      <w:r>
        <w:rPr>
          <w:rFonts w:ascii="Tahoma" w:hAnsi="Tahoma"/>
          <w:sz w:val="22"/>
          <w:szCs w:val="22"/>
        </w:rPr>
        <w:t>los</w:t>
      </w:r>
      <w:proofErr w:type="spellEnd"/>
      <w:r>
        <w:rPr>
          <w:rFonts w:ascii="Tahoma" w:hAnsi="Tahoma"/>
          <w:sz w:val="22"/>
          <w:szCs w:val="22"/>
        </w:rPr>
        <w:t xml:space="preserve"> </w:t>
      </w:r>
      <w:proofErr w:type="spellStart"/>
      <w:r>
        <w:rPr>
          <w:rFonts w:ascii="Tahoma" w:hAnsi="Tahoma"/>
          <w:sz w:val="22"/>
          <w:szCs w:val="22"/>
        </w:rPr>
        <w:t>viveros</w:t>
      </w:r>
      <w:proofErr w:type="spellEnd"/>
      <w:r>
        <w:rPr>
          <w:rFonts w:ascii="Tahoma" w:hAnsi="Tahoma"/>
          <w:sz w:val="22"/>
          <w:szCs w:val="22"/>
        </w:rPr>
        <w:t xml:space="preserve"> de </w:t>
      </w:r>
      <w:proofErr w:type="spellStart"/>
      <w:r>
        <w:rPr>
          <w:rFonts w:ascii="Tahoma" w:hAnsi="Tahoma"/>
          <w:sz w:val="22"/>
          <w:szCs w:val="22"/>
        </w:rPr>
        <w:t>empresas</w:t>
      </w:r>
      <w:proofErr w:type="spellEnd"/>
      <w:r>
        <w:rPr>
          <w:rFonts w:ascii="Tahoma" w:hAnsi="Tahoma"/>
          <w:sz w:val="22"/>
          <w:szCs w:val="22"/>
        </w:rPr>
        <w:t xml:space="preserve"> </w:t>
      </w:r>
      <w:proofErr w:type="spellStart"/>
      <w:r>
        <w:rPr>
          <w:rFonts w:ascii="Tahoma" w:hAnsi="Tahoma"/>
          <w:sz w:val="22"/>
          <w:szCs w:val="22"/>
        </w:rPr>
        <w:t>en</w:t>
      </w:r>
      <w:proofErr w:type="spellEnd"/>
      <w:r>
        <w:rPr>
          <w:rFonts w:ascii="Tahoma" w:hAnsi="Tahoma"/>
          <w:sz w:val="22"/>
          <w:szCs w:val="22"/>
        </w:rPr>
        <w:t xml:space="preserve"> España. Ranking 2016/2017” txostenaren arabera.  Bi erakunde horiek Espainiako enpresa-haztegien egoera aztertu dute, eta lehen aldiz orobat aztertu dute </w:t>
      </w:r>
      <w:proofErr w:type="spellStart"/>
      <w:r>
        <w:rPr>
          <w:rFonts w:ascii="Tahoma" w:hAnsi="Tahoma"/>
          <w:sz w:val="22"/>
          <w:szCs w:val="22"/>
        </w:rPr>
        <w:t>azeleratzaileena</w:t>
      </w:r>
      <w:proofErr w:type="spellEnd"/>
      <w:r>
        <w:rPr>
          <w:rFonts w:ascii="Tahoma" w:hAnsi="Tahoma"/>
          <w:sz w:val="22"/>
          <w:szCs w:val="22"/>
        </w:rPr>
        <w:t>, enpresa-sarearen garapenaren katalizatzaile diren aldetik.</w:t>
      </w:r>
    </w:p>
    <w:p w:rsidR="00FE15B2" w:rsidRDefault="007E1835" w:rsidP="007E1835">
      <w:pPr>
        <w:spacing w:line="276" w:lineRule="auto"/>
        <w:rPr>
          <w:rFonts w:ascii="Tahoma" w:hAnsi="Tahoma" w:cs="Tahoma"/>
          <w:sz w:val="22"/>
          <w:szCs w:val="22"/>
        </w:rPr>
      </w:pPr>
      <w:r>
        <w:rPr>
          <w:rFonts w:ascii="Tahoma" w:hAnsi="Tahoma"/>
          <w:sz w:val="22"/>
          <w:szCs w:val="22"/>
        </w:rPr>
        <w:t xml:space="preserve">Halaber, SODENA finantza-ekimen berritzaile eta efizienteena zela adierazi zuen </w:t>
      </w:r>
      <w:proofErr w:type="spellStart"/>
      <w:r>
        <w:rPr>
          <w:rFonts w:ascii="Tahoma" w:hAnsi="Tahoma"/>
          <w:sz w:val="22"/>
          <w:szCs w:val="22"/>
        </w:rPr>
        <w:t>Orizont</w:t>
      </w:r>
      <w:proofErr w:type="spellEnd"/>
      <w:r>
        <w:rPr>
          <w:rFonts w:ascii="Tahoma" w:hAnsi="Tahoma"/>
          <w:sz w:val="22"/>
          <w:szCs w:val="22"/>
        </w:rPr>
        <w:t xml:space="preserve"> </w:t>
      </w:r>
      <w:proofErr w:type="spellStart"/>
      <w:r>
        <w:rPr>
          <w:rFonts w:ascii="Tahoma" w:hAnsi="Tahoma"/>
          <w:sz w:val="22"/>
          <w:szCs w:val="22"/>
        </w:rPr>
        <w:t>azeleratzaileak</w:t>
      </w:r>
      <w:proofErr w:type="spellEnd"/>
      <w:r>
        <w:rPr>
          <w:rFonts w:ascii="Tahoma" w:hAnsi="Tahoma"/>
          <w:sz w:val="22"/>
          <w:szCs w:val="22"/>
        </w:rPr>
        <w:t xml:space="preserve"> Garapen Ekonomikoko Agentzien Europako Elkartearen </w:t>
      </w:r>
      <w:proofErr w:type="spellStart"/>
      <w:r>
        <w:rPr>
          <w:rFonts w:ascii="Tahoma" w:hAnsi="Tahoma"/>
          <w:sz w:val="22"/>
          <w:szCs w:val="22"/>
        </w:rPr>
        <w:t>Eurada</w:t>
      </w:r>
      <w:proofErr w:type="spellEnd"/>
      <w:r>
        <w:rPr>
          <w:rFonts w:ascii="Tahoma" w:hAnsi="Tahoma"/>
          <w:sz w:val="22"/>
          <w:szCs w:val="22"/>
        </w:rPr>
        <w:t xml:space="preserve"> </w:t>
      </w:r>
      <w:proofErr w:type="spellStart"/>
      <w:r>
        <w:rPr>
          <w:rFonts w:ascii="Tahoma" w:hAnsi="Tahoma"/>
          <w:sz w:val="22"/>
          <w:szCs w:val="22"/>
        </w:rPr>
        <w:t>Awards</w:t>
      </w:r>
      <w:proofErr w:type="spellEnd"/>
      <w:r>
        <w:rPr>
          <w:rFonts w:ascii="Tahoma" w:hAnsi="Tahoma"/>
          <w:sz w:val="22"/>
          <w:szCs w:val="22"/>
        </w:rPr>
        <w:t xml:space="preserve"> 2017 III. edizioan. Sari horien helburua da </w:t>
      </w:r>
      <w:proofErr w:type="spellStart"/>
      <w:r>
        <w:rPr>
          <w:rFonts w:ascii="Tahoma" w:hAnsi="Tahoma"/>
          <w:sz w:val="22"/>
          <w:szCs w:val="22"/>
        </w:rPr>
        <w:t>EURADAko</w:t>
      </w:r>
      <w:proofErr w:type="spellEnd"/>
      <w:r>
        <w:rPr>
          <w:rFonts w:ascii="Tahoma" w:hAnsi="Tahoma"/>
          <w:sz w:val="22"/>
          <w:szCs w:val="22"/>
        </w:rPr>
        <w:t xml:space="preserve"> kideek eta Europako beste garapen-agentzia batzuetakoek garapen ekonomikoa sustatze aldera abian jarritako ekimen berritzaileak identifikatzea eta nazioartean ezagutzera ematea eta Europako erakundeen nahiz profesionalen artean horiek sustatzea. Epaimahaiak </w:t>
      </w:r>
      <w:proofErr w:type="spellStart"/>
      <w:r>
        <w:rPr>
          <w:rFonts w:ascii="Tahoma" w:hAnsi="Tahoma"/>
          <w:sz w:val="22"/>
          <w:szCs w:val="22"/>
        </w:rPr>
        <w:t>Orizont-en</w:t>
      </w:r>
      <w:proofErr w:type="spellEnd"/>
      <w:r>
        <w:rPr>
          <w:rFonts w:ascii="Tahoma" w:hAnsi="Tahoma"/>
          <w:sz w:val="22"/>
          <w:szCs w:val="22"/>
        </w:rPr>
        <w:t xml:space="preserve"> </w:t>
      </w:r>
      <w:proofErr w:type="spellStart"/>
      <w:r>
        <w:rPr>
          <w:rFonts w:ascii="Tahoma" w:hAnsi="Tahoma"/>
          <w:sz w:val="22"/>
          <w:szCs w:val="22"/>
        </w:rPr>
        <w:t>moldagarritasun</w:t>
      </w:r>
      <w:proofErr w:type="spellEnd"/>
      <w:r>
        <w:rPr>
          <w:rFonts w:ascii="Tahoma" w:hAnsi="Tahoma"/>
          <w:sz w:val="22"/>
          <w:szCs w:val="22"/>
        </w:rPr>
        <w:t xml:space="preserve"> handia eta berritasuna nabarmendu zituen, nekazaritzako elikagaien sektorea aldezteko eta garatzeko lehen </w:t>
      </w:r>
      <w:proofErr w:type="spellStart"/>
      <w:r>
        <w:rPr>
          <w:rFonts w:ascii="Tahoma" w:hAnsi="Tahoma"/>
          <w:sz w:val="22"/>
          <w:szCs w:val="22"/>
        </w:rPr>
        <w:t>azerleratzailea</w:t>
      </w:r>
      <w:proofErr w:type="spellEnd"/>
      <w:r>
        <w:rPr>
          <w:rFonts w:ascii="Tahoma" w:hAnsi="Tahoma"/>
          <w:sz w:val="22"/>
          <w:szCs w:val="22"/>
        </w:rPr>
        <w:t xml:space="preserve"> izateagatik. </w:t>
      </w:r>
    </w:p>
    <w:p w:rsidR="007E1835" w:rsidRPr="007E1835" w:rsidRDefault="007E1835" w:rsidP="007E1835">
      <w:pPr>
        <w:spacing w:line="276" w:lineRule="auto"/>
        <w:rPr>
          <w:rFonts w:ascii="Tahoma" w:hAnsi="Tahoma" w:cs="Tahoma"/>
          <w:sz w:val="22"/>
          <w:szCs w:val="22"/>
        </w:rPr>
      </w:pPr>
      <w:r>
        <w:rPr>
          <w:rFonts w:ascii="Tahoma" w:hAnsi="Tahoma"/>
          <w:sz w:val="22"/>
          <w:szCs w:val="22"/>
        </w:rPr>
        <w:t xml:space="preserve">Azkenik, hona </w:t>
      </w:r>
      <w:proofErr w:type="spellStart"/>
      <w:r>
        <w:rPr>
          <w:rFonts w:ascii="Tahoma" w:hAnsi="Tahoma"/>
          <w:sz w:val="22"/>
          <w:szCs w:val="22"/>
        </w:rPr>
        <w:t>Semilla</w:t>
      </w:r>
      <w:proofErr w:type="spellEnd"/>
      <w:r>
        <w:rPr>
          <w:rFonts w:ascii="Tahoma" w:hAnsi="Tahoma"/>
          <w:sz w:val="22"/>
          <w:szCs w:val="22"/>
        </w:rPr>
        <w:t xml:space="preserve"> arloaren eta </w:t>
      </w:r>
      <w:proofErr w:type="spellStart"/>
      <w:r>
        <w:rPr>
          <w:rFonts w:ascii="Tahoma" w:hAnsi="Tahoma"/>
          <w:sz w:val="22"/>
          <w:szCs w:val="22"/>
        </w:rPr>
        <w:t>Orizont</w:t>
      </w:r>
      <w:proofErr w:type="spellEnd"/>
      <w:r>
        <w:rPr>
          <w:rFonts w:ascii="Tahoma" w:hAnsi="Tahoma"/>
          <w:sz w:val="22"/>
          <w:szCs w:val="22"/>
        </w:rPr>
        <w:t xml:space="preserve"> </w:t>
      </w:r>
      <w:proofErr w:type="spellStart"/>
      <w:r>
        <w:rPr>
          <w:rFonts w:ascii="Tahoma" w:hAnsi="Tahoma"/>
          <w:sz w:val="22"/>
          <w:szCs w:val="22"/>
        </w:rPr>
        <w:t>azeleratzailearen</w:t>
      </w:r>
      <w:proofErr w:type="spellEnd"/>
      <w:r>
        <w:rPr>
          <w:rFonts w:ascii="Tahoma" w:hAnsi="Tahoma"/>
          <w:sz w:val="22"/>
          <w:szCs w:val="22"/>
        </w:rPr>
        <w:t xml:space="preserve"> 2018ko jarduera-kopuruak:</w:t>
      </w:r>
    </w:p>
    <w:p w:rsidR="007E1835" w:rsidRPr="00586C76" w:rsidRDefault="007E1835" w:rsidP="007E1835">
      <w:pPr>
        <w:spacing w:line="276" w:lineRule="auto"/>
        <w:jc w:val="center"/>
        <w:rPr>
          <w:rFonts w:asciiTheme="minorHAnsi" w:hAnsiTheme="minorHAnsi" w:cs="Tahoma"/>
          <w:b/>
          <w:sz w:val="20"/>
        </w:rPr>
      </w:pPr>
      <w:bookmarkStart w:id="0" w:name="_GoBack"/>
      <w:proofErr w:type="spellStart"/>
      <w:r w:rsidRPr="00586C76">
        <w:rPr>
          <w:rFonts w:asciiTheme="minorHAnsi" w:hAnsiTheme="minorHAnsi"/>
          <w:b/>
          <w:sz w:val="20"/>
        </w:rPr>
        <w:t>Semilla</w:t>
      </w:r>
      <w:proofErr w:type="spellEnd"/>
      <w:r w:rsidRPr="00586C76">
        <w:rPr>
          <w:rFonts w:asciiTheme="minorHAnsi" w:hAnsiTheme="minorHAnsi"/>
          <w:b/>
          <w:sz w:val="20"/>
        </w:rPr>
        <w:t>/</w:t>
      </w:r>
      <w:proofErr w:type="spellStart"/>
      <w:r w:rsidRPr="00586C76">
        <w:rPr>
          <w:rFonts w:asciiTheme="minorHAnsi" w:hAnsiTheme="minorHAnsi"/>
          <w:b/>
          <w:sz w:val="20"/>
        </w:rPr>
        <w:t>StartUp</w:t>
      </w:r>
      <w:proofErr w:type="spellEnd"/>
      <w:r w:rsidRPr="00586C76">
        <w:rPr>
          <w:rFonts w:asciiTheme="minorHAnsi" w:hAnsiTheme="minorHAnsi"/>
          <w:b/>
          <w:sz w:val="20"/>
        </w:rPr>
        <w:t xml:space="preserve"> arloa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26"/>
        <w:gridCol w:w="2268"/>
      </w:tblGrid>
      <w:tr w:rsidR="007E1835" w:rsidRPr="00586C76" w:rsidTr="004805E0">
        <w:trPr>
          <w:jc w:val="center"/>
        </w:trPr>
        <w:tc>
          <w:tcPr>
            <w:tcW w:w="2093" w:type="dxa"/>
            <w:shd w:val="clear" w:color="auto" w:fill="auto"/>
          </w:tcPr>
          <w:p w:rsidR="007E1835" w:rsidRPr="00586C76" w:rsidRDefault="007E1835" w:rsidP="00586C76">
            <w:pPr>
              <w:spacing w:before="40" w:after="40"/>
              <w:rPr>
                <w:rFonts w:asciiTheme="minorHAnsi" w:hAnsiTheme="minorHAnsi" w:cs="Tahoma"/>
                <w:sz w:val="18"/>
                <w:szCs w:val="18"/>
              </w:rPr>
            </w:pPr>
            <w:bookmarkStart w:id="1" w:name="_Hlk769755"/>
            <w:r w:rsidRPr="00586C76">
              <w:rPr>
                <w:rFonts w:asciiTheme="minorHAnsi" w:hAnsiTheme="minorHAnsi"/>
                <w:sz w:val="18"/>
                <w:szCs w:val="18"/>
              </w:rPr>
              <w:t>Hartutako proiektuak</w:t>
            </w:r>
          </w:p>
        </w:tc>
        <w:tc>
          <w:tcPr>
            <w:tcW w:w="2126" w:type="dxa"/>
            <w:shd w:val="clear" w:color="auto" w:fill="auto"/>
          </w:tcPr>
          <w:p w:rsidR="007E1835" w:rsidRPr="00586C76" w:rsidRDefault="007E1835" w:rsidP="00586C76">
            <w:pPr>
              <w:spacing w:before="40" w:after="40"/>
              <w:rPr>
                <w:rFonts w:asciiTheme="minorHAnsi" w:hAnsiTheme="minorHAnsi" w:cs="Tahoma"/>
                <w:sz w:val="18"/>
                <w:szCs w:val="18"/>
              </w:rPr>
            </w:pPr>
            <w:r w:rsidRPr="00586C76">
              <w:rPr>
                <w:rFonts w:asciiTheme="minorHAnsi" w:hAnsiTheme="minorHAnsi"/>
                <w:sz w:val="18"/>
                <w:szCs w:val="18"/>
              </w:rPr>
              <w:t>Aztertutako proiektuak</w:t>
            </w:r>
          </w:p>
        </w:tc>
        <w:tc>
          <w:tcPr>
            <w:tcW w:w="2268" w:type="dxa"/>
            <w:shd w:val="clear" w:color="auto" w:fill="auto"/>
          </w:tcPr>
          <w:p w:rsidR="007E1835" w:rsidRPr="00586C76" w:rsidRDefault="007E1835" w:rsidP="00586C76">
            <w:pPr>
              <w:spacing w:before="40" w:after="40"/>
              <w:rPr>
                <w:rFonts w:asciiTheme="minorHAnsi" w:hAnsiTheme="minorHAnsi" w:cs="Tahoma"/>
                <w:sz w:val="18"/>
                <w:szCs w:val="18"/>
              </w:rPr>
            </w:pPr>
            <w:r w:rsidRPr="00586C76">
              <w:rPr>
                <w:rFonts w:asciiTheme="minorHAnsi" w:hAnsiTheme="minorHAnsi"/>
                <w:sz w:val="18"/>
                <w:szCs w:val="18"/>
              </w:rPr>
              <w:t>Onetsitako proiektuak</w:t>
            </w:r>
          </w:p>
        </w:tc>
      </w:tr>
      <w:tr w:rsidR="007E1835" w:rsidRPr="00586C76" w:rsidTr="004805E0">
        <w:trPr>
          <w:jc w:val="center"/>
        </w:trPr>
        <w:tc>
          <w:tcPr>
            <w:tcW w:w="2093" w:type="dxa"/>
            <w:shd w:val="clear" w:color="auto" w:fill="auto"/>
          </w:tcPr>
          <w:p w:rsidR="007E1835" w:rsidRPr="00586C76" w:rsidRDefault="007E1835" w:rsidP="00586C76">
            <w:pPr>
              <w:spacing w:before="40" w:after="40"/>
              <w:jc w:val="center"/>
              <w:rPr>
                <w:rFonts w:asciiTheme="minorHAnsi" w:hAnsiTheme="minorHAnsi" w:cs="Tahoma"/>
                <w:sz w:val="18"/>
                <w:szCs w:val="18"/>
              </w:rPr>
            </w:pPr>
            <w:r w:rsidRPr="00586C76">
              <w:rPr>
                <w:rFonts w:asciiTheme="minorHAnsi" w:hAnsiTheme="minorHAnsi"/>
                <w:sz w:val="18"/>
                <w:szCs w:val="18"/>
              </w:rPr>
              <w:t>88</w:t>
            </w:r>
          </w:p>
        </w:tc>
        <w:tc>
          <w:tcPr>
            <w:tcW w:w="2126" w:type="dxa"/>
            <w:shd w:val="clear" w:color="auto" w:fill="auto"/>
          </w:tcPr>
          <w:p w:rsidR="007E1835" w:rsidRPr="00586C76" w:rsidRDefault="007E1835" w:rsidP="00586C76">
            <w:pPr>
              <w:spacing w:before="40" w:after="40"/>
              <w:jc w:val="center"/>
              <w:rPr>
                <w:rFonts w:asciiTheme="minorHAnsi" w:hAnsiTheme="minorHAnsi" w:cs="Tahoma"/>
                <w:sz w:val="18"/>
                <w:szCs w:val="18"/>
              </w:rPr>
            </w:pPr>
            <w:r w:rsidRPr="00586C76">
              <w:rPr>
                <w:rFonts w:asciiTheme="minorHAnsi" w:hAnsiTheme="minorHAnsi"/>
                <w:sz w:val="18"/>
                <w:szCs w:val="18"/>
              </w:rPr>
              <w:t>27</w:t>
            </w:r>
          </w:p>
        </w:tc>
        <w:tc>
          <w:tcPr>
            <w:tcW w:w="2268" w:type="dxa"/>
            <w:shd w:val="clear" w:color="auto" w:fill="auto"/>
          </w:tcPr>
          <w:p w:rsidR="007E1835" w:rsidRPr="00586C76" w:rsidRDefault="007E1835" w:rsidP="00586C76">
            <w:pPr>
              <w:spacing w:before="40" w:after="40"/>
              <w:jc w:val="center"/>
              <w:rPr>
                <w:rFonts w:asciiTheme="minorHAnsi" w:hAnsiTheme="minorHAnsi" w:cs="Tahoma"/>
                <w:sz w:val="18"/>
                <w:szCs w:val="18"/>
              </w:rPr>
            </w:pPr>
            <w:r w:rsidRPr="00586C76">
              <w:rPr>
                <w:rFonts w:asciiTheme="minorHAnsi" w:hAnsiTheme="minorHAnsi"/>
                <w:sz w:val="18"/>
                <w:szCs w:val="18"/>
              </w:rPr>
              <w:t>7*</w:t>
            </w:r>
          </w:p>
        </w:tc>
      </w:tr>
    </w:tbl>
    <w:bookmarkEnd w:id="1"/>
    <w:p w:rsidR="00FE15B2" w:rsidRPr="00586C76" w:rsidRDefault="007E1835" w:rsidP="00586C76">
      <w:pPr>
        <w:ind w:left="1134"/>
        <w:rPr>
          <w:rFonts w:asciiTheme="minorHAnsi" w:hAnsiTheme="minorHAnsi" w:cs="Tahoma"/>
          <w:sz w:val="16"/>
          <w:szCs w:val="16"/>
        </w:rPr>
      </w:pPr>
      <w:r w:rsidRPr="00586C76">
        <w:rPr>
          <w:rFonts w:asciiTheme="minorHAnsi" w:hAnsiTheme="minorHAnsi"/>
          <w:sz w:val="16"/>
          <w:szCs w:val="16"/>
        </w:rPr>
        <w:t>*5 proiektu berri + 2 operazio lehendik zeuden partaidetza-entitateekin</w:t>
      </w:r>
    </w:p>
    <w:p w:rsidR="007E1835" w:rsidRPr="00586C76" w:rsidRDefault="007E1835" w:rsidP="00586C76">
      <w:pPr>
        <w:spacing w:before="200"/>
        <w:jc w:val="center"/>
        <w:rPr>
          <w:rFonts w:asciiTheme="minorHAnsi" w:hAnsiTheme="minorHAnsi" w:cs="Tahoma"/>
          <w:b/>
          <w:sz w:val="20"/>
        </w:rPr>
      </w:pPr>
      <w:proofErr w:type="spellStart"/>
      <w:r w:rsidRPr="00586C76">
        <w:rPr>
          <w:rFonts w:asciiTheme="minorHAnsi" w:hAnsiTheme="minorHAnsi"/>
          <w:b/>
          <w:sz w:val="20"/>
        </w:rPr>
        <w:t>Orizont</w:t>
      </w:r>
      <w:proofErr w:type="spellEnd"/>
      <w:r w:rsidRPr="00586C76">
        <w:rPr>
          <w:rFonts w:asciiTheme="minorHAnsi" w:hAnsiTheme="minorHAnsi"/>
          <w:b/>
          <w:sz w:val="20"/>
        </w:rPr>
        <w:t xml:space="preserve"> </w:t>
      </w:r>
      <w:proofErr w:type="spellStart"/>
      <w:r w:rsidRPr="00586C76">
        <w:rPr>
          <w:rFonts w:asciiTheme="minorHAnsi" w:hAnsiTheme="minorHAnsi"/>
          <w:b/>
          <w:sz w:val="20"/>
        </w:rPr>
        <w:t>azeleratzailea</w:t>
      </w:r>
      <w:proofErr w:type="spellEnd"/>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127"/>
        <w:gridCol w:w="2551"/>
        <w:gridCol w:w="2268"/>
      </w:tblGrid>
      <w:tr w:rsidR="007E1835" w:rsidRPr="00586C76" w:rsidTr="00586C76">
        <w:trPr>
          <w:trHeight w:val="20"/>
          <w:jc w:val="center"/>
        </w:trPr>
        <w:tc>
          <w:tcPr>
            <w:tcW w:w="2376" w:type="dxa"/>
            <w:shd w:val="clear" w:color="auto" w:fill="auto"/>
          </w:tcPr>
          <w:p w:rsidR="007E1835" w:rsidRPr="00586C76" w:rsidRDefault="007E1835" w:rsidP="00586C76">
            <w:pPr>
              <w:spacing w:before="40" w:after="40"/>
              <w:rPr>
                <w:rFonts w:asciiTheme="minorHAnsi" w:hAnsiTheme="minorHAnsi" w:cs="Tahoma"/>
                <w:sz w:val="18"/>
                <w:szCs w:val="18"/>
              </w:rPr>
            </w:pPr>
            <w:r w:rsidRPr="00586C76">
              <w:rPr>
                <w:rFonts w:asciiTheme="minorHAnsi" w:hAnsiTheme="minorHAnsi"/>
                <w:sz w:val="18"/>
                <w:szCs w:val="18"/>
              </w:rPr>
              <w:t>Intereseko proiektuak</w:t>
            </w:r>
          </w:p>
        </w:tc>
        <w:tc>
          <w:tcPr>
            <w:tcW w:w="2127" w:type="dxa"/>
            <w:shd w:val="clear" w:color="auto" w:fill="auto"/>
          </w:tcPr>
          <w:p w:rsidR="007E1835" w:rsidRPr="00586C76" w:rsidRDefault="007E1835" w:rsidP="00586C76">
            <w:pPr>
              <w:spacing w:before="40" w:after="40"/>
              <w:rPr>
                <w:rFonts w:asciiTheme="minorHAnsi" w:hAnsiTheme="minorHAnsi" w:cs="Tahoma"/>
                <w:sz w:val="18"/>
                <w:szCs w:val="18"/>
              </w:rPr>
            </w:pPr>
            <w:r w:rsidRPr="00586C76">
              <w:rPr>
                <w:rFonts w:asciiTheme="minorHAnsi" w:hAnsiTheme="minorHAnsi"/>
                <w:sz w:val="18"/>
                <w:szCs w:val="18"/>
              </w:rPr>
              <w:t>Aztertutako proiektuak</w:t>
            </w:r>
          </w:p>
        </w:tc>
        <w:tc>
          <w:tcPr>
            <w:tcW w:w="2551" w:type="dxa"/>
            <w:shd w:val="clear" w:color="auto" w:fill="auto"/>
          </w:tcPr>
          <w:p w:rsidR="007E1835" w:rsidRPr="00586C76" w:rsidRDefault="007E1835" w:rsidP="00586C76">
            <w:pPr>
              <w:spacing w:before="40" w:after="40"/>
              <w:rPr>
                <w:rFonts w:asciiTheme="minorHAnsi" w:hAnsiTheme="minorHAnsi" w:cs="Tahoma"/>
                <w:sz w:val="18"/>
                <w:szCs w:val="18"/>
              </w:rPr>
            </w:pPr>
            <w:r w:rsidRPr="00586C76">
              <w:rPr>
                <w:rFonts w:asciiTheme="minorHAnsi" w:hAnsiTheme="minorHAnsi"/>
                <w:sz w:val="18"/>
                <w:szCs w:val="18"/>
              </w:rPr>
              <w:t>Hautatutako proiektuak</w:t>
            </w:r>
          </w:p>
        </w:tc>
        <w:tc>
          <w:tcPr>
            <w:tcW w:w="2268" w:type="dxa"/>
            <w:shd w:val="clear" w:color="auto" w:fill="auto"/>
          </w:tcPr>
          <w:p w:rsidR="007E1835" w:rsidRPr="00586C76" w:rsidRDefault="007E1835" w:rsidP="00586C76">
            <w:pPr>
              <w:spacing w:before="40" w:after="40"/>
              <w:rPr>
                <w:rFonts w:asciiTheme="minorHAnsi" w:hAnsiTheme="minorHAnsi" w:cs="Tahoma"/>
                <w:sz w:val="18"/>
                <w:szCs w:val="18"/>
              </w:rPr>
            </w:pPr>
            <w:r w:rsidRPr="00586C76">
              <w:rPr>
                <w:rFonts w:asciiTheme="minorHAnsi" w:hAnsiTheme="minorHAnsi"/>
                <w:sz w:val="18"/>
                <w:szCs w:val="18"/>
              </w:rPr>
              <w:t>Azeleratutako proiektuak</w:t>
            </w:r>
          </w:p>
        </w:tc>
      </w:tr>
      <w:tr w:rsidR="007E1835" w:rsidRPr="00586C76" w:rsidTr="00586C76">
        <w:trPr>
          <w:trHeight w:val="20"/>
          <w:jc w:val="center"/>
        </w:trPr>
        <w:tc>
          <w:tcPr>
            <w:tcW w:w="2376" w:type="dxa"/>
            <w:shd w:val="clear" w:color="auto" w:fill="auto"/>
          </w:tcPr>
          <w:p w:rsidR="007E1835" w:rsidRPr="00586C76" w:rsidRDefault="007E1835" w:rsidP="00586C76">
            <w:pPr>
              <w:spacing w:before="40" w:after="40"/>
              <w:jc w:val="center"/>
              <w:rPr>
                <w:rFonts w:asciiTheme="minorHAnsi" w:hAnsiTheme="minorHAnsi" w:cs="Tahoma"/>
                <w:sz w:val="18"/>
                <w:szCs w:val="18"/>
              </w:rPr>
            </w:pPr>
            <w:r w:rsidRPr="00586C76">
              <w:rPr>
                <w:rFonts w:asciiTheme="minorHAnsi" w:hAnsiTheme="minorHAnsi"/>
                <w:sz w:val="18"/>
                <w:szCs w:val="18"/>
              </w:rPr>
              <w:t>274</w:t>
            </w:r>
          </w:p>
        </w:tc>
        <w:tc>
          <w:tcPr>
            <w:tcW w:w="2127" w:type="dxa"/>
            <w:shd w:val="clear" w:color="auto" w:fill="auto"/>
          </w:tcPr>
          <w:p w:rsidR="007E1835" w:rsidRPr="00586C76" w:rsidRDefault="007E1835" w:rsidP="00586C76">
            <w:pPr>
              <w:spacing w:before="40" w:after="40"/>
              <w:jc w:val="center"/>
              <w:rPr>
                <w:rFonts w:asciiTheme="minorHAnsi" w:hAnsiTheme="minorHAnsi" w:cs="Tahoma"/>
                <w:sz w:val="18"/>
                <w:szCs w:val="18"/>
              </w:rPr>
            </w:pPr>
            <w:r w:rsidRPr="00586C76">
              <w:rPr>
                <w:rFonts w:asciiTheme="minorHAnsi" w:hAnsiTheme="minorHAnsi"/>
                <w:sz w:val="18"/>
                <w:szCs w:val="18"/>
              </w:rPr>
              <w:t>75</w:t>
            </w:r>
          </w:p>
        </w:tc>
        <w:tc>
          <w:tcPr>
            <w:tcW w:w="2551" w:type="dxa"/>
            <w:shd w:val="clear" w:color="auto" w:fill="auto"/>
          </w:tcPr>
          <w:p w:rsidR="007E1835" w:rsidRPr="00586C76" w:rsidRDefault="007E1835" w:rsidP="00586C76">
            <w:pPr>
              <w:spacing w:before="40" w:after="40"/>
              <w:jc w:val="center"/>
              <w:rPr>
                <w:rFonts w:asciiTheme="minorHAnsi" w:hAnsiTheme="minorHAnsi" w:cs="Tahoma"/>
                <w:sz w:val="18"/>
                <w:szCs w:val="18"/>
              </w:rPr>
            </w:pPr>
            <w:r w:rsidRPr="00586C76">
              <w:rPr>
                <w:rFonts w:asciiTheme="minorHAnsi" w:hAnsiTheme="minorHAnsi"/>
                <w:sz w:val="18"/>
                <w:szCs w:val="18"/>
              </w:rPr>
              <w:t>6</w:t>
            </w:r>
          </w:p>
        </w:tc>
        <w:tc>
          <w:tcPr>
            <w:tcW w:w="2268" w:type="dxa"/>
            <w:shd w:val="clear" w:color="auto" w:fill="auto"/>
          </w:tcPr>
          <w:p w:rsidR="007E1835" w:rsidRPr="00586C76" w:rsidRDefault="007E1835" w:rsidP="00586C76">
            <w:pPr>
              <w:spacing w:before="40" w:after="40"/>
              <w:jc w:val="center"/>
              <w:rPr>
                <w:rFonts w:asciiTheme="minorHAnsi" w:hAnsiTheme="minorHAnsi" w:cs="Tahoma"/>
                <w:sz w:val="18"/>
                <w:szCs w:val="18"/>
              </w:rPr>
            </w:pPr>
            <w:r w:rsidRPr="00586C76">
              <w:rPr>
                <w:rFonts w:asciiTheme="minorHAnsi" w:hAnsiTheme="minorHAnsi"/>
                <w:sz w:val="18"/>
                <w:szCs w:val="18"/>
              </w:rPr>
              <w:t>4</w:t>
            </w:r>
          </w:p>
        </w:tc>
      </w:tr>
      <w:bookmarkEnd w:id="0"/>
    </w:tbl>
    <w:p w:rsidR="00FE15B2" w:rsidRDefault="00FE15B2" w:rsidP="007E1835">
      <w:pPr>
        <w:rPr>
          <w:rFonts w:ascii="Tahoma" w:hAnsi="Tahoma" w:cs="Tahoma"/>
          <w:sz w:val="22"/>
          <w:szCs w:val="22"/>
        </w:rPr>
      </w:pPr>
    </w:p>
    <w:p w:rsidR="00FE15B2" w:rsidRDefault="007E1835" w:rsidP="007E1835">
      <w:pPr>
        <w:spacing w:line="276" w:lineRule="auto"/>
        <w:rPr>
          <w:rFonts w:ascii="Tahoma" w:hAnsi="Tahoma" w:cs="Tahoma"/>
          <w:sz w:val="22"/>
          <w:szCs w:val="22"/>
        </w:rPr>
      </w:pPr>
      <w:r>
        <w:rPr>
          <w:rFonts w:ascii="Tahoma" w:hAnsi="Tahoma"/>
          <w:sz w:val="22"/>
          <w:szCs w:val="22"/>
        </w:rPr>
        <w:t xml:space="preserve">Bukatzeko, ezin dugu balioan jarri gabe utzi pertsona ekintzaileei babesa emate aldera II. </w:t>
      </w:r>
      <w:proofErr w:type="spellStart"/>
      <w:r>
        <w:rPr>
          <w:rFonts w:ascii="Tahoma" w:hAnsi="Tahoma"/>
          <w:sz w:val="22"/>
          <w:szCs w:val="22"/>
        </w:rPr>
        <w:t>Ekintzailetza</w:t>
      </w:r>
      <w:proofErr w:type="spellEnd"/>
      <w:r>
        <w:rPr>
          <w:rFonts w:ascii="Tahoma" w:hAnsi="Tahoma"/>
          <w:sz w:val="22"/>
          <w:szCs w:val="22"/>
        </w:rPr>
        <w:t xml:space="preserve"> Planaren baitan Nafarroako Gobernuak zuzenean eta egunero egiten duen lana. Babes horren ondorioa da aholku eta </w:t>
      </w:r>
      <w:proofErr w:type="spellStart"/>
      <w:r>
        <w:rPr>
          <w:rFonts w:ascii="Tahoma" w:hAnsi="Tahoma"/>
          <w:sz w:val="22"/>
          <w:szCs w:val="22"/>
        </w:rPr>
        <w:t>dirulaguntzak</w:t>
      </w:r>
      <w:proofErr w:type="spellEnd"/>
      <w:r>
        <w:rPr>
          <w:rFonts w:ascii="Tahoma" w:hAnsi="Tahoma"/>
          <w:sz w:val="22"/>
          <w:szCs w:val="22"/>
        </w:rPr>
        <w:t xml:space="preserve"> ematen zaizkiela negozia abian jartzeko hasieran egin beharreko gastuetarako eta inbertsioetarako, bai eta pizgarri fiskalak ere; hor dira, esaterako, 26/2016 Foru Legearen hirugarren xedapen gehigarrian </w:t>
      </w:r>
      <w:proofErr w:type="spellStart"/>
      <w:r>
        <w:rPr>
          <w:rFonts w:ascii="Tahoma" w:hAnsi="Tahoma"/>
          <w:sz w:val="22"/>
          <w:szCs w:val="22"/>
        </w:rPr>
        <w:t>ekintzailetza</w:t>
      </w:r>
      <w:proofErr w:type="spellEnd"/>
      <w:r>
        <w:rPr>
          <w:rFonts w:ascii="Tahoma" w:hAnsi="Tahoma"/>
          <w:sz w:val="22"/>
          <w:szCs w:val="22"/>
        </w:rPr>
        <w:t xml:space="preserve"> aldezte aldera jasotzen diren babes-neurriak, edo sozietateen gaineko zergan interes-tasa nominal oso mesedegarria egotea milioi bat euro baino gutxiago fakturatzen duten enpresentzat.</w:t>
      </w:r>
    </w:p>
    <w:p w:rsidR="00FE15B2" w:rsidRDefault="007E1835" w:rsidP="007E1835">
      <w:pPr>
        <w:spacing w:line="276" w:lineRule="auto"/>
        <w:rPr>
          <w:rFonts w:ascii="Tahoma" w:hAnsi="Tahoma" w:cs="Tahoma"/>
          <w:sz w:val="22"/>
          <w:szCs w:val="22"/>
        </w:rPr>
      </w:pPr>
      <w:r>
        <w:rPr>
          <w:rFonts w:ascii="Tahoma" w:hAnsi="Tahoma"/>
          <w:sz w:val="22"/>
          <w:szCs w:val="22"/>
        </w:rPr>
        <w:t xml:space="preserve">Eta orobat egiten da lan administrazio-zuzemenak soiltzeko eta azkartzeko, hori baita, herritarren ustez, ekimenak abiarazteko dagoen oztoporik handiena. Argi dago zer hobetua badagoela, baina beste erkidego batzuen aldean Nafarroak hirugarren tokia betetzen du negozioak egiteko erraztasuna neurtzen duen </w:t>
      </w:r>
      <w:proofErr w:type="spellStart"/>
      <w:r>
        <w:rPr>
          <w:rFonts w:ascii="Tahoma" w:hAnsi="Tahoma"/>
          <w:i/>
          <w:sz w:val="22"/>
          <w:szCs w:val="22"/>
        </w:rPr>
        <w:t>Doing</w:t>
      </w:r>
      <w:proofErr w:type="spellEnd"/>
      <w:r>
        <w:rPr>
          <w:rFonts w:ascii="Tahoma" w:hAnsi="Tahoma"/>
          <w:sz w:val="22"/>
          <w:szCs w:val="22"/>
        </w:rPr>
        <w:t xml:space="preserve"> </w:t>
      </w:r>
      <w:proofErr w:type="spellStart"/>
      <w:r>
        <w:rPr>
          <w:rFonts w:ascii="Tahoma" w:hAnsi="Tahoma"/>
          <w:i/>
          <w:sz w:val="22"/>
          <w:szCs w:val="22"/>
        </w:rPr>
        <w:t>Business</w:t>
      </w:r>
      <w:proofErr w:type="spellEnd"/>
      <w:r>
        <w:rPr>
          <w:rFonts w:ascii="Tahoma" w:hAnsi="Tahoma"/>
          <w:sz w:val="22"/>
          <w:szCs w:val="22"/>
        </w:rPr>
        <w:t xml:space="preserve"> rankingean, eta azken urteotan aurrerabidea eginda </w:t>
      </w:r>
      <w:proofErr w:type="spellStart"/>
      <w:r>
        <w:rPr>
          <w:rFonts w:ascii="Tahoma" w:hAnsi="Tahoma"/>
          <w:sz w:val="22"/>
          <w:szCs w:val="22"/>
        </w:rPr>
        <w:t>izpidetze</w:t>
      </w:r>
      <w:proofErr w:type="spellEnd"/>
      <w:r>
        <w:rPr>
          <w:rFonts w:ascii="Tahoma" w:hAnsi="Tahoma"/>
          <w:sz w:val="22"/>
          <w:szCs w:val="22"/>
        </w:rPr>
        <w:t xml:space="preserve"> telematikoaren arloan, halako moduan non enpresak irekitzeko eta autonomoetan alta emateko denbora murriztu baita.</w:t>
      </w:r>
    </w:p>
    <w:p w:rsidR="00FE15B2" w:rsidRDefault="00892408" w:rsidP="00892408">
      <w:pPr>
        <w:rPr>
          <w:rFonts w:ascii="Tahoma" w:hAnsi="Tahoma" w:cs="Tahoma"/>
          <w:sz w:val="22"/>
          <w:szCs w:val="22"/>
        </w:rPr>
      </w:pPr>
      <w:r>
        <w:rPr>
          <w:rFonts w:ascii="Tahoma" w:hAnsi="Tahoma"/>
          <w:sz w:val="22"/>
          <w:szCs w:val="22"/>
        </w:rPr>
        <w:t>Hori guztia jakinarazten dizut, Nafarroako Parlamentuko Erregelamenduaren 194. artikulua betez.</w:t>
      </w:r>
    </w:p>
    <w:p w:rsidR="00FE15B2" w:rsidRDefault="00AA7BD4" w:rsidP="00892408">
      <w:pPr>
        <w:jc w:val="center"/>
        <w:rPr>
          <w:rFonts w:ascii="Tahoma" w:hAnsi="Tahoma" w:cs="Tahoma"/>
          <w:sz w:val="22"/>
          <w:szCs w:val="22"/>
        </w:rPr>
      </w:pPr>
      <w:r>
        <w:rPr>
          <w:rFonts w:ascii="Tahoma" w:hAnsi="Tahoma"/>
          <w:sz w:val="22"/>
          <w:szCs w:val="22"/>
        </w:rPr>
        <w:t>Iruñean, 2019ko otsailaren 26an</w:t>
      </w:r>
    </w:p>
    <w:p w:rsidR="00FE15B2" w:rsidRDefault="00FE15B2" w:rsidP="00892408">
      <w:pPr>
        <w:tabs>
          <w:tab w:val="left" w:pos="2268"/>
        </w:tabs>
        <w:spacing w:line="360" w:lineRule="auto"/>
        <w:ind w:right="140"/>
        <w:jc w:val="center"/>
        <w:rPr>
          <w:sz w:val="22"/>
          <w:szCs w:val="22"/>
        </w:rPr>
      </w:pPr>
      <w:r>
        <w:rPr>
          <w:sz w:val="22"/>
          <w:szCs w:val="22"/>
        </w:rPr>
        <w:t>Lehen lehendakariordea eta Garapen Ekonomikorako kontseilaria: Manu Ayerdi Olaizola</w:t>
      </w:r>
    </w:p>
    <w:sectPr w:rsidR="00FE15B2" w:rsidSect="00FE15B2">
      <w:headerReference w:type="default" r:id="rId8"/>
      <w:footerReference w:type="default" r:id="rId9"/>
      <w:headerReference w:type="first" r:id="rId10"/>
      <w:footerReference w:type="first" r:id="rId11"/>
      <w:type w:val="continuous"/>
      <w:pgSz w:w="11907" w:h="16840" w:code="9"/>
      <w:pgMar w:top="1985" w:right="1134" w:bottom="1276" w:left="1985" w:header="709"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A94" w:rsidRDefault="008D2A94">
      <w:r>
        <w:separator/>
      </w:r>
    </w:p>
  </w:endnote>
  <w:endnote w:type="continuationSeparator" w:id="0">
    <w:p w:rsidR="008D2A94" w:rsidRDefault="008D2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4" w:type="dxa"/>
      <w:tblInd w:w="-1310" w:type="dxa"/>
      <w:tblLook w:val="01E0" w:firstRow="1" w:lastRow="1" w:firstColumn="1" w:lastColumn="1" w:noHBand="0" w:noVBand="0"/>
    </w:tblPr>
    <w:tblGrid>
      <w:gridCol w:w="8648"/>
      <w:gridCol w:w="2126"/>
    </w:tblGrid>
    <w:tr w:rsidR="00212F78" w:rsidRPr="00A80892" w:rsidTr="00A80892">
      <w:tc>
        <w:tcPr>
          <w:tcW w:w="8648" w:type="dxa"/>
          <w:shd w:val="clear" w:color="auto" w:fill="auto"/>
        </w:tcPr>
        <w:p w:rsidR="00212F78" w:rsidRPr="00124D6B" w:rsidRDefault="00212F78" w:rsidP="00A80892">
          <w:pPr>
            <w:pStyle w:val="Piedepgina"/>
            <w:tabs>
              <w:tab w:val="clear" w:pos="4252"/>
              <w:tab w:val="center" w:pos="5705"/>
            </w:tabs>
          </w:pPr>
        </w:p>
      </w:tc>
      <w:tc>
        <w:tcPr>
          <w:tcW w:w="2126" w:type="dxa"/>
          <w:shd w:val="clear" w:color="auto" w:fill="auto"/>
        </w:tcPr>
        <w:p w:rsidR="00212F78" w:rsidRPr="00A80892" w:rsidRDefault="00212F78" w:rsidP="00A80892">
          <w:pPr>
            <w:pStyle w:val="Piedepgina"/>
            <w:jc w:val="right"/>
            <w:rPr>
              <w:sz w:val="14"/>
              <w:szCs w:val="14"/>
            </w:rPr>
          </w:pPr>
        </w:p>
      </w:tc>
    </w:tr>
  </w:tbl>
  <w:p w:rsidR="00212F78" w:rsidRPr="00D95F9B" w:rsidRDefault="00212F78" w:rsidP="00D95F9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81" w:type="dxa"/>
      <w:tblLayout w:type="fixed"/>
      <w:tblCellMar>
        <w:left w:w="71" w:type="dxa"/>
        <w:right w:w="71" w:type="dxa"/>
      </w:tblCellMar>
      <w:tblLook w:val="0000" w:firstRow="0" w:lastRow="0" w:firstColumn="0" w:lastColumn="0" w:noHBand="0" w:noVBand="0"/>
    </w:tblPr>
    <w:tblGrid>
      <w:gridCol w:w="4538"/>
      <w:gridCol w:w="1475"/>
      <w:gridCol w:w="4762"/>
    </w:tblGrid>
    <w:tr w:rsidR="00212F78">
      <w:tc>
        <w:tcPr>
          <w:tcW w:w="4538" w:type="dxa"/>
        </w:tcPr>
        <w:p w:rsidR="00212F78" w:rsidRPr="00212F78" w:rsidRDefault="00212F78">
          <w:pPr>
            <w:pStyle w:val="Piedepgina"/>
            <w:tabs>
              <w:tab w:val="clear" w:pos="4252"/>
              <w:tab w:val="clear" w:pos="8504"/>
            </w:tabs>
          </w:pPr>
          <w:r>
            <w:rPr>
              <w:sz w:val="14"/>
            </w:rPr>
            <w:fldChar w:fldCharType="begin"/>
          </w:r>
          <w:r w:rsidRPr="00212F78">
            <w:rPr>
              <w:sz w:val="14"/>
            </w:rPr>
            <w:instrText xml:space="preserve"> FILENAME \* LOWER\p \* MERGEFORMAT </w:instrText>
          </w:r>
          <w:r>
            <w:rPr>
              <w:sz w:val="14"/>
            </w:rPr>
            <w:fldChar w:fldCharType="separate"/>
          </w:r>
          <w:r w:rsidR="00E93305">
            <w:rPr>
              <w:noProof/>
              <w:sz w:val="14"/>
            </w:rPr>
            <w:t>t:\ix. legegintzaldia\erantzunak\erantzunak\2019\eu-es\19pes-7.docx</w:t>
          </w:r>
          <w:r>
            <w:rPr>
              <w:sz w:val="14"/>
            </w:rPr>
            <w:fldChar w:fldCharType="end"/>
          </w:r>
        </w:p>
      </w:tc>
      <w:tc>
        <w:tcPr>
          <w:tcW w:w="1475" w:type="dxa"/>
        </w:tcPr>
        <w:p w:rsidR="00212F78" w:rsidRDefault="00212F78">
          <w:pPr>
            <w:pStyle w:val="Piedepgina"/>
            <w:tabs>
              <w:tab w:val="clear" w:pos="4252"/>
              <w:tab w:val="clear" w:pos="8504"/>
            </w:tabs>
            <w:jc w:val="center"/>
            <w:rPr>
              <w:sz w:val="14"/>
            </w:rPr>
          </w:pPr>
          <w:r>
            <w:t>Orr.:</w:t>
          </w:r>
          <w:r>
            <w:rPr>
              <w:sz w:val="14"/>
            </w:rPr>
            <w:t xml:space="preserve"> </w:t>
          </w:r>
          <w:r>
            <w:rPr>
              <w:sz w:val="14"/>
            </w:rPr>
            <w:fldChar w:fldCharType="begin"/>
          </w:r>
          <w:r>
            <w:rPr>
              <w:sz w:val="14"/>
            </w:rPr>
            <w:instrText xml:space="preserve"> PAGE  \* MERGEFORMAT </w:instrText>
          </w:r>
          <w:r>
            <w:rPr>
              <w:sz w:val="14"/>
            </w:rPr>
            <w:fldChar w:fldCharType="separate"/>
          </w:r>
          <w:r>
            <w:rPr>
              <w:noProof/>
              <w:sz w:val="14"/>
            </w:rPr>
            <w:t>1</w:t>
          </w:r>
          <w:r>
            <w:rPr>
              <w:sz w:val="14"/>
            </w:rPr>
            <w:fldChar w:fldCharType="end"/>
          </w:r>
          <w:r>
            <w:rPr>
              <w:sz w:val="14"/>
            </w:rPr>
            <w:t>/</w:t>
          </w:r>
          <w:r>
            <w:rPr>
              <w:sz w:val="14"/>
            </w:rPr>
            <w:fldChar w:fldCharType="begin"/>
          </w:r>
          <w:r>
            <w:rPr>
              <w:sz w:val="14"/>
            </w:rPr>
            <w:instrText xml:space="preserve"> NUMPAGES  \* MERGEFORMAT </w:instrText>
          </w:r>
          <w:r>
            <w:rPr>
              <w:sz w:val="14"/>
            </w:rPr>
            <w:fldChar w:fldCharType="separate"/>
          </w:r>
          <w:r w:rsidR="00E93305">
            <w:rPr>
              <w:noProof/>
              <w:sz w:val="14"/>
            </w:rPr>
            <w:t>1</w:t>
          </w:r>
          <w:r>
            <w:rPr>
              <w:sz w:val="14"/>
            </w:rPr>
            <w:fldChar w:fldCharType="end"/>
          </w:r>
        </w:p>
      </w:tc>
      <w:tc>
        <w:tcPr>
          <w:tcW w:w="4762" w:type="dxa"/>
        </w:tcPr>
        <w:p w:rsidR="00212F78" w:rsidRDefault="00212F78">
          <w:pPr>
            <w:pStyle w:val="Piedepgina"/>
            <w:tabs>
              <w:tab w:val="clear" w:pos="4252"/>
              <w:tab w:val="clear" w:pos="8504"/>
            </w:tabs>
            <w:jc w:val="right"/>
            <w:rPr>
              <w:sz w:val="12"/>
            </w:rPr>
          </w:pPr>
          <w:proofErr w:type="spellStart"/>
          <w:r>
            <w:rPr>
              <w:sz w:val="12"/>
            </w:rPr>
            <w:t>ic</w:t>
          </w:r>
          <w:proofErr w:type="spellEnd"/>
          <w:r>
            <w:rPr>
              <w:sz w:val="12"/>
            </w:rPr>
            <w:t>.18.02.08</w:t>
          </w:r>
          <w:r>
            <w:rPr>
              <w:sz w:val="14"/>
            </w:rPr>
            <w:t xml:space="preserve"> </w:t>
          </w:r>
          <w:proofErr w:type="spellStart"/>
          <w:r>
            <w:rPr>
              <w:sz w:val="14"/>
            </w:rPr>
            <w:t>Rev</w:t>
          </w:r>
          <w:proofErr w:type="spellEnd"/>
          <w:r>
            <w:rPr>
              <w:sz w:val="14"/>
            </w:rPr>
            <w:t>.2</w:t>
          </w:r>
        </w:p>
      </w:tc>
    </w:tr>
  </w:tbl>
  <w:p w:rsidR="00212F78" w:rsidRDefault="00212F7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A94" w:rsidRDefault="008D2A94">
      <w:r>
        <w:separator/>
      </w:r>
    </w:p>
  </w:footnote>
  <w:footnote w:type="continuationSeparator" w:id="0">
    <w:p w:rsidR="008D2A94" w:rsidRDefault="008D2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F78" w:rsidRDefault="00212F78">
    <w:pPr>
      <w:pStyle w:val="Encabezado"/>
      <w:rPr>
        <w:rFonts w:cs="Arial"/>
        <w:b/>
        <w:sz w:val="18"/>
        <w:szCs w:val="18"/>
      </w:rPr>
    </w:pPr>
  </w:p>
  <w:p w:rsidR="00212F78" w:rsidRPr="0023201C" w:rsidRDefault="00212F78" w:rsidP="00AA7BD4">
    <w:pPr>
      <w:pStyle w:val="Encabezado"/>
      <w:jc w:val="right"/>
    </w:pPr>
  </w:p>
  <w:p w:rsidR="00212F78" w:rsidRDefault="00212F78">
    <w:pPr>
      <w:pStyle w:val="Encabezado"/>
      <w:rPr>
        <w:rFonts w:cs="Arial"/>
        <w:b/>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97" w:type="dxa"/>
      <w:tblLayout w:type="fixed"/>
      <w:tblCellMar>
        <w:left w:w="71" w:type="dxa"/>
        <w:right w:w="71" w:type="dxa"/>
      </w:tblCellMar>
      <w:tblLook w:val="0000" w:firstRow="0" w:lastRow="0" w:firstColumn="0" w:lastColumn="0" w:noHBand="0" w:noVBand="0"/>
    </w:tblPr>
    <w:tblGrid>
      <w:gridCol w:w="3555"/>
      <w:gridCol w:w="4809"/>
      <w:gridCol w:w="2410"/>
    </w:tblGrid>
    <w:tr w:rsidR="00212F78">
      <w:tc>
        <w:tcPr>
          <w:tcW w:w="3555" w:type="dxa"/>
        </w:tcPr>
        <w:p w:rsidR="00212F78" w:rsidRDefault="00077AB1">
          <w:r>
            <w:rPr>
              <w:noProof/>
              <w:lang w:val="es-ES"/>
            </w:rPr>
            <w:drawing>
              <wp:inline distT="0" distB="0" distL="0" distR="0">
                <wp:extent cx="2076450" cy="419100"/>
                <wp:effectExtent l="0" t="0" r="0" b="0"/>
                <wp:docPr id="1" name="Imagen 1" descr="pppppp3 cas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pppp3 cas neg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419100"/>
                        </a:xfrm>
                        <a:prstGeom prst="rect">
                          <a:avLst/>
                        </a:prstGeom>
                        <a:noFill/>
                        <a:ln>
                          <a:noFill/>
                        </a:ln>
                      </pic:spPr>
                    </pic:pic>
                  </a:graphicData>
                </a:graphic>
              </wp:inline>
            </w:drawing>
          </w:r>
        </w:p>
      </w:tc>
      <w:tc>
        <w:tcPr>
          <w:tcW w:w="4809" w:type="dxa"/>
        </w:tcPr>
        <w:p w:rsidR="00212F78" w:rsidRDefault="00212F78">
          <w:pPr>
            <w:jc w:val="center"/>
            <w:rPr>
              <w:sz w:val="16"/>
            </w:rPr>
          </w:pPr>
        </w:p>
        <w:p w:rsidR="00212F78" w:rsidRDefault="00212F78">
          <w:pPr>
            <w:jc w:val="center"/>
            <w:rPr>
              <w:sz w:val="16"/>
            </w:rPr>
          </w:pPr>
          <w:r>
            <w:rPr>
              <w:b/>
              <w:sz w:val="22"/>
            </w:rPr>
            <w:t>KOMUNIKAZIOA</w:t>
          </w:r>
        </w:p>
        <w:p w:rsidR="00212F78" w:rsidRDefault="00212F78">
          <w:pPr>
            <w:rPr>
              <w:b/>
              <w:sz w:val="16"/>
            </w:rPr>
          </w:pPr>
        </w:p>
      </w:tc>
      <w:tc>
        <w:tcPr>
          <w:tcW w:w="2410" w:type="dxa"/>
        </w:tcPr>
        <w:p w:rsidR="00212F78" w:rsidRDefault="00212F78">
          <w:pPr>
            <w:rPr>
              <w:rFonts w:ascii="Times New Roman" w:hAnsi="Times New Roman"/>
              <w:sz w:val="16"/>
            </w:rPr>
          </w:pPr>
          <w:r>
            <w:rPr>
              <w:rFonts w:ascii="Times New Roman" w:hAnsi="Times New Roman"/>
              <w:sz w:val="16"/>
            </w:rPr>
            <w:t xml:space="preserve">“Fuerte del </w:t>
          </w:r>
          <w:proofErr w:type="spellStart"/>
          <w:r>
            <w:rPr>
              <w:rFonts w:ascii="Times New Roman" w:hAnsi="Times New Roman"/>
              <w:sz w:val="16"/>
            </w:rPr>
            <w:t>Príncipe</w:t>
          </w:r>
          <w:proofErr w:type="spellEnd"/>
          <w:r>
            <w:rPr>
              <w:rFonts w:ascii="Times New Roman" w:hAnsi="Times New Roman"/>
              <w:sz w:val="16"/>
            </w:rPr>
            <w:t xml:space="preserve"> II” eraikina</w:t>
          </w:r>
        </w:p>
        <w:p w:rsidR="00212F78" w:rsidRDefault="00212F78">
          <w:pPr>
            <w:rPr>
              <w:rFonts w:ascii="Times New Roman" w:hAnsi="Times New Roman"/>
              <w:sz w:val="16"/>
            </w:rPr>
          </w:pPr>
          <w:proofErr w:type="spellStart"/>
          <w:r>
            <w:rPr>
              <w:rFonts w:ascii="Times New Roman" w:hAnsi="Times New Roman"/>
              <w:sz w:val="16"/>
            </w:rPr>
            <w:t>Tomás</w:t>
          </w:r>
          <w:proofErr w:type="spellEnd"/>
          <w:r>
            <w:rPr>
              <w:rFonts w:ascii="Times New Roman" w:hAnsi="Times New Roman"/>
              <w:sz w:val="16"/>
            </w:rPr>
            <w:t xml:space="preserve"> Caballero parkea, 1</w:t>
          </w:r>
        </w:p>
        <w:p w:rsidR="00212F78" w:rsidRDefault="00212F78">
          <w:pPr>
            <w:rPr>
              <w:rFonts w:ascii="Times New Roman" w:hAnsi="Times New Roman"/>
              <w:sz w:val="16"/>
            </w:rPr>
          </w:pPr>
          <w:r>
            <w:rPr>
              <w:rFonts w:ascii="Times New Roman" w:hAnsi="Times New Roman"/>
              <w:sz w:val="16"/>
            </w:rPr>
            <w:t>31005  IRUÑA</w:t>
          </w:r>
        </w:p>
        <w:p w:rsidR="00212F78" w:rsidRDefault="00212F78">
          <w:pPr>
            <w:rPr>
              <w:b/>
              <w:sz w:val="16"/>
            </w:rPr>
          </w:pPr>
        </w:p>
      </w:tc>
    </w:tr>
  </w:tbl>
  <w:p w:rsidR="00212F78" w:rsidRDefault="00212F7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85C4D"/>
    <w:multiLevelType w:val="hybridMultilevel"/>
    <w:tmpl w:val="8AA8D7DE"/>
    <w:lvl w:ilvl="0" w:tplc="26CCB796">
      <w:start w:val="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E52032D"/>
    <w:multiLevelType w:val="hybridMultilevel"/>
    <w:tmpl w:val="1624B70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5A63EB2"/>
    <w:multiLevelType w:val="hybridMultilevel"/>
    <w:tmpl w:val="0670591A"/>
    <w:lvl w:ilvl="0" w:tplc="CA245908">
      <w:numFmt w:val="bullet"/>
      <w:lvlText w:val="-"/>
      <w:lvlJc w:val="left"/>
      <w:pPr>
        <w:tabs>
          <w:tab w:val="num" w:pos="1095"/>
        </w:tabs>
        <w:ind w:left="1095" w:hanging="735"/>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A527FDE"/>
    <w:multiLevelType w:val="multilevel"/>
    <w:tmpl w:val="0F9E83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2E122AF0"/>
    <w:multiLevelType w:val="hybridMultilevel"/>
    <w:tmpl w:val="4232E618"/>
    <w:lvl w:ilvl="0" w:tplc="26CCB796">
      <w:start w:val="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0C20585"/>
    <w:multiLevelType w:val="hybridMultilevel"/>
    <w:tmpl w:val="EA1CE4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26611FF"/>
    <w:multiLevelType w:val="hybridMultilevel"/>
    <w:tmpl w:val="3B12AC4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42725AF6"/>
    <w:multiLevelType w:val="hybridMultilevel"/>
    <w:tmpl w:val="A3D013BE"/>
    <w:lvl w:ilvl="0" w:tplc="CB866542">
      <w:numFmt w:val="bullet"/>
      <w:lvlText w:val="-"/>
      <w:lvlJc w:val="left"/>
      <w:pPr>
        <w:ind w:left="720" w:hanging="360"/>
      </w:pPr>
      <w:rPr>
        <w:rFonts w:ascii="Arial" w:eastAsia="Wingdings"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2AC7541"/>
    <w:multiLevelType w:val="hybridMultilevel"/>
    <w:tmpl w:val="0EAE7A8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3136A73"/>
    <w:multiLevelType w:val="hybridMultilevel"/>
    <w:tmpl w:val="150CD7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4F47559"/>
    <w:multiLevelType w:val="hybridMultilevel"/>
    <w:tmpl w:val="529A685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nsid w:val="56BF2786"/>
    <w:multiLevelType w:val="hybridMultilevel"/>
    <w:tmpl w:val="F4368638"/>
    <w:lvl w:ilvl="0" w:tplc="C8C6E626">
      <w:start w:val="5"/>
      <w:numFmt w:val="bullet"/>
      <w:lvlText w:val="-"/>
      <w:lvlJc w:val="left"/>
      <w:pPr>
        <w:tabs>
          <w:tab w:val="num" w:pos="1065"/>
        </w:tabs>
        <w:ind w:left="1065" w:hanging="360"/>
      </w:pPr>
      <w:rPr>
        <w:rFonts w:ascii="Arial" w:eastAsia="Times New Roman" w:hAnsi="Arial" w:cs="Arial"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2">
    <w:nsid w:val="5FF220F2"/>
    <w:multiLevelType w:val="hybridMultilevel"/>
    <w:tmpl w:val="37A422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68C5162"/>
    <w:multiLevelType w:val="hybridMultilevel"/>
    <w:tmpl w:val="BE5440DE"/>
    <w:lvl w:ilvl="0" w:tplc="7B3AE932">
      <w:numFmt w:val="bullet"/>
      <w:lvlText w:val=""/>
      <w:lvlJc w:val="left"/>
      <w:pPr>
        <w:tabs>
          <w:tab w:val="num" w:pos="1586"/>
        </w:tabs>
        <w:ind w:left="1586" w:hanging="735"/>
      </w:pPr>
      <w:rPr>
        <w:rFonts w:ascii="Symbol" w:eastAsia="Times New Roman" w:hAnsi="Symbol" w:cs="Arial"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4">
    <w:nsid w:val="6DD72E94"/>
    <w:multiLevelType w:val="hybridMultilevel"/>
    <w:tmpl w:val="D6980C4A"/>
    <w:lvl w:ilvl="0" w:tplc="62D86BC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71A50E39"/>
    <w:multiLevelType w:val="hybridMultilevel"/>
    <w:tmpl w:val="BF7A5846"/>
    <w:lvl w:ilvl="0" w:tplc="6C1270D0">
      <w:start w:val="1"/>
      <w:numFmt w:val="bullet"/>
      <w:lvlText w:val=""/>
      <w:lvlJc w:val="left"/>
      <w:pPr>
        <w:tabs>
          <w:tab w:val="num" w:pos="720"/>
        </w:tabs>
        <w:ind w:left="720" w:hanging="360"/>
      </w:pPr>
      <w:rPr>
        <w:rFonts w:ascii="Symbol" w:hAnsi="Symbol" w:hint="default"/>
        <w:b w:val="0"/>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6">
    <w:nsid w:val="740C436A"/>
    <w:multiLevelType w:val="hybridMultilevel"/>
    <w:tmpl w:val="35820624"/>
    <w:lvl w:ilvl="0" w:tplc="B2E8DB0E">
      <w:numFmt w:val="bullet"/>
      <w:lvlText w:val="-"/>
      <w:lvlJc w:val="left"/>
      <w:pPr>
        <w:ind w:left="720" w:hanging="360"/>
      </w:pPr>
      <w:rPr>
        <w:rFonts w:ascii="Verdana" w:eastAsia="Times New Roman" w:hAnsi="Verdana"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ADF04EC"/>
    <w:multiLevelType w:val="hybridMultilevel"/>
    <w:tmpl w:val="E5A6A8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CA50C27"/>
    <w:multiLevelType w:val="hybridMultilevel"/>
    <w:tmpl w:val="C8064C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5"/>
  </w:num>
  <w:num w:numId="3">
    <w:abstractNumId w:val="3"/>
  </w:num>
  <w:num w:numId="4">
    <w:abstractNumId w:val="6"/>
  </w:num>
  <w:num w:numId="5">
    <w:abstractNumId w:val="2"/>
  </w:num>
  <w:num w:numId="6">
    <w:abstractNumId w:val="13"/>
  </w:num>
  <w:num w:numId="7">
    <w:abstractNumId w:val="7"/>
  </w:num>
  <w:num w:numId="8">
    <w:abstractNumId w:val="0"/>
  </w:num>
  <w:num w:numId="9">
    <w:abstractNumId w:val="4"/>
  </w:num>
  <w:num w:numId="10">
    <w:abstractNumId w:val="12"/>
  </w:num>
  <w:num w:numId="11">
    <w:abstractNumId w:val="18"/>
  </w:num>
  <w:num w:numId="12">
    <w:abstractNumId w:val="14"/>
  </w:num>
  <w:num w:numId="13">
    <w:abstractNumId w:val="16"/>
  </w:num>
  <w:num w:numId="14">
    <w:abstractNumId w:val="10"/>
  </w:num>
  <w:num w:numId="15">
    <w:abstractNumId w:val="5"/>
  </w:num>
  <w:num w:numId="16">
    <w:abstractNumId w:val="1"/>
  </w:num>
  <w:num w:numId="17">
    <w:abstractNumId w:val="8"/>
  </w:num>
  <w:num w:numId="18">
    <w:abstractNumId w:val="9"/>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3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A94"/>
    <w:rsid w:val="00024A7C"/>
    <w:rsid w:val="00052AEF"/>
    <w:rsid w:val="00071E78"/>
    <w:rsid w:val="00077AB1"/>
    <w:rsid w:val="00094AE5"/>
    <w:rsid w:val="000C184C"/>
    <w:rsid w:val="000D2A88"/>
    <w:rsid w:val="000D7932"/>
    <w:rsid w:val="0010707C"/>
    <w:rsid w:val="00110E5F"/>
    <w:rsid w:val="001342D1"/>
    <w:rsid w:val="00141AC6"/>
    <w:rsid w:val="001753E5"/>
    <w:rsid w:val="00177785"/>
    <w:rsid w:val="00181A3C"/>
    <w:rsid w:val="0018493B"/>
    <w:rsid w:val="001975AC"/>
    <w:rsid w:val="00197F8C"/>
    <w:rsid w:val="001C6E6A"/>
    <w:rsid w:val="001E405B"/>
    <w:rsid w:val="00212F78"/>
    <w:rsid w:val="00227C17"/>
    <w:rsid w:val="002442D3"/>
    <w:rsid w:val="002502B9"/>
    <w:rsid w:val="00254075"/>
    <w:rsid w:val="00267C70"/>
    <w:rsid w:val="00294530"/>
    <w:rsid w:val="002C662A"/>
    <w:rsid w:val="002D66E6"/>
    <w:rsid w:val="00316D7B"/>
    <w:rsid w:val="00340C6D"/>
    <w:rsid w:val="00345951"/>
    <w:rsid w:val="003478A3"/>
    <w:rsid w:val="00353BBE"/>
    <w:rsid w:val="00372FA9"/>
    <w:rsid w:val="003B0410"/>
    <w:rsid w:val="003D2923"/>
    <w:rsid w:val="003E4FD4"/>
    <w:rsid w:val="003E5AB8"/>
    <w:rsid w:val="003F6567"/>
    <w:rsid w:val="004215AE"/>
    <w:rsid w:val="00422B7D"/>
    <w:rsid w:val="00433094"/>
    <w:rsid w:val="00436D1F"/>
    <w:rsid w:val="00441DC7"/>
    <w:rsid w:val="00476E6A"/>
    <w:rsid w:val="004805E0"/>
    <w:rsid w:val="004A23E6"/>
    <w:rsid w:val="004B460F"/>
    <w:rsid w:val="004C774A"/>
    <w:rsid w:val="004D4216"/>
    <w:rsid w:val="004D70FE"/>
    <w:rsid w:val="004F3C7B"/>
    <w:rsid w:val="00521108"/>
    <w:rsid w:val="00534D3B"/>
    <w:rsid w:val="005609B0"/>
    <w:rsid w:val="005620F9"/>
    <w:rsid w:val="00570EA9"/>
    <w:rsid w:val="00586C76"/>
    <w:rsid w:val="005C2C35"/>
    <w:rsid w:val="005D6ED8"/>
    <w:rsid w:val="005D7945"/>
    <w:rsid w:val="005E1E01"/>
    <w:rsid w:val="005E3CA8"/>
    <w:rsid w:val="00641261"/>
    <w:rsid w:val="00653C4B"/>
    <w:rsid w:val="00672BB0"/>
    <w:rsid w:val="00696A69"/>
    <w:rsid w:val="006A06D8"/>
    <w:rsid w:val="006B5AFC"/>
    <w:rsid w:val="006C58EC"/>
    <w:rsid w:val="006D056A"/>
    <w:rsid w:val="006E47E9"/>
    <w:rsid w:val="00741AC7"/>
    <w:rsid w:val="00761F7B"/>
    <w:rsid w:val="00764F01"/>
    <w:rsid w:val="00795C9A"/>
    <w:rsid w:val="007A28AA"/>
    <w:rsid w:val="007B098F"/>
    <w:rsid w:val="007C0863"/>
    <w:rsid w:val="007E1835"/>
    <w:rsid w:val="007E289D"/>
    <w:rsid w:val="00827EBC"/>
    <w:rsid w:val="00866A4F"/>
    <w:rsid w:val="00877A7A"/>
    <w:rsid w:val="00892408"/>
    <w:rsid w:val="008B2834"/>
    <w:rsid w:val="008D2A94"/>
    <w:rsid w:val="008E392F"/>
    <w:rsid w:val="008F2861"/>
    <w:rsid w:val="0090038C"/>
    <w:rsid w:val="00905A9A"/>
    <w:rsid w:val="0095272F"/>
    <w:rsid w:val="00970A0F"/>
    <w:rsid w:val="009A05F6"/>
    <w:rsid w:val="009A0726"/>
    <w:rsid w:val="009A3C99"/>
    <w:rsid w:val="009A5D97"/>
    <w:rsid w:val="009C0FAE"/>
    <w:rsid w:val="009C1AD3"/>
    <w:rsid w:val="009D1916"/>
    <w:rsid w:val="009F1591"/>
    <w:rsid w:val="00A00E3A"/>
    <w:rsid w:val="00A41D7B"/>
    <w:rsid w:val="00A578DA"/>
    <w:rsid w:val="00A64F1F"/>
    <w:rsid w:val="00A80554"/>
    <w:rsid w:val="00A80892"/>
    <w:rsid w:val="00A821BB"/>
    <w:rsid w:val="00A826E3"/>
    <w:rsid w:val="00AA0310"/>
    <w:rsid w:val="00AA7BD4"/>
    <w:rsid w:val="00AC4CAB"/>
    <w:rsid w:val="00AD1E4F"/>
    <w:rsid w:val="00AE1798"/>
    <w:rsid w:val="00AE3E5A"/>
    <w:rsid w:val="00B0444F"/>
    <w:rsid w:val="00B125BA"/>
    <w:rsid w:val="00B42F0F"/>
    <w:rsid w:val="00B978E8"/>
    <w:rsid w:val="00BA5D13"/>
    <w:rsid w:val="00BB563F"/>
    <w:rsid w:val="00BB717D"/>
    <w:rsid w:val="00BB7ADE"/>
    <w:rsid w:val="00BC25CD"/>
    <w:rsid w:val="00BD1D8A"/>
    <w:rsid w:val="00BF741F"/>
    <w:rsid w:val="00C01C44"/>
    <w:rsid w:val="00C145EC"/>
    <w:rsid w:val="00C14D6E"/>
    <w:rsid w:val="00C342FB"/>
    <w:rsid w:val="00C36BFE"/>
    <w:rsid w:val="00C67762"/>
    <w:rsid w:val="00C71D35"/>
    <w:rsid w:val="00C73BF4"/>
    <w:rsid w:val="00C76A12"/>
    <w:rsid w:val="00C81B46"/>
    <w:rsid w:val="00C82F2E"/>
    <w:rsid w:val="00C90C06"/>
    <w:rsid w:val="00C913F1"/>
    <w:rsid w:val="00CD5163"/>
    <w:rsid w:val="00CE5AC0"/>
    <w:rsid w:val="00D01702"/>
    <w:rsid w:val="00D0427C"/>
    <w:rsid w:val="00D079A8"/>
    <w:rsid w:val="00D16EC5"/>
    <w:rsid w:val="00D2303D"/>
    <w:rsid w:val="00D2464B"/>
    <w:rsid w:val="00D34B38"/>
    <w:rsid w:val="00D35DA0"/>
    <w:rsid w:val="00D3645C"/>
    <w:rsid w:val="00D65057"/>
    <w:rsid w:val="00D7131B"/>
    <w:rsid w:val="00D740F2"/>
    <w:rsid w:val="00D876C1"/>
    <w:rsid w:val="00D95F9B"/>
    <w:rsid w:val="00DC7012"/>
    <w:rsid w:val="00E04E9D"/>
    <w:rsid w:val="00E23FCB"/>
    <w:rsid w:val="00E468CC"/>
    <w:rsid w:val="00E532B0"/>
    <w:rsid w:val="00E90945"/>
    <w:rsid w:val="00E93305"/>
    <w:rsid w:val="00E95BC3"/>
    <w:rsid w:val="00EF48B2"/>
    <w:rsid w:val="00F25578"/>
    <w:rsid w:val="00F33804"/>
    <w:rsid w:val="00F37116"/>
    <w:rsid w:val="00F378CC"/>
    <w:rsid w:val="00F71D21"/>
    <w:rsid w:val="00F74EBF"/>
    <w:rsid w:val="00F968D2"/>
    <w:rsid w:val="00FB7145"/>
    <w:rsid w:val="00FC10AB"/>
    <w:rsid w:val="00FC1D26"/>
    <w:rsid w:val="00FC59F9"/>
    <w:rsid w:val="00FD1B38"/>
    <w:rsid w:val="00FD3585"/>
    <w:rsid w:val="00FE15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uin">
    <w:name w:val="Guión"/>
    <w:basedOn w:val="Normal"/>
    <w:pPr>
      <w:ind w:left="709" w:hanging="283"/>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pBdr>
        <w:top w:val="single" w:sz="6" w:space="1" w:color="C0C0C0"/>
        <w:left w:val="single" w:sz="6" w:space="1" w:color="C0C0C0"/>
        <w:bottom w:val="single" w:sz="6" w:space="1" w:color="C0C0C0"/>
        <w:right w:val="single" w:sz="6" w:space="1" w:color="C0C0C0"/>
      </w:pBdr>
      <w:shd w:val="pct5" w:color="808080" w:fill="auto"/>
      <w:tabs>
        <w:tab w:val="left" w:pos="6521"/>
      </w:tabs>
      <w:spacing w:line="360" w:lineRule="auto"/>
      <w:ind w:left="1418" w:hanging="1418"/>
    </w:pPr>
    <w:rPr>
      <w:b/>
      <w:i/>
    </w:rPr>
  </w:style>
  <w:style w:type="paragraph" w:styleId="Textoindependiente">
    <w:name w:val="Body Text"/>
    <w:basedOn w:val="Normal"/>
    <w:pPr>
      <w:spacing w:after="120"/>
    </w:pPr>
  </w:style>
  <w:style w:type="table" w:styleId="Tablaconcuadrcula">
    <w:name w:val="Table Grid"/>
    <w:basedOn w:val="Tabla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semiHidden/>
    <w:rsid w:val="00AA7BD4"/>
    <w:pPr>
      <w:shd w:val="clear" w:color="auto" w:fill="000080"/>
    </w:pPr>
    <w:rPr>
      <w:rFonts w:ascii="Tahoma" w:hAnsi="Tahoma" w:cs="Tahoma"/>
      <w:sz w:val="20"/>
    </w:rPr>
  </w:style>
  <w:style w:type="character" w:styleId="Textoennegrita">
    <w:name w:val="Strong"/>
    <w:qFormat/>
    <w:rsid w:val="00BB563F"/>
    <w:rPr>
      <w:b/>
      <w:bCs/>
    </w:rPr>
  </w:style>
  <w:style w:type="character" w:styleId="Hipervnculo">
    <w:name w:val="Hyperlink"/>
    <w:rsid w:val="005E3CA8"/>
    <w:rPr>
      <w:color w:val="0000FF"/>
      <w:u w:val="single"/>
    </w:rPr>
  </w:style>
  <w:style w:type="paragraph" w:styleId="Textodeglobo">
    <w:name w:val="Balloon Text"/>
    <w:basedOn w:val="Normal"/>
    <w:semiHidden/>
    <w:rsid w:val="007B098F"/>
    <w:rPr>
      <w:rFonts w:ascii="Tahoma" w:hAnsi="Tahoma" w:cs="Tahoma"/>
      <w:sz w:val="16"/>
      <w:szCs w:val="16"/>
    </w:rPr>
  </w:style>
  <w:style w:type="paragraph" w:customStyle="1" w:styleId="Prrafodelista1">
    <w:name w:val="Párrafo de lista1"/>
    <w:basedOn w:val="Normal"/>
    <w:rsid w:val="00AE1798"/>
    <w:pPr>
      <w:spacing w:after="160" w:line="259" w:lineRule="auto"/>
      <w:ind w:left="720"/>
      <w:contextualSpacing/>
      <w:jc w:val="left"/>
    </w:pPr>
    <w:rPr>
      <w:rFonts w:ascii="Calibri" w:hAnsi="Calibri"/>
      <w:sz w:val="22"/>
      <w:szCs w:val="22"/>
      <w:lang w:eastAsia="en-US"/>
    </w:rPr>
  </w:style>
  <w:style w:type="character" w:customStyle="1" w:styleId="destacadorojo">
    <w:name w:val="destacado_rojo"/>
    <w:basedOn w:val="Fuentedeprrafopredeter"/>
    <w:rsid w:val="00C67762"/>
  </w:style>
  <w:style w:type="paragraph" w:styleId="Prrafodelista">
    <w:name w:val="List Paragraph"/>
    <w:basedOn w:val="Normal"/>
    <w:qFormat/>
    <w:rsid w:val="007E1835"/>
    <w:pPr>
      <w:spacing w:after="200" w:line="276" w:lineRule="auto"/>
      <w:ind w:left="720"/>
      <w:contextualSpacing/>
      <w:jc w:val="left"/>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uin">
    <w:name w:val="Guión"/>
    <w:basedOn w:val="Normal"/>
    <w:pPr>
      <w:ind w:left="709" w:hanging="283"/>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pBdr>
        <w:top w:val="single" w:sz="6" w:space="1" w:color="C0C0C0"/>
        <w:left w:val="single" w:sz="6" w:space="1" w:color="C0C0C0"/>
        <w:bottom w:val="single" w:sz="6" w:space="1" w:color="C0C0C0"/>
        <w:right w:val="single" w:sz="6" w:space="1" w:color="C0C0C0"/>
      </w:pBdr>
      <w:shd w:val="pct5" w:color="808080" w:fill="auto"/>
      <w:tabs>
        <w:tab w:val="left" w:pos="6521"/>
      </w:tabs>
      <w:spacing w:line="360" w:lineRule="auto"/>
      <w:ind w:left="1418" w:hanging="1418"/>
    </w:pPr>
    <w:rPr>
      <w:b/>
      <w:i/>
    </w:rPr>
  </w:style>
  <w:style w:type="paragraph" w:styleId="Textoindependiente">
    <w:name w:val="Body Text"/>
    <w:basedOn w:val="Normal"/>
    <w:pPr>
      <w:spacing w:after="120"/>
    </w:pPr>
  </w:style>
  <w:style w:type="table" w:styleId="Tablaconcuadrcula">
    <w:name w:val="Table Grid"/>
    <w:basedOn w:val="Tabla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semiHidden/>
    <w:rsid w:val="00AA7BD4"/>
    <w:pPr>
      <w:shd w:val="clear" w:color="auto" w:fill="000080"/>
    </w:pPr>
    <w:rPr>
      <w:rFonts w:ascii="Tahoma" w:hAnsi="Tahoma" w:cs="Tahoma"/>
      <w:sz w:val="20"/>
    </w:rPr>
  </w:style>
  <w:style w:type="character" w:styleId="Textoennegrita">
    <w:name w:val="Strong"/>
    <w:qFormat/>
    <w:rsid w:val="00BB563F"/>
    <w:rPr>
      <w:b/>
      <w:bCs/>
    </w:rPr>
  </w:style>
  <w:style w:type="character" w:styleId="Hipervnculo">
    <w:name w:val="Hyperlink"/>
    <w:rsid w:val="005E3CA8"/>
    <w:rPr>
      <w:color w:val="0000FF"/>
      <w:u w:val="single"/>
    </w:rPr>
  </w:style>
  <w:style w:type="paragraph" w:styleId="Textodeglobo">
    <w:name w:val="Balloon Text"/>
    <w:basedOn w:val="Normal"/>
    <w:semiHidden/>
    <w:rsid w:val="007B098F"/>
    <w:rPr>
      <w:rFonts w:ascii="Tahoma" w:hAnsi="Tahoma" w:cs="Tahoma"/>
      <w:sz w:val="16"/>
      <w:szCs w:val="16"/>
    </w:rPr>
  </w:style>
  <w:style w:type="paragraph" w:customStyle="1" w:styleId="Prrafodelista1">
    <w:name w:val="Párrafo de lista1"/>
    <w:basedOn w:val="Normal"/>
    <w:rsid w:val="00AE1798"/>
    <w:pPr>
      <w:spacing w:after="160" w:line="259" w:lineRule="auto"/>
      <w:ind w:left="720"/>
      <w:contextualSpacing/>
      <w:jc w:val="left"/>
    </w:pPr>
    <w:rPr>
      <w:rFonts w:ascii="Calibri" w:hAnsi="Calibri"/>
      <w:sz w:val="22"/>
      <w:szCs w:val="22"/>
      <w:lang w:eastAsia="en-US"/>
    </w:rPr>
  </w:style>
  <w:style w:type="character" w:customStyle="1" w:styleId="destacadorojo">
    <w:name w:val="destacado_rojo"/>
    <w:basedOn w:val="Fuentedeprrafopredeter"/>
    <w:rsid w:val="00C67762"/>
  </w:style>
  <w:style w:type="paragraph" w:styleId="Prrafodelista">
    <w:name w:val="List Paragraph"/>
    <w:basedOn w:val="Normal"/>
    <w:qFormat/>
    <w:rsid w:val="007E1835"/>
    <w:pPr>
      <w:spacing w:after="200" w:line="276" w:lineRule="auto"/>
      <w:ind w:left="720"/>
      <w:contextualSpacing/>
      <w:jc w:val="lef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099418">
      <w:bodyDiv w:val="1"/>
      <w:marLeft w:val="0"/>
      <w:marRight w:val="0"/>
      <w:marTop w:val="0"/>
      <w:marBottom w:val="0"/>
      <w:divBdr>
        <w:top w:val="none" w:sz="0" w:space="0" w:color="auto"/>
        <w:left w:val="none" w:sz="0" w:space="0" w:color="auto"/>
        <w:bottom w:val="none" w:sz="0" w:space="0" w:color="auto"/>
        <w:right w:val="none" w:sz="0" w:space="0" w:color="auto"/>
      </w:divBdr>
    </w:div>
    <w:div w:id="660962338">
      <w:bodyDiv w:val="1"/>
      <w:marLeft w:val="0"/>
      <w:marRight w:val="0"/>
      <w:marTop w:val="0"/>
      <w:marBottom w:val="0"/>
      <w:divBdr>
        <w:top w:val="none" w:sz="0" w:space="0" w:color="auto"/>
        <w:left w:val="none" w:sz="0" w:space="0" w:color="auto"/>
        <w:bottom w:val="none" w:sz="0" w:space="0" w:color="auto"/>
        <w:right w:val="none" w:sz="0" w:space="0" w:color="auto"/>
      </w:divBdr>
    </w:div>
    <w:div w:id="1492915743">
      <w:bodyDiv w:val="1"/>
      <w:marLeft w:val="0"/>
      <w:marRight w:val="0"/>
      <w:marTop w:val="0"/>
      <w:marBottom w:val="0"/>
      <w:divBdr>
        <w:top w:val="none" w:sz="0" w:space="0" w:color="auto"/>
        <w:left w:val="none" w:sz="0" w:space="0" w:color="auto"/>
        <w:bottom w:val="none" w:sz="0" w:space="0" w:color="auto"/>
        <w:right w:val="none" w:sz="0" w:space="0" w:color="auto"/>
      </w:divBdr>
    </w:div>
    <w:div w:id="1595943959">
      <w:bodyDiv w:val="1"/>
      <w:marLeft w:val="0"/>
      <w:marRight w:val="0"/>
      <w:marTop w:val="0"/>
      <w:marBottom w:val="0"/>
      <w:divBdr>
        <w:top w:val="none" w:sz="0" w:space="0" w:color="auto"/>
        <w:left w:val="none" w:sz="0" w:space="0" w:color="auto"/>
        <w:bottom w:val="none" w:sz="0" w:space="0" w:color="auto"/>
        <w:right w:val="none" w:sz="0" w:space="0" w:color="auto"/>
      </w:divBdr>
      <w:divsChild>
        <w:div w:id="1600483805">
          <w:marLeft w:val="0"/>
          <w:marRight w:val="0"/>
          <w:marTop w:val="0"/>
          <w:marBottom w:val="0"/>
          <w:divBdr>
            <w:top w:val="single" w:sz="6" w:space="0" w:color="000000"/>
            <w:left w:val="single" w:sz="6" w:space="0" w:color="000000"/>
            <w:bottom w:val="single" w:sz="6" w:space="0" w:color="000000"/>
            <w:right w:val="single" w:sz="6" w:space="0" w:color="000000"/>
          </w:divBdr>
          <w:divsChild>
            <w:div w:id="1960723546">
              <w:marLeft w:val="0"/>
              <w:marRight w:val="240"/>
              <w:marTop w:val="0"/>
              <w:marBottom w:val="0"/>
              <w:divBdr>
                <w:top w:val="none" w:sz="0" w:space="0" w:color="auto"/>
                <w:left w:val="none" w:sz="0" w:space="0" w:color="auto"/>
                <w:bottom w:val="none" w:sz="0" w:space="0" w:color="auto"/>
                <w:right w:val="none" w:sz="0" w:space="0" w:color="auto"/>
              </w:divBdr>
              <w:divsChild>
                <w:div w:id="1508251195">
                  <w:marLeft w:val="0"/>
                  <w:marRight w:val="0"/>
                  <w:marTop w:val="0"/>
                  <w:marBottom w:val="0"/>
                  <w:divBdr>
                    <w:top w:val="none" w:sz="0" w:space="0" w:color="auto"/>
                    <w:left w:val="none" w:sz="0" w:space="0" w:color="auto"/>
                    <w:bottom w:val="none" w:sz="0" w:space="0" w:color="auto"/>
                    <w:right w:val="dotted" w:sz="2" w:space="0" w:color="999999"/>
                  </w:divBdr>
                  <w:divsChild>
                    <w:div w:id="1826389583">
                      <w:marLeft w:val="335"/>
                      <w:marRight w:val="0"/>
                      <w:marTop w:val="0"/>
                      <w:marBottom w:val="335"/>
                      <w:divBdr>
                        <w:top w:val="none" w:sz="0" w:space="0" w:color="auto"/>
                        <w:left w:val="none" w:sz="0" w:space="0" w:color="auto"/>
                        <w:bottom w:val="none" w:sz="0" w:space="0" w:color="auto"/>
                        <w:right w:val="none" w:sz="0" w:space="0" w:color="auto"/>
                      </w:divBdr>
                      <w:divsChild>
                        <w:div w:id="1101681095">
                          <w:marLeft w:val="0"/>
                          <w:marRight w:val="0"/>
                          <w:marTop w:val="0"/>
                          <w:marBottom w:val="0"/>
                          <w:divBdr>
                            <w:top w:val="none" w:sz="0" w:space="0" w:color="auto"/>
                            <w:left w:val="none" w:sz="0" w:space="0" w:color="auto"/>
                            <w:bottom w:val="none" w:sz="0" w:space="0" w:color="auto"/>
                            <w:right w:val="none" w:sz="0" w:space="0" w:color="auto"/>
                          </w:divBdr>
                          <w:divsChild>
                            <w:div w:id="54937843">
                              <w:marLeft w:val="0"/>
                              <w:marRight w:val="0"/>
                              <w:marTop w:val="0"/>
                              <w:marBottom w:val="0"/>
                              <w:divBdr>
                                <w:top w:val="none" w:sz="0" w:space="0" w:color="auto"/>
                                <w:left w:val="none" w:sz="0" w:space="0" w:color="auto"/>
                                <w:bottom w:val="none" w:sz="0" w:space="0" w:color="auto"/>
                                <w:right w:val="none" w:sz="0" w:space="0" w:color="auto"/>
                              </w:divBdr>
                            </w:div>
                            <w:div w:id="187847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1583</Words>
  <Characters>11615</Characters>
  <Application>Microsoft Office Word</Application>
  <DocSecurity>0</DocSecurity>
  <Lines>96</Lines>
  <Paragraphs>26</Paragraphs>
  <ScaleCrop>false</ScaleCrop>
  <HeadingPairs>
    <vt:vector size="2" baseType="variant">
      <vt:variant>
        <vt:lpstr>Título</vt:lpstr>
      </vt:variant>
      <vt:variant>
        <vt:i4>1</vt:i4>
      </vt:variant>
    </vt:vector>
  </HeadingPairs>
  <TitlesOfParts>
    <vt:vector size="1" baseType="lpstr">
      <vt:lpstr>Respuesta pregunta parlamentaria</vt:lpstr>
    </vt:vector>
  </TitlesOfParts>
  <Company>Gobierno de Navarra</Company>
  <LinksUpToDate>false</LinksUpToDate>
  <CharactersWithSpaces>13172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pregunta parlamentaria</dc:title>
  <dc:creator>Aranaz, Carlota</dc:creator>
  <cp:lastModifiedBy>Iñaki De Santiago</cp:lastModifiedBy>
  <cp:revision>3</cp:revision>
  <cp:lastPrinted>2019-02-26T12:36:00Z</cp:lastPrinted>
  <dcterms:created xsi:type="dcterms:W3CDTF">2019-04-29T10:56:00Z</dcterms:created>
  <dcterms:modified xsi:type="dcterms:W3CDTF">2019-04-29T11:18:00Z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PL0000054 Respuesta pregunta parlamentaria</vt:lpwstr>
  </property>
  <property fmtid="{D5CDD505-2E9C-101B-9397-08002B2CF9AE}" pid="3" name="Order">
    <vt:lpwstr>18900.0000000000</vt:lpwstr>
  </property>
  <property fmtid="{D5CDD505-2E9C-101B-9397-08002B2CF9AE}" pid="4" name="Revisión">
    <vt:lpwstr>0</vt:lpwstr>
  </property>
  <property fmtid="{D5CDD505-2E9C-101B-9397-08002B2CF9AE}" pid="5" name="Ámbito">
    <vt:lpwstr>GABINETE CONSEJERA</vt:lpwstr>
  </property>
  <property fmtid="{D5CDD505-2E9C-101B-9397-08002B2CF9AE}" pid="6" name="Tipo documento calidad">
    <vt:lpwstr>3</vt:lpwstr>
  </property>
  <property fmtid="{D5CDD505-2E9C-101B-9397-08002B2CF9AE}" pid="7" name="Descripción del documento">
    <vt:lpwstr/>
  </property>
  <property fmtid="{D5CDD505-2E9C-101B-9397-08002B2CF9AE}" pid="8" name="Proceso antiguo0">
    <vt:lpwstr>26</vt:lpwstr>
  </property>
  <property fmtid="{D5CDD505-2E9C-101B-9397-08002B2CF9AE}" pid="9" name="Procesos">
    <vt:lpwstr>0</vt:lpwstr>
  </property>
  <property fmtid="{D5CDD505-2E9C-101B-9397-08002B2CF9AE}" pid="10" name="ContentType">
    <vt:lpwstr>Documentación de Calidad</vt:lpwstr>
  </property>
  <property fmtid="{D5CDD505-2E9C-101B-9397-08002B2CF9AE}" pid="11" name="Documentos asociados">
    <vt:lpwstr/>
  </property>
</Properties>
</file>