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737" w:rsidRDefault="00892408" w:rsidP="00892408">
      <w:pPr>
        <w:ind w:firstLine="709"/>
        <w:rPr>
          <w:sz w:val="22"/>
          <w:szCs w:val="22"/>
          <w:rFonts w:ascii="Tahoma" w:hAnsi="Tahoma" w:cs="Tahoma"/>
        </w:rPr>
      </w:pPr>
      <w:r>
        <w:rPr>
          <w:sz w:val="22"/>
          <w:szCs w:val="22"/>
          <w:b/>
          <w:bCs/>
          <w:rFonts w:ascii="Tahoma" w:hAnsi="Tahoma"/>
        </w:rPr>
        <w:t xml:space="preserve">EH Bildu-Nafarroa</w:t>
      </w:r>
      <w:r>
        <w:rPr>
          <w:sz w:val="22"/>
          <w:szCs w:val="22"/>
          <w:rFonts w:ascii="Tahoma" w:hAnsi="Tahoma"/>
        </w:rPr>
        <w:t xml:space="preserve"> taldeari atxikitako foru parlamentari </w:t>
      </w:r>
      <w:r>
        <w:rPr>
          <w:sz w:val="22"/>
          <w:szCs w:val="22"/>
          <w:b/>
          <w:bCs/>
          <w:rFonts w:ascii="Tahoma" w:hAnsi="Tahoma"/>
        </w:rPr>
        <w:t xml:space="preserve">Maiorga Ramirez Erro</w:t>
      </w:r>
      <w:r>
        <w:rPr>
          <w:sz w:val="22"/>
          <w:szCs w:val="22"/>
          <w:rFonts w:ascii="Tahoma" w:hAnsi="Tahoma"/>
        </w:rPr>
        <w:t xml:space="preserve"> jaunak idatziz erantzuteko galdera egin du Lurpeko prospekzioen tratamenduari buruz </w:t>
      </w:r>
      <w:r>
        <w:rPr>
          <w:sz w:val="22"/>
          <w:szCs w:val="22"/>
          <w:b/>
          <w:bCs/>
          <w:rFonts w:ascii="Tahoma" w:hAnsi="Tahoma"/>
        </w:rPr>
        <w:t xml:space="preserve">(9-19/PES-00011)</w:t>
      </w:r>
      <w:r>
        <w:rPr>
          <w:sz w:val="22"/>
          <w:szCs w:val="22"/>
          <w:rFonts w:ascii="Tahoma" w:hAnsi="Tahoma"/>
        </w:rPr>
        <w:t xml:space="preserve">. Hona Garapen Ekonomikorako kontseilariaren erantzuna:</w:t>
      </w:r>
      <w:r>
        <w:rPr>
          <w:sz w:val="22"/>
          <w:szCs w:val="22"/>
          <w:b/>
          <w:rFonts w:ascii="Tahoma" w:hAnsi="Tahoma"/>
        </w:rPr>
        <w:t xml:space="preserve"> </w:t>
      </w:r>
    </w:p>
    <w:p w:rsidR="00B75737" w:rsidRDefault="00641261" w:rsidP="009C0FAE">
      <w:pPr>
        <w:rPr>
          <w:b/>
          <w:i/>
          <w:sz w:val="22"/>
          <w:szCs w:val="22"/>
          <w:rFonts w:ascii="Tahoma" w:hAnsi="Tahoma" w:cs="Tahoma"/>
        </w:rPr>
      </w:pPr>
      <w:r>
        <w:rPr>
          <w:b/>
          <w:i/>
          <w:sz w:val="22"/>
          <w:szCs w:val="22"/>
          <w:rFonts w:ascii="Tahoma" w:hAnsi="Tahoma"/>
        </w:rPr>
        <w:t xml:space="preserve">Nafarroako Gobernuak ba al dauka protokolorik horiek non dauden eta behar bezala itxita eta zigilatuta dauden jakiteko?"</w:t>
      </w:r>
    </w:p>
    <w:p w:rsidR="00B75737" w:rsidRDefault="000D2A88" w:rsidP="009C0FAE">
      <w:pPr>
        <w:rPr>
          <w:sz w:val="22"/>
          <w:szCs w:val="22"/>
          <w:rFonts w:ascii="Tahoma" w:hAnsi="Tahoma" w:cs="Tahoma"/>
        </w:rPr>
      </w:pPr>
      <w:r>
        <w:rPr>
          <w:sz w:val="22"/>
          <w:szCs w:val="22"/>
          <w:rFonts w:ascii="Tahoma" w:hAnsi="Tahoma"/>
        </w:rPr>
        <w:t xml:space="preserve">Galderari erantzun baino lehen, aipatu beharra dago mehatzeei buruzko araudiak zer ezartzen duen gai horri buruz.</w:t>
      </w:r>
      <w:r>
        <w:rPr>
          <w:sz w:val="22"/>
          <w:szCs w:val="22"/>
          <w:rFonts w:ascii="Tahoma" w:hAnsi="Tahoma"/>
        </w:rPr>
        <w:t xml:space="preserve"> </w:t>
      </w:r>
    </w:p>
    <w:p w:rsidR="00B75737" w:rsidRDefault="00E532B0" w:rsidP="00E532B0">
      <w:pPr>
        <w:rPr>
          <w:sz w:val="22"/>
          <w:szCs w:val="22"/>
          <w:rFonts w:ascii="Tahoma" w:hAnsi="Tahoma" w:cs="Tahoma"/>
        </w:rPr>
      </w:pPr>
      <w:r>
        <w:rPr>
          <w:sz w:val="22"/>
          <w:szCs w:val="22"/>
          <w:rFonts w:ascii="Tahoma" w:hAnsi="Tahoma"/>
        </w:rPr>
        <w:t xml:space="preserve">Lehenbizi, apirilaren 2ko 863/1985 Errege-dekretuaren bidez onetsitako Segurtasunaren Oinarrizko Arauei buruzko Erregelamendu Orokorraren 109. artikuluak honako hau ezartzen du: </w:t>
      </w:r>
      <w:r>
        <w:rPr>
          <w:sz w:val="22"/>
          <w:szCs w:val="22"/>
          <w:u w:val="single"/>
          <w:i/>
          <w:iCs/>
          <w:rFonts w:ascii="Tahoma" w:hAnsi="Tahoma"/>
        </w:rPr>
        <w:t xml:space="preserve">“Lurreko eta </w:t>
      </w:r>
      <w:r>
        <w:rPr>
          <w:sz w:val="22"/>
          <w:szCs w:val="22"/>
          <w:i/>
          <w:iCs/>
          <w:rFonts w:ascii="Tahoma" w:hAnsi="Tahoma"/>
        </w:rPr>
        <w:t xml:space="preserve">itsasoko</w:t>
      </w:r>
      <w:r>
        <w:rPr>
          <w:sz w:val="22"/>
          <w:szCs w:val="22"/>
          <w:rFonts w:ascii="Tahoma" w:hAnsi="Tahoma"/>
        </w:rPr>
        <w:t xml:space="preserve"> </w:t>
      </w:r>
      <w:r>
        <w:rPr>
          <w:sz w:val="22"/>
          <w:szCs w:val="22"/>
          <w:u w:val="single"/>
          <w:i/>
          <w:iCs/>
          <w:rFonts w:ascii="Tahoma" w:hAnsi="Tahoma"/>
        </w:rPr>
        <w:t xml:space="preserve">zundaketek, </w:t>
      </w:r>
      <w:r>
        <w:rPr>
          <w:sz w:val="22"/>
          <w:szCs w:val="22"/>
          <w:i/>
          <w:iCs/>
          <w:rFonts w:ascii="Tahoma" w:hAnsi="Tahoma"/>
        </w:rPr>
        <w:t xml:space="preserve">hobi pedologikoek, antoxinek, lan geofisikoek, antzinako lanen errekonozimenduek edo bestelako prospekzio </w:t>
      </w:r>
      <w:r>
        <w:rPr>
          <w:sz w:val="22"/>
          <w:szCs w:val="22"/>
          <w:i/>
          <w:iCs/>
          <w:i/>
          <w:iCs/>
          <w:rFonts w:ascii="Tahoma" w:hAnsi="Tahoma"/>
        </w:rPr>
        <w:t xml:space="preserve">lanek </w:t>
      </w:r>
      <w:r>
        <w:rPr>
          <w:sz w:val="22"/>
          <w:szCs w:val="22"/>
          <w:u w:val="single"/>
          <w:i/>
          <w:iCs/>
          <w:rFonts w:ascii="Tahoma" w:hAnsi="Tahoma"/>
        </w:rPr>
        <w:t xml:space="preserve">onetsitako proiektu bat beharko dute, zuzendari fakultatibo baten aginduen pean eginen dira, </w:t>
      </w:r>
      <w:r>
        <w:rPr>
          <w:sz w:val="22"/>
          <w:szCs w:val="22"/>
          <w:rFonts w:ascii="Tahoma" w:hAnsi="Tahoma"/>
        </w:rPr>
        <w:t xml:space="preserve">eta Erregelamendu honetan xedatutakoa beteko dute.</w:t>
      </w:r>
      <w:r>
        <w:rPr>
          <w:sz w:val="22"/>
          <w:szCs w:val="22"/>
          <w:i/>
          <w:iCs/>
          <w:rFonts w:ascii="Tahoma" w:hAnsi="Tahoma"/>
        </w:rPr>
        <w:t xml:space="preserve">”</w:t>
      </w:r>
      <w:r>
        <w:rPr>
          <w:sz w:val="22"/>
          <w:szCs w:val="22"/>
          <w:rFonts w:ascii="Tahoma" w:hAnsi="Tahoma"/>
        </w:rPr>
        <w:t xml:space="preserve"> </w:t>
      </w:r>
      <w:r>
        <w:rPr>
          <w:sz w:val="22"/>
          <w:szCs w:val="22"/>
          <w:rFonts w:ascii="Tahoma" w:hAnsi="Tahoma"/>
        </w:rPr>
        <w:t xml:space="preserve">Hau da, zundaketak teknikari eskudunak idatzitako proiektu baten arabera egin behar dira, meatzaritza-arloko organo eskudunak onetsi behar ditu eta zuzendaritza fakultatibo baten zuzendaritzaren pean egin behar dira; hau da, teknikari eskudun batek zuzendu behar ditu.</w:t>
      </w:r>
      <w:r>
        <w:rPr>
          <w:sz w:val="22"/>
          <w:szCs w:val="22"/>
          <w:rFonts w:ascii="Tahoma" w:hAnsi="Tahoma"/>
        </w:rPr>
        <w:t xml:space="preserve"> </w:t>
      </w:r>
    </w:p>
    <w:p w:rsidR="00B75737" w:rsidRDefault="00E532B0" w:rsidP="00E532B0">
      <w:pPr>
        <w:rPr>
          <w:sz w:val="22"/>
          <w:szCs w:val="22"/>
          <w:rFonts w:ascii="Tahoma" w:hAnsi="Tahoma" w:cs="Tahoma"/>
        </w:rPr>
      </w:pPr>
      <w:r>
        <w:rPr>
          <w:sz w:val="22"/>
          <w:szCs w:val="22"/>
          <w:rFonts w:ascii="Tahoma" w:hAnsi="Tahoma"/>
        </w:rPr>
        <w:t xml:space="preserve">Horixe bera zehaztasun handiagoz ageri da Jarraibide Tekniko Osagarrian:</w:t>
      </w:r>
      <w:r>
        <w:rPr>
          <w:sz w:val="22"/>
          <w:szCs w:val="22"/>
          <w:rFonts w:ascii="Tahoma" w:hAnsi="Tahoma"/>
        </w:rPr>
        <w:t xml:space="preserve"> </w:t>
      </w:r>
      <w:r>
        <w:rPr>
          <w:sz w:val="22"/>
          <w:szCs w:val="22"/>
          <w:rFonts w:ascii="Tahoma" w:hAnsi="Tahoma"/>
        </w:rPr>
        <w:t xml:space="preserve">06.0.01 - VI. kapituluko preskripzio teknikoak - Erregelamendu horretako lan bereziak, prospekzioak eta zundaketak. 1985eko urriaren 2ko aginduaz onetsia.</w:t>
      </w:r>
    </w:p>
    <w:p w:rsidR="00B75737" w:rsidRDefault="00294530" w:rsidP="00294530">
      <w:pPr>
        <w:rPr>
          <w:i/>
          <w:sz w:val="22"/>
          <w:szCs w:val="22"/>
          <w:rFonts w:ascii="Tahoma" w:hAnsi="Tahoma" w:cs="Tahoma"/>
        </w:rPr>
      </w:pPr>
      <w:r>
        <w:rPr>
          <w:i/>
          <w:sz w:val="22"/>
          <w:szCs w:val="22"/>
          <w:rFonts w:ascii="Tahoma" w:hAnsi="Tahoma"/>
        </w:rPr>
        <w:t xml:space="preserve">"1.</w:t>
      </w:r>
      <w:r>
        <w:rPr>
          <w:i/>
          <w:sz w:val="22"/>
          <w:szCs w:val="22"/>
          <w:rFonts w:ascii="Tahoma" w:hAnsi="Tahoma"/>
        </w:rPr>
        <w:t xml:space="preserve"> </w:t>
      </w:r>
      <w:r>
        <w:rPr>
          <w:i/>
          <w:sz w:val="22"/>
          <w:szCs w:val="22"/>
          <w:rFonts w:ascii="Tahoma" w:hAnsi="Tahoma"/>
        </w:rPr>
        <w:t xml:space="preserve">Proiektua.</w:t>
      </w:r>
    </w:p>
    <w:p w:rsidR="00B75737" w:rsidRDefault="00294530" w:rsidP="00294530">
      <w:pPr>
        <w:rPr>
          <w:i/>
          <w:sz w:val="22"/>
          <w:szCs w:val="22"/>
          <w:rFonts w:ascii="Tahoma" w:hAnsi="Tahoma" w:cs="Tahoma"/>
        </w:rPr>
      </w:pPr>
      <w:r>
        <w:rPr>
          <w:i/>
          <w:sz w:val="22"/>
          <w:szCs w:val="22"/>
          <w:i/>
          <w:iCs/>
          <w:u w:val="single"/>
          <w:rFonts w:ascii="Tahoma" w:hAnsi="Tahoma"/>
        </w:rPr>
        <w:t xml:space="preserve">Lurreko</w:t>
      </w:r>
      <w:r>
        <w:rPr>
          <w:i/>
          <w:sz w:val="22"/>
          <w:szCs w:val="22"/>
          <w:i/>
          <w:iCs/>
          <w:rFonts w:ascii="Tahoma" w:hAnsi="Tahoma"/>
        </w:rPr>
        <w:t xml:space="preserve"> eta itsasoko </w:t>
      </w:r>
      <w:r>
        <w:rPr>
          <w:i/>
          <w:sz w:val="22"/>
          <w:szCs w:val="22"/>
          <w:i/>
          <w:iCs/>
          <w:u w:val="single"/>
          <w:rFonts w:ascii="Tahoma" w:hAnsi="Tahoma"/>
        </w:rPr>
        <w:t xml:space="preserve">zundaketetarako</w:t>
      </w:r>
      <w:r>
        <w:rPr>
          <w:i/>
          <w:sz w:val="22"/>
          <w:szCs w:val="22"/>
          <w:i/>
          <w:iCs/>
          <w:rFonts w:ascii="Tahoma" w:hAnsi="Tahoma"/>
        </w:rPr>
        <w:t xml:space="preserve">, hobi pedologikoetarako, antoxinetarako, lan geofisikoetarako, antzinako lanen errekonozimenduetarako edo bestelako prospekzio-lanetarako </w:t>
      </w:r>
      <w:r>
        <w:rPr>
          <w:i/>
          <w:sz w:val="22"/>
          <w:szCs w:val="22"/>
          <w:i/>
          <w:iCs/>
          <w:u w:val="single"/>
          <w:rFonts w:ascii="Tahoma" w:hAnsi="Tahoma"/>
        </w:rPr>
        <w:t xml:space="preserve">erregelamenduzko proiektua dela eta</w:t>
      </w:r>
      <w:r>
        <w:rPr>
          <w:i/>
          <w:sz w:val="22"/>
          <w:szCs w:val="22"/>
          <w:i/>
          <w:iCs/>
          <w:rFonts w:ascii="Tahoma" w:hAnsi="Tahoma"/>
        </w:rPr>
        <w:t xml:space="preserve">, honako hauek hartuko dira kontuan:</w:t>
      </w:r>
    </w:p>
    <w:p w:rsidR="00294530" w:rsidRPr="00892408" w:rsidRDefault="00294530" w:rsidP="00294530">
      <w:pPr>
        <w:numPr>
          <w:ilvl w:val="0"/>
          <w:numId w:val="12"/>
        </w:numPr>
        <w:tabs>
          <w:tab w:val="clear" w:pos="720"/>
          <w:tab w:val="num" w:pos="426"/>
        </w:tabs>
        <w:ind w:left="426" w:hanging="426"/>
        <w:rPr>
          <w:i/>
          <w:sz w:val="22"/>
          <w:szCs w:val="22"/>
          <w:rFonts w:ascii="Tahoma" w:hAnsi="Tahoma" w:cs="Tahoma"/>
        </w:rPr>
      </w:pPr>
      <w:r>
        <w:rPr>
          <w:i/>
          <w:sz w:val="22"/>
          <w:szCs w:val="22"/>
          <w:u w:val="single"/>
          <w:rFonts w:ascii="Tahoma" w:hAnsi="Tahoma"/>
        </w:rPr>
        <w:t xml:space="preserve">Proiektuan</w:t>
      </w:r>
      <w:r>
        <w:rPr>
          <w:i/>
          <w:sz w:val="22"/>
          <w:szCs w:val="22"/>
          <w:rFonts w:ascii="Tahoma" w:hAnsi="Tahoma"/>
        </w:rPr>
        <w:t xml:space="preserve"> egin beharreko lanen deskribapena eta erabili beharreko makineria agertu beharko dira, bai eta hartu beharreko </w:t>
      </w:r>
      <w:r>
        <w:rPr>
          <w:i/>
          <w:sz w:val="22"/>
          <w:szCs w:val="22"/>
          <w:u w:val="single"/>
          <w:rFonts w:ascii="Tahoma" w:hAnsi="Tahoma"/>
        </w:rPr>
        <w:t xml:space="preserve">segurtasun</w:t>
      </w:r>
      <w:r>
        <w:rPr>
          <w:i/>
          <w:sz w:val="22"/>
          <w:szCs w:val="22"/>
          <w:rFonts w:ascii="Tahoma" w:hAnsi="Tahoma"/>
        </w:rPr>
        <w:t xml:space="preserve"> eta higiene </w:t>
      </w:r>
      <w:r>
        <w:rPr>
          <w:i/>
          <w:sz w:val="22"/>
          <w:szCs w:val="22"/>
          <w:u w:val="single"/>
          <w:rFonts w:ascii="Tahoma" w:hAnsi="Tahoma"/>
        </w:rPr>
        <w:t xml:space="preserve">neurriak</w:t>
      </w:r>
      <w:r>
        <w:rPr>
          <w:i/>
          <w:sz w:val="22"/>
          <w:szCs w:val="22"/>
          <w:rFonts w:ascii="Tahoma" w:hAnsi="Tahoma"/>
        </w:rPr>
        <w:t xml:space="preserve"> ere.</w:t>
      </w:r>
    </w:p>
    <w:p w:rsidR="00294530" w:rsidRPr="00892408" w:rsidRDefault="00294530" w:rsidP="00294530">
      <w:pPr>
        <w:numPr>
          <w:ilvl w:val="0"/>
          <w:numId w:val="12"/>
        </w:numPr>
        <w:tabs>
          <w:tab w:val="clear" w:pos="720"/>
          <w:tab w:val="num" w:pos="426"/>
        </w:tabs>
        <w:ind w:left="426" w:hanging="426"/>
        <w:rPr>
          <w:i/>
          <w:sz w:val="22"/>
          <w:szCs w:val="22"/>
          <w:rFonts w:ascii="Tahoma" w:hAnsi="Tahoma" w:cs="Tahoma"/>
        </w:rPr>
      </w:pPr>
      <w:r>
        <w:rPr>
          <w:i/>
          <w:sz w:val="22"/>
          <w:szCs w:val="22"/>
          <w:u w:val="single"/>
          <w:u w:val="single"/>
          <w:rFonts w:ascii="Tahoma" w:hAnsi="Tahoma"/>
        </w:rPr>
        <w:t xml:space="preserve">Horretarako</w:t>
      </w:r>
      <w:r>
        <w:rPr>
          <w:i/>
          <w:sz w:val="22"/>
          <w:szCs w:val="22"/>
          <w:u w:val="single"/>
          <w:rFonts w:ascii="Tahoma" w:hAnsi="Tahoma"/>
        </w:rPr>
        <w:t xml:space="preserve"> ofizialki gaituta dagoen teknikari batek idatzi eta sinatu beharko du proiektua</w:t>
      </w:r>
      <w:r>
        <w:rPr>
          <w:i/>
          <w:sz w:val="22"/>
          <w:szCs w:val="22"/>
          <w:rFonts w:ascii="Tahoma" w:hAnsi="Tahoma"/>
        </w:rPr>
        <w:t xml:space="preserve">.</w:t>
      </w:r>
    </w:p>
    <w:p w:rsidR="00294530" w:rsidRPr="00892408" w:rsidRDefault="00294530" w:rsidP="00294530">
      <w:pPr>
        <w:numPr>
          <w:ilvl w:val="0"/>
          <w:numId w:val="12"/>
        </w:numPr>
        <w:tabs>
          <w:tab w:val="clear" w:pos="720"/>
          <w:tab w:val="num" w:pos="426"/>
        </w:tabs>
        <w:ind w:left="426" w:hanging="426"/>
        <w:rPr>
          <w:i/>
          <w:sz w:val="22"/>
          <w:szCs w:val="22"/>
          <w:rFonts w:ascii="Tahoma" w:hAnsi="Tahoma" w:cs="Tahoma"/>
        </w:rPr>
      </w:pPr>
      <w:r>
        <w:rPr>
          <w:i/>
          <w:sz w:val="22"/>
          <w:szCs w:val="22"/>
          <w:u w:val="single"/>
          <w:rFonts w:ascii="Tahoma" w:hAnsi="Tahoma"/>
        </w:rPr>
        <w:t xml:space="preserve">Jada onetsita dagoen proiektuaren edozein aldaketa meatzaritzaren arloko agintaritzak onetsi beharko du berriz ere</w:t>
      </w:r>
      <w:r>
        <w:rPr>
          <w:i/>
          <w:sz w:val="22"/>
          <w:szCs w:val="22"/>
          <w:rFonts w:ascii="Tahoma" w:hAnsi="Tahoma"/>
        </w:rPr>
        <w:t xml:space="preserve">.</w:t>
      </w:r>
    </w:p>
    <w:p w:rsidR="00294530" w:rsidRPr="00892408" w:rsidRDefault="00294530" w:rsidP="00294530">
      <w:pPr>
        <w:numPr>
          <w:ilvl w:val="0"/>
          <w:numId w:val="12"/>
        </w:numPr>
        <w:tabs>
          <w:tab w:val="clear" w:pos="720"/>
          <w:tab w:val="num" w:pos="426"/>
        </w:tabs>
        <w:ind w:left="426" w:hanging="426"/>
        <w:rPr>
          <w:i/>
          <w:sz w:val="22"/>
          <w:szCs w:val="22"/>
          <w:rFonts w:ascii="Tahoma" w:hAnsi="Tahoma" w:cs="Tahoma"/>
        </w:rPr>
      </w:pPr>
      <w:r>
        <w:rPr>
          <w:i/>
          <w:sz w:val="22"/>
          <w:szCs w:val="22"/>
          <w:rFonts w:ascii="Tahoma" w:hAnsi="Tahoma"/>
        </w:rPr>
        <w:t xml:space="preserve">Proiektua ez da berriz ere aurkeztu beharko prospekzio lanak soilik geologikoak eta azalekoak direnean.</w:t>
      </w:r>
    </w:p>
    <w:p w:rsidR="00B75737" w:rsidRDefault="00294530" w:rsidP="00294530">
      <w:pPr>
        <w:numPr>
          <w:ilvl w:val="0"/>
          <w:numId w:val="12"/>
        </w:numPr>
        <w:tabs>
          <w:tab w:val="clear" w:pos="720"/>
          <w:tab w:val="num" w:pos="426"/>
        </w:tabs>
        <w:ind w:left="426" w:hanging="426"/>
        <w:rPr>
          <w:i/>
          <w:sz w:val="22"/>
          <w:szCs w:val="22"/>
          <w:rFonts w:ascii="Tahoma" w:hAnsi="Tahoma" w:cs="Tahoma"/>
        </w:rPr>
      </w:pPr>
      <w:r>
        <w:rPr>
          <w:i/>
          <w:sz w:val="22"/>
          <w:szCs w:val="22"/>
          <w:rFonts w:ascii="Tahoma" w:hAnsi="Tahoma"/>
        </w:rPr>
        <w:t xml:space="preserve">Meatzaritza-ustiaketaren garapen normalean egiten diren prospekzio lanak direla-eta ez da proiektua aurkeztea eskatuko.”</w:t>
      </w:r>
    </w:p>
    <w:p w:rsidR="00B75737" w:rsidRDefault="007E289D" w:rsidP="009C0FAE">
      <w:pPr>
        <w:rPr>
          <w:sz w:val="22"/>
          <w:szCs w:val="22"/>
          <w:rFonts w:ascii="Tahoma" w:hAnsi="Tahoma" w:cs="Tahoma"/>
        </w:rPr>
      </w:pPr>
      <w:r>
        <w:rPr>
          <w:sz w:val="22"/>
          <w:szCs w:val="22"/>
          <w:rFonts w:ascii="Tahoma" w:hAnsi="Tahoma"/>
        </w:rPr>
        <w:t xml:space="preserve">Arau horri gehitu behar zaio Erauzketa-industrien hondakinak kudeatu eta meategietako jarduerak eragindako tokiak babestu eta birgaitzeari buruzko ekainaren 12ko 975/2009 Errege Dekretuan ezarritakoa, zeina, bere 2.1 artikuluaren arabera aplikatzekoa baita </w:t>
      </w:r>
      <w:r>
        <w:rPr>
          <w:sz w:val="22"/>
          <w:szCs w:val="22"/>
          <w:i/>
          <w:iCs/>
          <w:rFonts w:ascii="Tahoma" w:hAnsi="Tahoma"/>
        </w:rPr>
        <w:t xml:space="preserve">“meatokien eta gainerako baliabide geologikoen ikerketa eta aprobetxamendu jarduera guztietan”, </w:t>
      </w:r>
      <w:r>
        <w:rPr>
          <w:sz w:val="22"/>
          <w:szCs w:val="22"/>
          <w:rFonts w:ascii="Tahoma" w:hAnsi="Tahoma"/>
        </w:rPr>
        <w:t xml:space="preserve">eta, horrenbestez, meatzaritzako zundaketetan.</w:t>
      </w:r>
      <w:r>
        <w:rPr>
          <w:sz w:val="22"/>
          <w:szCs w:val="22"/>
          <w:rFonts w:ascii="Tahoma" w:hAnsi="Tahoma"/>
        </w:rPr>
        <w:t xml:space="preserve"> </w:t>
      </w:r>
      <w:r>
        <w:rPr>
          <w:sz w:val="22"/>
          <w:szCs w:val="22"/>
          <w:rFonts w:ascii="Tahoma" w:hAnsi="Tahoma"/>
        </w:rPr>
        <w:t xml:space="preserve">3. artikuluan honako hau dio: </w:t>
      </w:r>
      <w:r>
        <w:rPr>
          <w:sz w:val="22"/>
          <w:szCs w:val="22"/>
          <w:i/>
          <w:iCs/>
          <w:rFonts w:ascii="Tahoma" w:hAnsi="Tahoma"/>
        </w:rPr>
        <w:t xml:space="preserve">“</w:t>
      </w:r>
      <w:r>
        <w:rPr>
          <w:sz w:val="22"/>
          <w:szCs w:val="22"/>
          <w:i/>
          <w:iCs/>
          <w:u w:val="single"/>
          <w:rFonts w:ascii="Tahoma" w:hAnsi="Tahoma"/>
        </w:rPr>
        <w:t xml:space="preserve">Entitate ustiatzaileak behar diren neurri guztiak hartu beharko ditu meatzaritzako baliabideen ikerketatik eta aprobetxamendutik heldutako ingurumenaren gaineko eta pertsonen osasunaren gaineko edozein eragin negatibo prebenitu edo gutxitzeko</w:t>
      </w:r>
      <w:r>
        <w:rPr>
          <w:sz w:val="22"/>
          <w:szCs w:val="22"/>
          <w:i/>
          <w:iCs/>
          <w:rFonts w:ascii="Tahoma" w:hAnsi="Tahoma"/>
        </w:rPr>
        <w:t xml:space="preserve">.”</w:t>
      </w:r>
    </w:p>
    <w:p w:rsidR="00B75737" w:rsidRDefault="007E289D" w:rsidP="009C0FAE">
      <w:pPr>
        <w:rPr>
          <w:sz w:val="22"/>
          <w:szCs w:val="22"/>
          <w:rFonts w:ascii="Tahoma" w:hAnsi="Tahoma" w:cs="Tahoma"/>
        </w:rPr>
      </w:pPr>
      <w:r>
        <w:rPr>
          <w:sz w:val="22"/>
          <w:szCs w:val="22"/>
          <w:rFonts w:ascii="Tahoma" w:hAnsi="Tahoma"/>
        </w:rPr>
        <w:t xml:space="preserve">Berrikuntzaren Zuzendaritza Nagusiaren eskumen-eremutik kanpo badago ere, apirilaren 11ko 849/1986 Errege Dekretuaren biez onetsitako Jabari Publikoaren Erregelamenduaren 188. bis artikulua —Lurpeko uren hartuneen zigilatzea— aipatu beharra dago, zeinean honako hau ezartzen baita: “Erauzketa-jarduera bertan bera uztea berekin dakarten lurpeko uren eskubideak azkentzeko, berrikusteko edo aldatzeko espedienteetan, behar diren neurriak hartuko dira titularrak mea-zuloak, zundaketak edo antzekoak zigila dezan bermatzeko [...]” , eta hori “aplikatzekoa izanen zaie lurpeko urak ikertzeko baimenei”.</w:t>
      </w:r>
    </w:p>
    <w:p w:rsidR="00B75737" w:rsidRDefault="007E289D" w:rsidP="009C0FAE">
      <w:pPr>
        <w:rPr>
          <w:sz w:val="22"/>
          <w:szCs w:val="22"/>
          <w:rFonts w:ascii="Tahoma" w:hAnsi="Tahoma" w:cs="Tahoma"/>
        </w:rPr>
      </w:pPr>
      <w:r>
        <w:rPr>
          <w:sz w:val="22"/>
          <w:szCs w:val="22"/>
          <w:rFonts w:ascii="Tahoma" w:hAnsi="Tahoma"/>
        </w:rPr>
        <w:t xml:space="preserve">Horrenbestez, bai meatzari buruzko araudiak, bai urari buruzkoak aurreikusten dute zundaketak egin eta abandonatzerakoan pertsonen segurtasunerako behar diren neurriak hartu behar direla, ingurumena zaintzeaz gainera.</w:t>
      </w:r>
      <w:r>
        <w:rPr>
          <w:sz w:val="22"/>
          <w:szCs w:val="22"/>
          <w:rFonts w:ascii="Tahoma" w:hAnsi="Tahoma"/>
        </w:rPr>
        <w:t xml:space="preserve"> </w:t>
      </w:r>
    </w:p>
    <w:p w:rsidR="00B75737" w:rsidRDefault="000D2A88" w:rsidP="009C0FAE">
      <w:pPr>
        <w:rPr>
          <w:sz w:val="22"/>
          <w:szCs w:val="22"/>
          <w:rFonts w:ascii="Tahoma" w:hAnsi="Tahoma" w:cs="Tahoma"/>
        </w:rPr>
      </w:pPr>
      <w:r>
        <w:rPr>
          <w:sz w:val="22"/>
          <w:szCs w:val="22"/>
          <w:rFonts w:ascii="Tahoma" w:hAnsi="Tahoma"/>
        </w:rPr>
        <w:t xml:space="preserve">Aurrekotik ondorioztatzen da ezen meatzaritzaren arloko organo eskudunak badakiela zein den meatzaritzari buruzko araudiaren arabera egiten diren zundaketa guztien kokapena, haiek baimendu behar baititu, eta haietan behar diren neurriak hartzen direla pertsonen segurtasuna eta osasuna zaintzeko eta ingurumen-inpaktua ahal den guztian gutxitzeko bai exekuzioan zehar, bai geroztik ere.</w:t>
      </w:r>
      <w:r>
        <w:rPr>
          <w:sz w:val="22"/>
          <w:szCs w:val="22"/>
          <w:rFonts w:ascii="Tahoma" w:hAnsi="Tahoma"/>
        </w:rPr>
        <w:t xml:space="preserve"> </w:t>
      </w:r>
      <w:r>
        <w:rPr>
          <w:sz w:val="22"/>
          <w:szCs w:val="22"/>
          <w:rFonts w:ascii="Tahoma" w:hAnsi="Tahoma"/>
        </w:rPr>
        <w:t xml:space="preserve">Horrek berekin dakar zundaketa horiek beti zigilatu eginen direla.</w:t>
      </w:r>
    </w:p>
    <w:p w:rsidR="00B75737" w:rsidRDefault="000D2A88" w:rsidP="009C0FAE">
      <w:pPr>
        <w:rPr>
          <w:sz w:val="22"/>
          <w:szCs w:val="22"/>
          <w:rFonts w:ascii="Tahoma" w:hAnsi="Tahoma" w:cs="Tahoma"/>
        </w:rPr>
      </w:pPr>
      <w:r>
        <w:rPr>
          <w:sz w:val="22"/>
          <w:szCs w:val="22"/>
          <w:rFonts w:ascii="Tahoma" w:hAnsi="Tahoma"/>
        </w:rPr>
        <w:t xml:space="preserve">Besterik da legez kanpokoak diren edo meatzaritzaren arloko organo eskudunari komunikatu ez zaizkion zundaketekin gerta daitekeena.</w:t>
      </w:r>
    </w:p>
    <w:p w:rsidR="00B75737" w:rsidRDefault="000D2A88" w:rsidP="000D2A88">
      <w:pPr>
        <w:rPr>
          <w:b/>
          <w:i/>
          <w:sz w:val="22"/>
          <w:szCs w:val="22"/>
          <w:rFonts w:ascii="Tahoma" w:hAnsi="Tahoma" w:cs="Tahoma"/>
        </w:rPr>
      </w:pPr>
      <w:r>
        <w:rPr>
          <w:b/>
          <w:i/>
          <w:sz w:val="22"/>
          <w:szCs w:val="22"/>
          <w:rFonts w:ascii="Tahoma" w:hAnsi="Tahoma"/>
        </w:rPr>
        <w:t xml:space="preserve">“Nafarroan zenbat prospekzio egin dira azken hiru urteotan?”</w:t>
      </w:r>
    </w:p>
    <w:p w:rsidR="00B75737" w:rsidRDefault="000D2A88" w:rsidP="009C0FAE">
      <w:pPr>
        <w:rPr>
          <w:sz w:val="22"/>
          <w:szCs w:val="22"/>
          <w:rFonts w:ascii="Tahoma" w:hAnsi="Tahoma" w:cs="Tahoma"/>
        </w:rPr>
      </w:pPr>
      <w:r>
        <w:rPr>
          <w:sz w:val="22"/>
          <w:szCs w:val="22"/>
          <w:rFonts w:ascii="Tahoma" w:hAnsi="Tahoma"/>
        </w:rPr>
        <w:t xml:space="preserve">Energiaren, Meatzaritzaren eta Industria Segurtasunaren Zerbitzuan, azken hiru urte hauetan, honako zundaketa hauek egin direla jaso da:</w:t>
      </w:r>
    </w:p>
    <w:p w:rsidR="000D2A88" w:rsidRPr="00892408" w:rsidRDefault="000D2A88" w:rsidP="009C0FAE">
      <w:pPr>
        <w:rPr>
          <w:sz w:val="22"/>
          <w:szCs w:val="22"/>
          <w:rFonts w:ascii="Tahoma" w:hAnsi="Tahoma" w:cs="Tahoma"/>
        </w:rPr>
      </w:pPr>
      <w:r>
        <w:rPr>
          <w:sz w:val="22"/>
          <w:szCs w:val="22"/>
          <w:rFonts w:ascii="Tahoma" w:hAnsi="Tahoma"/>
        </w:rPr>
        <w:t xml:space="preserve">2016:</w:t>
      </w:r>
      <w:r>
        <w:rPr>
          <w:sz w:val="22"/>
          <w:szCs w:val="22"/>
          <w:rFonts w:ascii="Tahoma" w:hAnsi="Tahoma"/>
        </w:rPr>
        <w:t xml:space="preserve"> </w:t>
      </w:r>
      <w:r>
        <w:rPr>
          <w:sz w:val="22"/>
          <w:szCs w:val="22"/>
          <w:rFonts w:ascii="Tahoma" w:hAnsi="Tahoma"/>
        </w:rPr>
        <w:t xml:space="preserve">21 zundaketa Esteribarren.</w:t>
      </w:r>
    </w:p>
    <w:p w:rsidR="000D2A88" w:rsidRPr="00892408" w:rsidRDefault="000D2A88" w:rsidP="009C0FAE">
      <w:pPr>
        <w:rPr>
          <w:sz w:val="22"/>
          <w:szCs w:val="22"/>
          <w:rFonts w:ascii="Tahoma" w:hAnsi="Tahoma" w:cs="Tahoma"/>
        </w:rPr>
      </w:pPr>
      <w:r>
        <w:rPr>
          <w:sz w:val="22"/>
          <w:szCs w:val="22"/>
          <w:rFonts w:ascii="Tahoma" w:hAnsi="Tahoma"/>
        </w:rPr>
        <w:t xml:space="preserve">2017:</w:t>
      </w:r>
      <w:r>
        <w:rPr>
          <w:sz w:val="22"/>
          <w:szCs w:val="22"/>
          <w:rFonts w:ascii="Tahoma" w:hAnsi="Tahoma"/>
        </w:rPr>
        <w:t xml:space="preserve"> </w:t>
      </w:r>
      <w:r>
        <w:rPr>
          <w:sz w:val="22"/>
          <w:szCs w:val="22"/>
          <w:rFonts w:ascii="Tahoma" w:hAnsi="Tahoma"/>
        </w:rPr>
        <w:t xml:space="preserve">4 zundaketa Esteribarren, 1 Ukarren, 1 Galarren eta 1 Ledean.</w:t>
      </w:r>
    </w:p>
    <w:p w:rsidR="00B75737" w:rsidRDefault="00A00E3A" w:rsidP="009C0FAE">
      <w:pPr>
        <w:rPr>
          <w:sz w:val="22"/>
          <w:szCs w:val="22"/>
          <w:rFonts w:ascii="Tahoma" w:hAnsi="Tahoma" w:cs="Tahoma"/>
        </w:rPr>
      </w:pPr>
      <w:r>
        <w:rPr>
          <w:sz w:val="22"/>
          <w:szCs w:val="22"/>
          <w:rFonts w:ascii="Tahoma" w:hAnsi="Tahoma"/>
        </w:rPr>
        <w:t xml:space="preserve">2018:</w:t>
      </w:r>
      <w:r>
        <w:rPr>
          <w:sz w:val="22"/>
          <w:szCs w:val="22"/>
          <w:rFonts w:ascii="Tahoma" w:hAnsi="Tahoma"/>
        </w:rPr>
        <w:t xml:space="preserve"> </w:t>
      </w:r>
      <w:r>
        <w:rPr>
          <w:sz w:val="22"/>
          <w:szCs w:val="22"/>
          <w:rFonts w:ascii="Tahoma" w:hAnsi="Tahoma"/>
        </w:rPr>
        <w:t xml:space="preserve">2 zundaketa Galarren eta 2 Ledean.</w:t>
      </w:r>
      <w:r>
        <w:rPr>
          <w:sz w:val="22"/>
          <w:szCs w:val="22"/>
          <w:rFonts w:ascii="Tahoma" w:hAnsi="Tahoma"/>
        </w:rPr>
        <w:t xml:space="preserve"> </w:t>
      </w:r>
      <w:r>
        <w:rPr>
          <w:sz w:val="22"/>
          <w:szCs w:val="22"/>
          <w:rFonts w:ascii="Tahoma" w:hAnsi="Tahoma"/>
        </w:rPr>
        <w:t xml:space="preserve">Gainera, Esteribarren 12 zundaketa egiteko baimena eman zen.</w:t>
      </w:r>
    </w:p>
    <w:p w:rsidR="00B75737" w:rsidRDefault="00A00E3A" w:rsidP="00A00E3A">
      <w:pPr>
        <w:rPr>
          <w:b/>
          <w:i/>
          <w:sz w:val="22"/>
          <w:szCs w:val="22"/>
          <w:rFonts w:ascii="Tahoma" w:hAnsi="Tahoma" w:cs="Tahoma"/>
        </w:rPr>
      </w:pPr>
      <w:r>
        <w:rPr>
          <w:b/>
          <w:i/>
          <w:sz w:val="22"/>
          <w:szCs w:val="22"/>
          <w:rFonts w:ascii="Tahoma" w:hAnsi="Tahoma"/>
        </w:rPr>
        <w:t xml:space="preserve">“Nafarroako Gobernuak ba al du horien kokalekuen maparik?”</w:t>
      </w:r>
    </w:p>
    <w:p w:rsidR="00B75737" w:rsidRDefault="00110E5F" w:rsidP="009C0FAE">
      <w:pPr>
        <w:rPr>
          <w:sz w:val="22"/>
          <w:szCs w:val="22"/>
          <w:rFonts w:ascii="Tahoma" w:hAnsi="Tahoma" w:cs="Tahoma"/>
        </w:rPr>
      </w:pPr>
      <w:r>
        <w:rPr>
          <w:sz w:val="22"/>
          <w:szCs w:val="22"/>
          <w:rFonts w:ascii="Tahoma" w:hAnsi="Tahoma"/>
        </w:rPr>
        <w:t xml:space="preserve">Energiaren, Meatzaritzaren eta Industria Segurtasunaren Zerbitzuak baimentzen diren zundaketa guzti-guztien kokapena badauka.</w:t>
      </w:r>
      <w:r>
        <w:rPr>
          <w:sz w:val="22"/>
          <w:szCs w:val="22"/>
          <w:rFonts w:ascii="Tahoma" w:hAnsi="Tahoma"/>
        </w:rPr>
        <w:t xml:space="preserve"> </w:t>
      </w:r>
    </w:p>
    <w:p w:rsidR="00B75737" w:rsidRDefault="00110E5F" w:rsidP="00110E5F">
      <w:pPr>
        <w:rPr>
          <w:b/>
          <w:i/>
          <w:sz w:val="22"/>
          <w:szCs w:val="22"/>
          <w:rFonts w:ascii="Tahoma" w:hAnsi="Tahoma" w:cs="Tahoma"/>
        </w:rPr>
      </w:pPr>
      <w:r>
        <w:rPr>
          <w:b/>
          <w:i/>
          <w:sz w:val="22"/>
          <w:szCs w:val="22"/>
          <w:rFonts w:ascii="Tahoma" w:hAnsi="Tahoma"/>
        </w:rPr>
        <w:t xml:space="preserve">“Ba al dago prospekzio horien seinaleztapenik, kontrolik eta tratamendurik?”</w:t>
      </w:r>
    </w:p>
    <w:p w:rsidR="00B75737" w:rsidRDefault="00110E5F" w:rsidP="009C0FAE">
      <w:pPr>
        <w:rPr>
          <w:sz w:val="22"/>
          <w:szCs w:val="22"/>
          <w:rFonts w:ascii="Tahoma" w:hAnsi="Tahoma" w:cs="Tahoma"/>
        </w:rPr>
      </w:pPr>
      <w:r>
        <w:rPr>
          <w:sz w:val="22"/>
          <w:szCs w:val="22"/>
          <w:rFonts w:ascii="Tahoma" w:hAnsi="Tahoma"/>
        </w:rPr>
        <w:t xml:space="preserve">Aipatutakoaren arabera, prospekzioak egiten diren bitartean, baimendutako enpresa edo pertsona da istripuak eta gorabeherak saihesteko behar diren segurtasun neurriak hartzearen arduraduna.</w:t>
      </w:r>
      <w:r>
        <w:rPr>
          <w:sz w:val="22"/>
          <w:szCs w:val="22"/>
          <w:rFonts w:ascii="Tahoma" w:hAnsi="Tahoma"/>
        </w:rPr>
        <w:t xml:space="preserve"> </w:t>
      </w:r>
      <w:r>
        <w:rPr>
          <w:sz w:val="22"/>
          <w:szCs w:val="22"/>
          <w:rFonts w:ascii="Tahoma" w:hAnsi="Tahoma"/>
        </w:rPr>
        <w:t xml:space="preserve">Halaber, behin lana bukatutakoan, hura zigilatu eta ingurunearen ingurumen-leheneratzeari ekiten zaio, toki horretan inongo seinalerik utzi gabe.</w:t>
      </w:r>
      <w:r>
        <w:rPr>
          <w:sz w:val="22"/>
          <w:szCs w:val="22"/>
          <w:rFonts w:ascii="Tahoma" w:hAnsi="Tahoma"/>
        </w:rPr>
        <w:t xml:space="preserve"> </w:t>
      </w:r>
    </w:p>
    <w:p w:rsidR="00B75737" w:rsidRDefault="00892408" w:rsidP="00892408">
      <w:pPr>
        <w:rPr>
          <w:sz w:val="22"/>
          <w:szCs w:val="22"/>
          <w:rFonts w:ascii="Tahoma" w:hAnsi="Tahoma" w:cs="Tahoma"/>
        </w:rPr>
      </w:pPr>
      <w:r>
        <w:rPr>
          <w:sz w:val="22"/>
          <w:szCs w:val="22"/>
          <w:rFonts w:ascii="Tahoma" w:hAnsi="Tahoma"/>
        </w:rPr>
        <w:t xml:space="preserve">Hori guztia jakinarazten dizut, Nafarroako Parlamentuko Erregelamenduaren 194. artikulua betez.</w:t>
      </w:r>
    </w:p>
    <w:p w:rsidR="00B75737" w:rsidRDefault="00AA7BD4" w:rsidP="00892408">
      <w:pPr>
        <w:jc w:val="center"/>
        <w:rPr>
          <w:sz w:val="22"/>
          <w:szCs w:val="22"/>
          <w:rFonts w:ascii="Tahoma" w:hAnsi="Tahoma" w:cs="Tahoma"/>
        </w:rPr>
      </w:pPr>
      <w:r>
        <w:rPr>
          <w:sz w:val="22"/>
          <w:szCs w:val="22"/>
          <w:rFonts w:ascii="Tahoma" w:hAnsi="Tahoma"/>
        </w:rPr>
        <w:t xml:space="preserve">Iruñean, 2019ko urtarrilaren 30ean.</w:t>
      </w:r>
    </w:p>
    <w:p w:rsidR="00B75737" w:rsidRPr="00892408" w:rsidRDefault="00B75737" w:rsidP="00B75737">
      <w:pPr>
        <w:tabs>
          <w:tab w:val="left" w:pos="2268"/>
        </w:tabs>
        <w:spacing w:line="360" w:lineRule="auto"/>
        <w:ind w:right="140"/>
        <w:rPr>
          <w:sz w:val="22"/>
          <w:szCs w:val="22"/>
        </w:rPr>
      </w:pPr>
      <w:r>
        <w:rPr>
          <w:sz w:val="22"/>
          <w:szCs w:val="22"/>
        </w:rPr>
        <w:t xml:space="preserve">Lehen lehendakariordea eta Garapen Ekonomikorako kontseilaria:</w:t>
      </w:r>
      <w:r>
        <w:rPr>
          <w:sz w:val="22"/>
          <w:szCs w:val="22"/>
        </w:rPr>
        <w:t xml:space="preserve"> </w:t>
      </w:r>
    </w:p>
    <w:p w:rsidR="00B75737" w:rsidRDefault="00B75737" w:rsidP="00B75737">
      <w:pPr>
        <w:tabs>
          <w:tab w:val="left" w:pos="2268"/>
        </w:tabs>
        <w:spacing w:line="360" w:lineRule="auto"/>
        <w:ind w:right="140"/>
        <w:jc w:val="center"/>
        <w:rPr>
          <w:sz w:val="22"/>
          <w:szCs w:val="22"/>
        </w:rPr>
      </w:pPr>
      <w:r>
        <w:rPr>
          <w:sz w:val="22"/>
          <w:szCs w:val="22"/>
        </w:rPr>
        <w:t xml:space="preserve">Manu Ayerdi Olaizola</w:t>
      </w:r>
    </w:p>
    <w:p w:rsidR="00A64F1F" w:rsidRPr="00892408" w:rsidRDefault="00A64F1F" w:rsidP="00A64F1F">
      <w:pPr>
        <w:tabs>
          <w:tab w:val="left" w:pos="2268"/>
        </w:tabs>
        <w:spacing w:line="360" w:lineRule="auto"/>
        <w:ind w:right="140"/>
        <w:jc w:val="left"/>
        <w:rPr>
          <w:sz w:val="22"/>
          <w:szCs w:val="22"/>
        </w:rPr>
      </w:pPr>
    </w:p>
    <w:sectPr w:rsidR="00A64F1F" w:rsidRPr="00892408" w:rsidSect="00B75737">
      <w:headerReference w:type="default" r:id="rId8"/>
      <w:footerReference w:type="default" r:id="rId9"/>
      <w:headerReference w:type="first" r:id="rId10"/>
      <w:footerReference w:type="first" r:id="rId11"/>
      <w:type w:val="continuous"/>
      <w:pgSz w:w="11907" w:h="16840" w:code="9"/>
      <w:pgMar w:top="2410" w:right="1134" w:bottom="1276" w:left="1985" w:header="709" w:footer="28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4AEE" w:rsidRDefault="00764AEE">
      <w:r>
        <w:separator/>
      </w:r>
    </w:p>
  </w:endnote>
  <w:endnote w:type="continuationSeparator" w:id="0">
    <w:p w:rsidR="00764AEE" w:rsidRDefault="00764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4" w:type="dxa"/>
      <w:tblInd w:w="-1310" w:type="dxa"/>
      <w:tblLook w:val="01E0" w:firstRow="1" w:lastRow="1" w:firstColumn="1" w:lastColumn="1" w:noHBand="0" w:noVBand="0"/>
    </w:tblPr>
    <w:tblGrid>
      <w:gridCol w:w="8648"/>
      <w:gridCol w:w="2126"/>
    </w:tblGrid>
    <w:tr w:rsidR="00212F78" w:rsidRPr="00C60D89" w:rsidTr="00C60D89">
      <w:tc>
        <w:tcPr>
          <w:tcW w:w="8648" w:type="dxa"/>
          <w:shd w:val="clear" w:color="auto" w:fill="auto"/>
        </w:tcPr>
        <w:p w:rsidR="00212F78" w:rsidRPr="00124D6B" w:rsidRDefault="00212F78" w:rsidP="00275F09">
          <w:pPr>
            <w:pStyle w:val="Piedepgina"/>
            <w:tabs>
              <w:tab w:val="clear" w:pos="4252"/>
              <w:tab w:val="center" w:pos="5705"/>
            </w:tabs>
          </w:pPr>
          <w:r>
            <w:rPr>
              <w:sz w:val="12"/>
            </w:rPr>
            <w:tab/>
          </w:r>
        </w:p>
      </w:tc>
      <w:tc>
        <w:tcPr>
          <w:tcW w:w="2126" w:type="dxa"/>
          <w:shd w:val="clear" w:color="auto" w:fill="auto"/>
        </w:tcPr>
        <w:p w:rsidR="00212F78" w:rsidRPr="00C60D89" w:rsidRDefault="00212F78" w:rsidP="00C60D89">
          <w:pPr>
            <w:pStyle w:val="Piedepgina"/>
            <w:jc w:val="right"/>
            <w:rPr>
              <w:sz w:val="14"/>
              <w:szCs w:val="14"/>
            </w:rPr>
          </w:pPr>
        </w:p>
      </w:tc>
    </w:tr>
  </w:tbl>
  <w:p w:rsidR="00212F78" w:rsidRPr="00D95F9B" w:rsidRDefault="00212F78" w:rsidP="00D95F9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781" w:type="dxa"/>
      <w:tblLayout w:type="fixed"/>
      <w:tblCellMar>
        <w:left w:w="71" w:type="dxa"/>
        <w:right w:w="71" w:type="dxa"/>
      </w:tblCellMar>
      <w:tblLook w:val="0000" w:firstRow="0" w:lastRow="0" w:firstColumn="0" w:lastColumn="0" w:noHBand="0" w:noVBand="0"/>
    </w:tblPr>
    <w:tblGrid>
      <w:gridCol w:w="4538"/>
      <w:gridCol w:w="1475"/>
      <w:gridCol w:w="4762"/>
    </w:tblGrid>
    <w:tr w:rsidR="00212F78">
      <w:tc>
        <w:tcPr>
          <w:tcW w:w="4538" w:type="dxa"/>
        </w:tcPr>
        <w:p w:rsidR="00212F78" w:rsidRPr="00212F78" w:rsidRDefault="00212F78">
          <w:pPr>
            <w:pStyle w:val="Piedepgina"/>
            <w:tabs>
              <w:tab w:val="clear" w:pos="4252"/>
              <w:tab w:val="clear" w:pos="8504"/>
            </w:tabs>
          </w:pPr>
          <w:r>
            <w:rPr>
              <w:sz w:val="14"/>
            </w:rPr>
            <w:fldChar w:fldCharType="begin" w:dirty="true"/>
          </w:r>
          <w:r w:rsidRPr="00212F78">
            <w:rPr>
              <w:sz w:val="14"/>
            </w:rPr>
            <w:instrText xml:space="preserve"> FILENAME \* LOWER\p \* MERGEFORMAT </w:instrText>
          </w:r>
          <w:r>
            <w:rPr>
              <w:sz w:val="14"/>
            </w:rPr>
            <w:fldChar w:fldCharType="separate"/>
          </w:r>
          <w:r w:rsidRPr="00212F78">
            <w:rPr>
              <w:sz w:val="14"/>
            </w:rPr>
            <w:t>l:\parlamento de navarra\expedienteak\pes\pes 2019\pes-11 prospecciones mineras-bildu\respuesta\resp des eco pes-00011-2019_prospecciones.doc</w:t>
          </w:r>
          <w:r>
            <w:rPr>
              <w:sz w:val="14"/>
            </w:rPr>
            <w:fldChar w:fldCharType="end"/>
          </w:r>
        </w:p>
      </w:tc>
      <w:tc>
        <w:tcPr>
          <w:tcW w:w="1475" w:type="dxa"/>
        </w:tcPr>
        <w:p w:rsidR="00212F78" w:rsidRDefault="00212F78">
          <w:pPr>
            <w:pStyle w:val="Piedepgina"/>
            <w:tabs>
              <w:tab w:val="clear" w:pos="4252"/>
              <w:tab w:val="clear" w:pos="8504"/>
            </w:tabs>
            <w:jc w:val="center"/>
            <w:rPr>
              <w:sz w:val="14"/>
            </w:rPr>
          </w:pPr>
          <w:r>
            <w:t xml:space="preserve">Orr.:</w:t>
          </w:r>
          <w:r>
            <w:rPr>
              <w:sz w:val="14"/>
            </w:rPr>
            <w:t xml:space="preserve"> </w:t>
          </w:r>
          <w:r>
            <w:rPr>
              <w:sz w:val="14"/>
            </w:rPr>
            <w:fldChar w:fldCharType="begin"/>
          </w:r>
          <w:r>
            <w:rPr>
              <w:sz w:val="14"/>
            </w:rPr>
            <w:instrText xml:space="preserve"> PAGE  \* MERGEFORMAT </w:instrText>
          </w:r>
          <w:r>
            <w:rPr>
              <w:sz w:val="14"/>
            </w:rPr>
            <w:fldChar w:fldCharType="separate"/>
          </w:r>
          <w:r>
            <w:rPr>
              <w:sz w:val="14"/>
            </w:rPr>
            <w:t>1</w:t>
          </w:r>
          <w:r>
            <w:rPr>
              <w:sz w:val="14"/>
            </w:rPr>
            <w:fldChar w:fldCharType="end"/>
          </w:r>
          <w:r>
            <w:rPr>
              <w:sz w:val="14"/>
            </w:rPr>
            <w:t xml:space="preserve">/</w:t>
          </w:r>
          <w:r>
            <w:rPr>
              <w:sz w:val="14"/>
            </w:rPr>
            <w:fldChar w:fldCharType="begin" w:dirty="true"/>
          </w:r>
          <w:r>
            <w:rPr>
              <w:sz w:val="14"/>
            </w:rPr>
            <w:instrText xml:space="preserve"> NUMPAGES  \* MERGEFORMAT </w:instrText>
          </w:r>
          <w:r>
            <w:rPr>
              <w:sz w:val="14"/>
            </w:rPr>
            <w:fldChar w:fldCharType="separate"/>
          </w:r>
          <w:r>
            <w:rPr>
              <w:sz w:val="14"/>
            </w:rPr>
            <w:t>3</w:t>
          </w:r>
          <w:r>
            <w:rPr>
              <w:sz w:val="14"/>
            </w:rPr>
            <w:fldChar w:fldCharType="end"/>
          </w:r>
        </w:p>
      </w:tc>
      <w:tc>
        <w:tcPr>
          <w:tcW w:w="4762" w:type="dxa"/>
        </w:tcPr>
        <w:p w:rsidR="00212F78" w:rsidRDefault="00212F78">
          <w:pPr>
            <w:pStyle w:val="Piedepgina"/>
            <w:tabs>
              <w:tab w:val="clear" w:pos="4252"/>
              <w:tab w:val="clear" w:pos="8504"/>
            </w:tabs>
            <w:jc w:val="right"/>
            <w:rPr>
              <w:sz w:val="12"/>
            </w:rPr>
          </w:pPr>
          <w:r>
            <w:rPr>
              <w:sz w:val="12"/>
            </w:rPr>
            <w:t xml:space="preserve">ic.18.02.08</w:t>
          </w:r>
          <w:r>
            <w:rPr>
              <w:sz w:val="14"/>
            </w:rPr>
            <w:t xml:space="preserve"> Rev.2</w:t>
          </w:r>
        </w:p>
      </w:tc>
    </w:tr>
  </w:tbl>
  <w:p w:rsidR="00212F78" w:rsidRDefault="00212F7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4AEE" w:rsidRDefault="00764AEE">
      <w:r>
        <w:separator/>
      </w:r>
    </w:p>
  </w:footnote>
  <w:footnote w:type="continuationSeparator" w:id="0">
    <w:p w:rsidR="00764AEE" w:rsidRDefault="00764A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F78" w:rsidRDefault="00212F78">
    <w:pPr>
      <w:pStyle w:val="Encabezado"/>
      <w:rPr>
        <w:rFonts w:cs="Arial"/>
        <w:b/>
        <w:sz w:val="18"/>
        <w:szCs w:val="18"/>
      </w:rPr>
    </w:pPr>
  </w:p>
  <w:p w:rsidR="00212F78" w:rsidRPr="0023201C" w:rsidRDefault="00212F78" w:rsidP="00AA7BD4">
    <w:pPr>
      <w:pStyle w:val="Encabezado"/>
      <w:jc w:val="right"/>
    </w:pPr>
  </w:p>
  <w:p w:rsidR="00212F78" w:rsidRDefault="00212F78">
    <w:pPr>
      <w:pStyle w:val="Encabezado"/>
      <w:rPr>
        <w:rFonts w:cs="Arial"/>
        <w:b/>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497" w:type="dxa"/>
      <w:tblLayout w:type="fixed"/>
      <w:tblCellMar>
        <w:left w:w="71" w:type="dxa"/>
        <w:right w:w="71" w:type="dxa"/>
      </w:tblCellMar>
      <w:tblLook w:val="0000" w:firstRow="0" w:lastRow="0" w:firstColumn="0" w:lastColumn="0" w:noHBand="0" w:noVBand="0"/>
    </w:tblPr>
    <w:tblGrid>
      <w:gridCol w:w="3555"/>
      <w:gridCol w:w="4809"/>
      <w:gridCol w:w="2410"/>
    </w:tblGrid>
    <w:tr w:rsidR="00212F78">
      <w:tc>
        <w:tcPr>
          <w:tcW w:w="3555" w:type="dxa"/>
        </w:tcPr>
        <w:p w:rsidR="00212F78" w:rsidRDefault="00E13E18">
          <w:r>
            <w:drawing>
              <wp:inline distT="0" distB="0" distL="0" distR="0">
                <wp:extent cx="2075180" cy="421640"/>
                <wp:effectExtent l="0" t="0" r="1270" b="0"/>
                <wp:docPr id="1" name="Imagen 1" descr="pppppp3 cas ne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ppppp3 cas negr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5180" cy="421640"/>
                        </a:xfrm>
                        <a:prstGeom prst="rect">
                          <a:avLst/>
                        </a:prstGeom>
                        <a:noFill/>
                        <a:ln>
                          <a:noFill/>
                        </a:ln>
                      </pic:spPr>
                    </pic:pic>
                  </a:graphicData>
                </a:graphic>
              </wp:inline>
            </w:drawing>
          </w:r>
        </w:p>
      </w:tc>
      <w:tc>
        <w:tcPr>
          <w:tcW w:w="4809" w:type="dxa"/>
        </w:tcPr>
        <w:p w:rsidR="00212F78" w:rsidRDefault="00212F78">
          <w:pPr>
            <w:jc w:val="center"/>
            <w:rPr>
              <w:sz w:val="16"/>
            </w:rPr>
          </w:pPr>
        </w:p>
        <w:p w:rsidR="00212F78" w:rsidRDefault="00212F78">
          <w:pPr>
            <w:jc w:val="center"/>
            <w:rPr>
              <w:sz w:val="16"/>
            </w:rPr>
          </w:pPr>
          <w:r>
            <w:rPr>
              <w:b/>
              <w:sz w:val="22"/>
            </w:rPr>
            <w:t xml:space="preserve">KOMUNIKAZIOA</w:t>
          </w:r>
        </w:p>
        <w:p w:rsidR="00212F78" w:rsidRDefault="00212F78">
          <w:pPr>
            <w:rPr>
              <w:b/>
              <w:sz w:val="16"/>
            </w:rPr>
          </w:pPr>
        </w:p>
      </w:tc>
      <w:tc>
        <w:tcPr>
          <w:tcW w:w="2410" w:type="dxa"/>
        </w:tcPr>
        <w:p w:rsidR="00212F78" w:rsidRDefault="00212F78">
          <w:pPr>
            <w:rPr>
              <w:sz w:val="16"/>
              <w:rFonts w:ascii="Times New Roman" w:hAnsi="Times New Roman"/>
            </w:rPr>
          </w:pPr>
          <w:r>
            <w:rPr>
              <w:sz w:val="16"/>
              <w:rFonts w:ascii="Times New Roman" w:hAnsi="Times New Roman"/>
            </w:rPr>
            <w:t xml:space="preserve">“Fuerte del Príncipe II” eraikina</w:t>
          </w:r>
        </w:p>
        <w:p w:rsidR="00212F78" w:rsidRDefault="00212F78">
          <w:pPr>
            <w:rPr>
              <w:sz w:val="16"/>
              <w:rFonts w:ascii="Times New Roman" w:hAnsi="Times New Roman"/>
            </w:rPr>
          </w:pPr>
          <w:r>
            <w:rPr>
              <w:sz w:val="16"/>
              <w:rFonts w:ascii="Times New Roman" w:hAnsi="Times New Roman"/>
            </w:rPr>
            <w:t xml:space="preserve">Tomás Caballero parkea, 1</w:t>
          </w:r>
        </w:p>
        <w:p w:rsidR="00212F78" w:rsidRDefault="00212F78">
          <w:pPr>
            <w:rPr>
              <w:sz w:val="16"/>
              <w:rFonts w:ascii="Times New Roman" w:hAnsi="Times New Roman"/>
            </w:rPr>
          </w:pPr>
          <w:r>
            <w:rPr>
              <w:sz w:val="16"/>
              <w:rFonts w:ascii="Times New Roman" w:hAnsi="Times New Roman"/>
            </w:rPr>
            <w:t xml:space="preserve">31005  IRUÑA</w:t>
          </w:r>
        </w:p>
        <w:p w:rsidR="00212F78" w:rsidRDefault="00212F78">
          <w:pPr>
            <w:rPr>
              <w:b/>
              <w:sz w:val="16"/>
            </w:rPr>
          </w:pPr>
        </w:p>
      </w:tc>
    </w:tr>
  </w:tbl>
  <w:p w:rsidR="00212F78" w:rsidRDefault="00212F7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85C4D"/>
    <w:multiLevelType w:val="hybridMultilevel"/>
    <w:tmpl w:val="8AA8D7DE"/>
    <w:lvl w:ilvl="0" w:tplc="26CCB796">
      <w:start w:val="2"/>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15A63EB2"/>
    <w:multiLevelType w:val="hybridMultilevel"/>
    <w:tmpl w:val="0670591A"/>
    <w:lvl w:ilvl="0" w:tplc="CA245908">
      <w:numFmt w:val="bullet"/>
      <w:lvlText w:val="-"/>
      <w:lvlJc w:val="left"/>
      <w:pPr>
        <w:tabs>
          <w:tab w:val="num" w:pos="1095"/>
        </w:tabs>
        <w:ind w:left="1095" w:hanging="735"/>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1A527FDE"/>
    <w:multiLevelType w:val="multilevel"/>
    <w:tmpl w:val="0F9E833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2E122AF0"/>
    <w:multiLevelType w:val="hybridMultilevel"/>
    <w:tmpl w:val="4232E618"/>
    <w:lvl w:ilvl="0" w:tplc="26CCB796">
      <w:start w:val="2"/>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426611FF"/>
    <w:multiLevelType w:val="hybridMultilevel"/>
    <w:tmpl w:val="3B12AC44"/>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5">
    <w:nsid w:val="42725AF6"/>
    <w:multiLevelType w:val="hybridMultilevel"/>
    <w:tmpl w:val="A3D013BE"/>
    <w:lvl w:ilvl="0" w:tplc="CB866542">
      <w:numFmt w:val="bullet"/>
      <w:lvlText w:val="-"/>
      <w:lvlJc w:val="left"/>
      <w:pPr>
        <w:ind w:left="720" w:hanging="360"/>
      </w:pPr>
      <w:rPr>
        <w:rFonts w:ascii="Arial" w:eastAsia="Wingdings"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56BF2786"/>
    <w:multiLevelType w:val="hybridMultilevel"/>
    <w:tmpl w:val="F4368638"/>
    <w:lvl w:ilvl="0" w:tplc="C8C6E626">
      <w:start w:val="5"/>
      <w:numFmt w:val="bullet"/>
      <w:lvlText w:val="-"/>
      <w:lvlJc w:val="left"/>
      <w:pPr>
        <w:tabs>
          <w:tab w:val="num" w:pos="1065"/>
        </w:tabs>
        <w:ind w:left="1065" w:hanging="360"/>
      </w:pPr>
      <w:rPr>
        <w:rFonts w:ascii="Arial" w:eastAsia="Times New Roman" w:hAnsi="Arial" w:cs="Arial" w:hint="default"/>
      </w:rPr>
    </w:lvl>
    <w:lvl w:ilvl="1" w:tplc="0C0A0003" w:tentative="1">
      <w:start w:val="1"/>
      <w:numFmt w:val="bullet"/>
      <w:lvlText w:val="o"/>
      <w:lvlJc w:val="left"/>
      <w:pPr>
        <w:tabs>
          <w:tab w:val="num" w:pos="1785"/>
        </w:tabs>
        <w:ind w:left="1785" w:hanging="360"/>
      </w:pPr>
      <w:rPr>
        <w:rFonts w:ascii="Courier New" w:hAnsi="Courier New" w:cs="Courier New" w:hint="default"/>
      </w:rPr>
    </w:lvl>
    <w:lvl w:ilvl="2" w:tplc="0C0A0005" w:tentative="1">
      <w:start w:val="1"/>
      <w:numFmt w:val="bullet"/>
      <w:lvlText w:val=""/>
      <w:lvlJc w:val="left"/>
      <w:pPr>
        <w:tabs>
          <w:tab w:val="num" w:pos="2505"/>
        </w:tabs>
        <w:ind w:left="2505" w:hanging="360"/>
      </w:pPr>
      <w:rPr>
        <w:rFonts w:ascii="Wingdings" w:hAnsi="Wingdings" w:hint="default"/>
      </w:rPr>
    </w:lvl>
    <w:lvl w:ilvl="3" w:tplc="0C0A0001" w:tentative="1">
      <w:start w:val="1"/>
      <w:numFmt w:val="bullet"/>
      <w:lvlText w:val=""/>
      <w:lvlJc w:val="left"/>
      <w:pPr>
        <w:tabs>
          <w:tab w:val="num" w:pos="3225"/>
        </w:tabs>
        <w:ind w:left="3225" w:hanging="360"/>
      </w:pPr>
      <w:rPr>
        <w:rFonts w:ascii="Symbol" w:hAnsi="Symbol" w:hint="default"/>
      </w:rPr>
    </w:lvl>
    <w:lvl w:ilvl="4" w:tplc="0C0A0003" w:tentative="1">
      <w:start w:val="1"/>
      <w:numFmt w:val="bullet"/>
      <w:lvlText w:val="o"/>
      <w:lvlJc w:val="left"/>
      <w:pPr>
        <w:tabs>
          <w:tab w:val="num" w:pos="3945"/>
        </w:tabs>
        <w:ind w:left="3945" w:hanging="360"/>
      </w:pPr>
      <w:rPr>
        <w:rFonts w:ascii="Courier New" w:hAnsi="Courier New" w:cs="Courier New" w:hint="default"/>
      </w:rPr>
    </w:lvl>
    <w:lvl w:ilvl="5" w:tplc="0C0A0005" w:tentative="1">
      <w:start w:val="1"/>
      <w:numFmt w:val="bullet"/>
      <w:lvlText w:val=""/>
      <w:lvlJc w:val="left"/>
      <w:pPr>
        <w:tabs>
          <w:tab w:val="num" w:pos="4665"/>
        </w:tabs>
        <w:ind w:left="4665" w:hanging="360"/>
      </w:pPr>
      <w:rPr>
        <w:rFonts w:ascii="Wingdings" w:hAnsi="Wingdings" w:hint="default"/>
      </w:rPr>
    </w:lvl>
    <w:lvl w:ilvl="6" w:tplc="0C0A0001" w:tentative="1">
      <w:start w:val="1"/>
      <w:numFmt w:val="bullet"/>
      <w:lvlText w:val=""/>
      <w:lvlJc w:val="left"/>
      <w:pPr>
        <w:tabs>
          <w:tab w:val="num" w:pos="5385"/>
        </w:tabs>
        <w:ind w:left="5385" w:hanging="360"/>
      </w:pPr>
      <w:rPr>
        <w:rFonts w:ascii="Symbol" w:hAnsi="Symbol" w:hint="default"/>
      </w:rPr>
    </w:lvl>
    <w:lvl w:ilvl="7" w:tplc="0C0A0003" w:tentative="1">
      <w:start w:val="1"/>
      <w:numFmt w:val="bullet"/>
      <w:lvlText w:val="o"/>
      <w:lvlJc w:val="left"/>
      <w:pPr>
        <w:tabs>
          <w:tab w:val="num" w:pos="6105"/>
        </w:tabs>
        <w:ind w:left="6105" w:hanging="360"/>
      </w:pPr>
      <w:rPr>
        <w:rFonts w:ascii="Courier New" w:hAnsi="Courier New" w:cs="Courier New" w:hint="default"/>
      </w:rPr>
    </w:lvl>
    <w:lvl w:ilvl="8" w:tplc="0C0A0005" w:tentative="1">
      <w:start w:val="1"/>
      <w:numFmt w:val="bullet"/>
      <w:lvlText w:val=""/>
      <w:lvlJc w:val="left"/>
      <w:pPr>
        <w:tabs>
          <w:tab w:val="num" w:pos="6825"/>
        </w:tabs>
        <w:ind w:left="6825" w:hanging="360"/>
      </w:pPr>
      <w:rPr>
        <w:rFonts w:ascii="Wingdings" w:hAnsi="Wingdings" w:hint="default"/>
      </w:rPr>
    </w:lvl>
  </w:abstractNum>
  <w:abstractNum w:abstractNumId="7">
    <w:nsid w:val="5FF220F2"/>
    <w:multiLevelType w:val="hybridMultilevel"/>
    <w:tmpl w:val="37A422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668C5162"/>
    <w:multiLevelType w:val="hybridMultilevel"/>
    <w:tmpl w:val="BE5440DE"/>
    <w:lvl w:ilvl="0" w:tplc="7B3AE932">
      <w:numFmt w:val="bullet"/>
      <w:lvlText w:val=""/>
      <w:lvlJc w:val="left"/>
      <w:pPr>
        <w:tabs>
          <w:tab w:val="num" w:pos="1586"/>
        </w:tabs>
        <w:ind w:left="1586" w:hanging="735"/>
      </w:pPr>
      <w:rPr>
        <w:rFonts w:ascii="Symbol" w:eastAsia="Times New Roman" w:hAnsi="Symbol" w:cs="Arial" w:hint="default"/>
      </w:rPr>
    </w:lvl>
    <w:lvl w:ilvl="1" w:tplc="0C0A0003" w:tentative="1">
      <w:start w:val="1"/>
      <w:numFmt w:val="bullet"/>
      <w:lvlText w:val="o"/>
      <w:lvlJc w:val="left"/>
      <w:pPr>
        <w:tabs>
          <w:tab w:val="num" w:pos="1931"/>
        </w:tabs>
        <w:ind w:left="1931" w:hanging="360"/>
      </w:pPr>
      <w:rPr>
        <w:rFonts w:ascii="Courier New" w:hAnsi="Courier New" w:cs="Courier New" w:hint="default"/>
      </w:rPr>
    </w:lvl>
    <w:lvl w:ilvl="2" w:tplc="0C0A0005" w:tentative="1">
      <w:start w:val="1"/>
      <w:numFmt w:val="bullet"/>
      <w:lvlText w:val=""/>
      <w:lvlJc w:val="left"/>
      <w:pPr>
        <w:tabs>
          <w:tab w:val="num" w:pos="2651"/>
        </w:tabs>
        <w:ind w:left="2651" w:hanging="360"/>
      </w:pPr>
      <w:rPr>
        <w:rFonts w:ascii="Wingdings" w:hAnsi="Wingdings" w:hint="default"/>
      </w:rPr>
    </w:lvl>
    <w:lvl w:ilvl="3" w:tplc="0C0A0001" w:tentative="1">
      <w:start w:val="1"/>
      <w:numFmt w:val="bullet"/>
      <w:lvlText w:val=""/>
      <w:lvlJc w:val="left"/>
      <w:pPr>
        <w:tabs>
          <w:tab w:val="num" w:pos="3371"/>
        </w:tabs>
        <w:ind w:left="3371" w:hanging="360"/>
      </w:pPr>
      <w:rPr>
        <w:rFonts w:ascii="Symbol" w:hAnsi="Symbol" w:hint="default"/>
      </w:rPr>
    </w:lvl>
    <w:lvl w:ilvl="4" w:tplc="0C0A0003" w:tentative="1">
      <w:start w:val="1"/>
      <w:numFmt w:val="bullet"/>
      <w:lvlText w:val="o"/>
      <w:lvlJc w:val="left"/>
      <w:pPr>
        <w:tabs>
          <w:tab w:val="num" w:pos="4091"/>
        </w:tabs>
        <w:ind w:left="4091" w:hanging="360"/>
      </w:pPr>
      <w:rPr>
        <w:rFonts w:ascii="Courier New" w:hAnsi="Courier New" w:cs="Courier New" w:hint="default"/>
      </w:rPr>
    </w:lvl>
    <w:lvl w:ilvl="5" w:tplc="0C0A0005" w:tentative="1">
      <w:start w:val="1"/>
      <w:numFmt w:val="bullet"/>
      <w:lvlText w:val=""/>
      <w:lvlJc w:val="left"/>
      <w:pPr>
        <w:tabs>
          <w:tab w:val="num" w:pos="4811"/>
        </w:tabs>
        <w:ind w:left="4811" w:hanging="360"/>
      </w:pPr>
      <w:rPr>
        <w:rFonts w:ascii="Wingdings" w:hAnsi="Wingdings" w:hint="default"/>
      </w:rPr>
    </w:lvl>
    <w:lvl w:ilvl="6" w:tplc="0C0A0001" w:tentative="1">
      <w:start w:val="1"/>
      <w:numFmt w:val="bullet"/>
      <w:lvlText w:val=""/>
      <w:lvlJc w:val="left"/>
      <w:pPr>
        <w:tabs>
          <w:tab w:val="num" w:pos="5531"/>
        </w:tabs>
        <w:ind w:left="5531" w:hanging="360"/>
      </w:pPr>
      <w:rPr>
        <w:rFonts w:ascii="Symbol" w:hAnsi="Symbol" w:hint="default"/>
      </w:rPr>
    </w:lvl>
    <w:lvl w:ilvl="7" w:tplc="0C0A0003" w:tentative="1">
      <w:start w:val="1"/>
      <w:numFmt w:val="bullet"/>
      <w:lvlText w:val="o"/>
      <w:lvlJc w:val="left"/>
      <w:pPr>
        <w:tabs>
          <w:tab w:val="num" w:pos="6251"/>
        </w:tabs>
        <w:ind w:left="6251" w:hanging="360"/>
      </w:pPr>
      <w:rPr>
        <w:rFonts w:ascii="Courier New" w:hAnsi="Courier New" w:cs="Courier New" w:hint="default"/>
      </w:rPr>
    </w:lvl>
    <w:lvl w:ilvl="8" w:tplc="0C0A0005" w:tentative="1">
      <w:start w:val="1"/>
      <w:numFmt w:val="bullet"/>
      <w:lvlText w:val=""/>
      <w:lvlJc w:val="left"/>
      <w:pPr>
        <w:tabs>
          <w:tab w:val="num" w:pos="6971"/>
        </w:tabs>
        <w:ind w:left="6971" w:hanging="360"/>
      </w:pPr>
      <w:rPr>
        <w:rFonts w:ascii="Wingdings" w:hAnsi="Wingdings" w:hint="default"/>
      </w:rPr>
    </w:lvl>
  </w:abstractNum>
  <w:abstractNum w:abstractNumId="9">
    <w:nsid w:val="6DD72E94"/>
    <w:multiLevelType w:val="hybridMultilevel"/>
    <w:tmpl w:val="D6980C4A"/>
    <w:lvl w:ilvl="0" w:tplc="62D86BC4">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71A50E39"/>
    <w:multiLevelType w:val="hybridMultilevel"/>
    <w:tmpl w:val="BF7A5846"/>
    <w:lvl w:ilvl="0" w:tplc="6C1270D0">
      <w:start w:val="1"/>
      <w:numFmt w:val="bullet"/>
      <w:lvlText w:val=""/>
      <w:lvlJc w:val="left"/>
      <w:pPr>
        <w:tabs>
          <w:tab w:val="num" w:pos="720"/>
        </w:tabs>
        <w:ind w:left="720" w:hanging="360"/>
      </w:pPr>
      <w:rPr>
        <w:rFonts w:ascii="Symbol" w:hAnsi="Symbol" w:hint="default"/>
        <w:b w:val="0"/>
        <w:i w:val="0"/>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1">
    <w:nsid w:val="7CA50C27"/>
    <w:multiLevelType w:val="hybridMultilevel"/>
    <w:tmpl w:val="C8064CE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0"/>
  </w:num>
  <w:num w:numId="3">
    <w:abstractNumId w:val="2"/>
  </w:num>
  <w:num w:numId="4">
    <w:abstractNumId w:val="4"/>
  </w:num>
  <w:num w:numId="5">
    <w:abstractNumId w:val="1"/>
  </w:num>
  <w:num w:numId="6">
    <w:abstractNumId w:val="8"/>
  </w:num>
  <w:num w:numId="7">
    <w:abstractNumId w:val="5"/>
  </w:num>
  <w:num w:numId="8">
    <w:abstractNumId w:val="0"/>
  </w:num>
  <w:num w:numId="9">
    <w:abstractNumId w:val="3"/>
  </w:num>
  <w:num w:numId="10">
    <w:abstractNumId w:val="7"/>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dirty"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37"/>
  <w:hyphenationZone w:val="425"/>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C06"/>
    <w:rsid w:val="00024A7C"/>
    <w:rsid w:val="00042E4E"/>
    <w:rsid w:val="00052AEF"/>
    <w:rsid w:val="00071E78"/>
    <w:rsid w:val="00094AE5"/>
    <w:rsid w:val="000C184C"/>
    <w:rsid w:val="000D2A88"/>
    <w:rsid w:val="000D7932"/>
    <w:rsid w:val="0010707C"/>
    <w:rsid w:val="00110E5F"/>
    <w:rsid w:val="001342D1"/>
    <w:rsid w:val="00141AC6"/>
    <w:rsid w:val="001753E5"/>
    <w:rsid w:val="00177785"/>
    <w:rsid w:val="0018493B"/>
    <w:rsid w:val="001975AC"/>
    <w:rsid w:val="001C6E6A"/>
    <w:rsid w:val="001E405B"/>
    <w:rsid w:val="00212F78"/>
    <w:rsid w:val="00227C17"/>
    <w:rsid w:val="002442D3"/>
    <w:rsid w:val="002502B9"/>
    <w:rsid w:val="00254075"/>
    <w:rsid w:val="00267C70"/>
    <w:rsid w:val="00275F09"/>
    <w:rsid w:val="00294530"/>
    <w:rsid w:val="002C662A"/>
    <w:rsid w:val="002D66E6"/>
    <w:rsid w:val="00316D7B"/>
    <w:rsid w:val="00340C6D"/>
    <w:rsid w:val="00345951"/>
    <w:rsid w:val="003478A3"/>
    <w:rsid w:val="00353BBE"/>
    <w:rsid w:val="00372FA9"/>
    <w:rsid w:val="003B0410"/>
    <w:rsid w:val="003D2923"/>
    <w:rsid w:val="003E5AB8"/>
    <w:rsid w:val="003F6567"/>
    <w:rsid w:val="004215AE"/>
    <w:rsid w:val="00422B7D"/>
    <w:rsid w:val="00433094"/>
    <w:rsid w:val="00436D1F"/>
    <w:rsid w:val="00476E6A"/>
    <w:rsid w:val="004A23E6"/>
    <w:rsid w:val="004B460F"/>
    <w:rsid w:val="004C774A"/>
    <w:rsid w:val="004F3C7B"/>
    <w:rsid w:val="00521108"/>
    <w:rsid w:val="00534D3B"/>
    <w:rsid w:val="005609B0"/>
    <w:rsid w:val="005620F9"/>
    <w:rsid w:val="00570EA9"/>
    <w:rsid w:val="005C2C35"/>
    <w:rsid w:val="005D6ED8"/>
    <w:rsid w:val="005D760E"/>
    <w:rsid w:val="005D7945"/>
    <w:rsid w:val="005E1E01"/>
    <w:rsid w:val="005E3CA8"/>
    <w:rsid w:val="00641261"/>
    <w:rsid w:val="00653C4B"/>
    <w:rsid w:val="00672BB0"/>
    <w:rsid w:val="00696A69"/>
    <w:rsid w:val="006A06D8"/>
    <w:rsid w:val="006B5AFC"/>
    <w:rsid w:val="006C58EC"/>
    <w:rsid w:val="006D056A"/>
    <w:rsid w:val="006E47E9"/>
    <w:rsid w:val="00741AC7"/>
    <w:rsid w:val="00761F7B"/>
    <w:rsid w:val="00764AEE"/>
    <w:rsid w:val="00764F01"/>
    <w:rsid w:val="00795C9A"/>
    <w:rsid w:val="007A28AA"/>
    <w:rsid w:val="007B098F"/>
    <w:rsid w:val="007C0863"/>
    <w:rsid w:val="007E289D"/>
    <w:rsid w:val="00827EBC"/>
    <w:rsid w:val="00866A4F"/>
    <w:rsid w:val="00877A7A"/>
    <w:rsid w:val="00892408"/>
    <w:rsid w:val="008B2834"/>
    <w:rsid w:val="008E392F"/>
    <w:rsid w:val="008F2861"/>
    <w:rsid w:val="0090038C"/>
    <w:rsid w:val="00905A9A"/>
    <w:rsid w:val="0095272F"/>
    <w:rsid w:val="00970A0F"/>
    <w:rsid w:val="009A05F6"/>
    <w:rsid w:val="009A0726"/>
    <w:rsid w:val="009A3C99"/>
    <w:rsid w:val="009A5D97"/>
    <w:rsid w:val="009C0FAE"/>
    <w:rsid w:val="009C1AD3"/>
    <w:rsid w:val="009D1916"/>
    <w:rsid w:val="009F1591"/>
    <w:rsid w:val="00A00E3A"/>
    <w:rsid w:val="00A41D7B"/>
    <w:rsid w:val="00A578DA"/>
    <w:rsid w:val="00A64F1F"/>
    <w:rsid w:val="00A821BB"/>
    <w:rsid w:val="00A826E3"/>
    <w:rsid w:val="00AA0310"/>
    <w:rsid w:val="00AA7BD4"/>
    <w:rsid w:val="00AC4CAB"/>
    <w:rsid w:val="00AD1E4F"/>
    <w:rsid w:val="00AE1798"/>
    <w:rsid w:val="00AE3E5A"/>
    <w:rsid w:val="00B0444F"/>
    <w:rsid w:val="00B125BA"/>
    <w:rsid w:val="00B75737"/>
    <w:rsid w:val="00B978E8"/>
    <w:rsid w:val="00BB563F"/>
    <w:rsid w:val="00BB717D"/>
    <w:rsid w:val="00BB7ADE"/>
    <w:rsid w:val="00BC25CD"/>
    <w:rsid w:val="00BD1D8A"/>
    <w:rsid w:val="00BF741F"/>
    <w:rsid w:val="00C01C44"/>
    <w:rsid w:val="00C145EC"/>
    <w:rsid w:val="00C14D6E"/>
    <w:rsid w:val="00C342FB"/>
    <w:rsid w:val="00C36BFE"/>
    <w:rsid w:val="00C60D89"/>
    <w:rsid w:val="00C71D35"/>
    <w:rsid w:val="00C73BF4"/>
    <w:rsid w:val="00C76A12"/>
    <w:rsid w:val="00C81B46"/>
    <w:rsid w:val="00C82F2E"/>
    <w:rsid w:val="00C90C06"/>
    <w:rsid w:val="00C913F1"/>
    <w:rsid w:val="00CD5163"/>
    <w:rsid w:val="00CE5AC0"/>
    <w:rsid w:val="00D01702"/>
    <w:rsid w:val="00D0427C"/>
    <w:rsid w:val="00D079A8"/>
    <w:rsid w:val="00D16EC5"/>
    <w:rsid w:val="00D2303D"/>
    <w:rsid w:val="00D2464B"/>
    <w:rsid w:val="00D34B38"/>
    <w:rsid w:val="00D35DA0"/>
    <w:rsid w:val="00D65057"/>
    <w:rsid w:val="00D7131B"/>
    <w:rsid w:val="00D740F2"/>
    <w:rsid w:val="00D876C1"/>
    <w:rsid w:val="00D95F9B"/>
    <w:rsid w:val="00DC7012"/>
    <w:rsid w:val="00E04E9D"/>
    <w:rsid w:val="00E13E18"/>
    <w:rsid w:val="00E23FCB"/>
    <w:rsid w:val="00E468CC"/>
    <w:rsid w:val="00E532B0"/>
    <w:rsid w:val="00E90945"/>
    <w:rsid w:val="00E95BC3"/>
    <w:rsid w:val="00EF48B2"/>
    <w:rsid w:val="00F25578"/>
    <w:rsid w:val="00F33804"/>
    <w:rsid w:val="00F37116"/>
    <w:rsid w:val="00F378CC"/>
    <w:rsid w:val="00F71D21"/>
    <w:rsid w:val="00F74EBF"/>
    <w:rsid w:val="00F968D2"/>
    <w:rsid w:val="00FB7145"/>
    <w:rsid w:val="00FC59F9"/>
    <w:rsid w:val="00FD1B38"/>
    <w:rsid w:val="00FD358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rFonts w:ascii="Arial" w:hAnsi="Arial"/>
      <w:sz w:val="24"/>
      <w:lang w:val="eu-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Guin">
    <w:name w:val="Guión"/>
    <w:basedOn w:val="Normal"/>
    <w:pPr>
      <w:ind w:left="709" w:hanging="283"/>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pBdr>
        <w:top w:val="single" w:sz="6" w:space="1" w:color="C0C0C0"/>
        <w:left w:val="single" w:sz="6" w:space="1" w:color="C0C0C0"/>
        <w:bottom w:val="single" w:sz="6" w:space="1" w:color="C0C0C0"/>
        <w:right w:val="single" w:sz="6" w:space="1" w:color="C0C0C0"/>
      </w:pBdr>
      <w:shd w:val="pct5" w:color="808080" w:fill="auto"/>
      <w:tabs>
        <w:tab w:val="left" w:pos="6521"/>
      </w:tabs>
      <w:spacing w:line="360" w:lineRule="auto"/>
      <w:ind w:left="1418" w:hanging="1418"/>
    </w:pPr>
    <w:rPr>
      <w:b/>
      <w:i/>
    </w:rPr>
  </w:style>
  <w:style w:type="paragraph" w:styleId="Textoindependiente">
    <w:name w:val="Body Text"/>
    <w:basedOn w:val="Normal"/>
    <w:pPr>
      <w:spacing w:after="120"/>
    </w:pPr>
  </w:style>
  <w:style w:type="table" w:styleId="Tablaconcuadrcula">
    <w:name w:val="Table Grid"/>
    <w:basedOn w:val="Tabla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eldocumento">
    <w:name w:val="Document Map"/>
    <w:basedOn w:val="Normal"/>
    <w:semiHidden/>
    <w:rsid w:val="00AA7BD4"/>
    <w:pPr>
      <w:shd w:val="clear" w:color="auto" w:fill="000080"/>
    </w:pPr>
    <w:rPr>
      <w:rFonts w:ascii="Tahoma" w:hAnsi="Tahoma" w:cs="Tahoma"/>
      <w:sz w:val="20"/>
    </w:rPr>
  </w:style>
  <w:style w:type="character" w:styleId="Textoennegrita">
    <w:name w:val="Strong"/>
    <w:qFormat/>
    <w:rsid w:val="00BB563F"/>
    <w:rPr>
      <w:b/>
      <w:bCs/>
    </w:rPr>
  </w:style>
  <w:style w:type="character" w:styleId="Hipervnculo">
    <w:name w:val="Hyperlink"/>
    <w:rsid w:val="005E3CA8"/>
    <w:rPr>
      <w:color w:val="0000FF"/>
      <w:u w:val="single"/>
    </w:rPr>
  </w:style>
  <w:style w:type="paragraph" w:styleId="Textodeglobo">
    <w:name w:val="Balloon Text"/>
    <w:basedOn w:val="Normal"/>
    <w:semiHidden/>
    <w:rsid w:val="007B098F"/>
    <w:rPr>
      <w:rFonts w:ascii="Tahoma" w:hAnsi="Tahoma" w:cs="Tahoma"/>
      <w:sz w:val="16"/>
      <w:szCs w:val="16"/>
    </w:rPr>
  </w:style>
  <w:style w:type="paragraph" w:customStyle="1" w:styleId="Prrafodelista1">
    <w:name w:val="Párrafo de lista1"/>
    <w:basedOn w:val="Normal"/>
    <w:rsid w:val="00AE1798"/>
    <w:pPr>
      <w:spacing w:after="160" w:line="259" w:lineRule="auto"/>
      <w:ind w:left="720"/>
      <w:contextualSpacing/>
      <w:jc w:val="left"/>
    </w:pPr>
    <w:rPr>
      <w:rFonts w:ascii="Calibri" w:hAnsi="Calibri"/>
      <w:sz w:val="22"/>
      <w:szCs w:val="22"/>
      <w:lang w:val="eu-E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rFonts w:ascii="Arial" w:hAnsi="Arial"/>
      <w:sz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Guin">
    <w:name w:val="Guión"/>
    <w:basedOn w:val="Normal"/>
    <w:pPr>
      <w:ind w:left="709" w:hanging="283"/>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pBdr>
        <w:top w:val="single" w:sz="6" w:space="1" w:color="C0C0C0"/>
        <w:left w:val="single" w:sz="6" w:space="1" w:color="C0C0C0"/>
        <w:bottom w:val="single" w:sz="6" w:space="1" w:color="C0C0C0"/>
        <w:right w:val="single" w:sz="6" w:space="1" w:color="C0C0C0"/>
      </w:pBdr>
      <w:shd w:val="pct5" w:color="808080" w:fill="auto"/>
      <w:tabs>
        <w:tab w:val="left" w:pos="6521"/>
      </w:tabs>
      <w:spacing w:line="360" w:lineRule="auto"/>
      <w:ind w:left="1418" w:hanging="1418"/>
    </w:pPr>
    <w:rPr>
      <w:b/>
      <w:i/>
    </w:rPr>
  </w:style>
  <w:style w:type="paragraph" w:styleId="Textoindependiente">
    <w:name w:val="Body Text"/>
    <w:basedOn w:val="Normal"/>
    <w:pPr>
      <w:spacing w:after="120"/>
    </w:pPr>
  </w:style>
  <w:style w:type="table" w:styleId="Tablaconcuadrcula">
    <w:name w:val="Table Grid"/>
    <w:basedOn w:val="Tabla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eldocumento">
    <w:name w:val="Document Map"/>
    <w:basedOn w:val="Normal"/>
    <w:semiHidden/>
    <w:rsid w:val="00AA7BD4"/>
    <w:pPr>
      <w:shd w:val="clear" w:color="auto" w:fill="000080"/>
    </w:pPr>
    <w:rPr>
      <w:rFonts w:ascii="Tahoma" w:hAnsi="Tahoma" w:cs="Tahoma"/>
      <w:sz w:val="20"/>
    </w:rPr>
  </w:style>
  <w:style w:type="character" w:styleId="Textoennegrita">
    <w:name w:val="Strong"/>
    <w:qFormat/>
    <w:rsid w:val="00BB563F"/>
    <w:rPr>
      <w:b/>
      <w:bCs/>
    </w:rPr>
  </w:style>
  <w:style w:type="character" w:styleId="Hipervnculo">
    <w:name w:val="Hyperlink"/>
    <w:rsid w:val="005E3CA8"/>
    <w:rPr>
      <w:color w:val="0000FF"/>
      <w:u w:val="single"/>
    </w:rPr>
  </w:style>
  <w:style w:type="paragraph" w:styleId="Textodeglobo">
    <w:name w:val="Balloon Text"/>
    <w:basedOn w:val="Normal"/>
    <w:semiHidden/>
    <w:rsid w:val="007B098F"/>
    <w:rPr>
      <w:rFonts w:ascii="Tahoma" w:hAnsi="Tahoma" w:cs="Tahoma"/>
      <w:sz w:val="16"/>
      <w:szCs w:val="16"/>
    </w:rPr>
  </w:style>
  <w:style w:type="paragraph" w:customStyle="1" w:styleId="Prrafodelista1">
    <w:name w:val="Párrafo de lista1"/>
    <w:basedOn w:val="Normal"/>
    <w:rsid w:val="00AE1798"/>
    <w:pPr>
      <w:spacing w:after="160" w:line="259" w:lineRule="auto"/>
      <w:ind w:left="720"/>
      <w:contextualSpacing/>
      <w:jc w:val="left"/>
    </w:pPr>
    <w:rPr>
      <w:rFonts w:ascii="Calibri" w:hAnsi="Calibri"/>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099418">
      <w:bodyDiv w:val="1"/>
      <w:marLeft w:val="0"/>
      <w:marRight w:val="0"/>
      <w:marTop w:val="0"/>
      <w:marBottom w:val="0"/>
      <w:divBdr>
        <w:top w:val="none" w:sz="0" w:space="0" w:color="auto"/>
        <w:left w:val="none" w:sz="0" w:space="0" w:color="auto"/>
        <w:bottom w:val="none" w:sz="0" w:space="0" w:color="auto"/>
        <w:right w:val="none" w:sz="0" w:space="0" w:color="auto"/>
      </w:divBdr>
    </w:div>
    <w:div w:id="660962338">
      <w:bodyDiv w:val="1"/>
      <w:marLeft w:val="0"/>
      <w:marRight w:val="0"/>
      <w:marTop w:val="0"/>
      <w:marBottom w:val="0"/>
      <w:divBdr>
        <w:top w:val="none" w:sz="0" w:space="0" w:color="auto"/>
        <w:left w:val="none" w:sz="0" w:space="0" w:color="auto"/>
        <w:bottom w:val="none" w:sz="0" w:space="0" w:color="auto"/>
        <w:right w:val="none" w:sz="0" w:space="0" w:color="auto"/>
      </w:divBdr>
    </w:div>
    <w:div w:id="1492915743">
      <w:bodyDiv w:val="1"/>
      <w:marLeft w:val="0"/>
      <w:marRight w:val="0"/>
      <w:marTop w:val="0"/>
      <w:marBottom w:val="0"/>
      <w:divBdr>
        <w:top w:val="none" w:sz="0" w:space="0" w:color="auto"/>
        <w:left w:val="none" w:sz="0" w:space="0" w:color="auto"/>
        <w:bottom w:val="none" w:sz="0" w:space="0" w:color="auto"/>
        <w:right w:val="none" w:sz="0" w:space="0" w:color="auto"/>
      </w:divBdr>
    </w:div>
    <w:div w:id="1595943959">
      <w:bodyDiv w:val="1"/>
      <w:marLeft w:val="0"/>
      <w:marRight w:val="0"/>
      <w:marTop w:val="0"/>
      <w:marBottom w:val="0"/>
      <w:divBdr>
        <w:top w:val="none" w:sz="0" w:space="0" w:color="auto"/>
        <w:left w:val="none" w:sz="0" w:space="0" w:color="auto"/>
        <w:bottom w:val="none" w:sz="0" w:space="0" w:color="auto"/>
        <w:right w:val="none" w:sz="0" w:space="0" w:color="auto"/>
      </w:divBdr>
      <w:divsChild>
        <w:div w:id="1600483805">
          <w:marLeft w:val="0"/>
          <w:marRight w:val="0"/>
          <w:marTop w:val="0"/>
          <w:marBottom w:val="0"/>
          <w:divBdr>
            <w:top w:val="single" w:sz="6" w:space="0" w:color="000000"/>
            <w:left w:val="single" w:sz="6" w:space="0" w:color="000000"/>
            <w:bottom w:val="single" w:sz="6" w:space="0" w:color="000000"/>
            <w:right w:val="single" w:sz="6" w:space="0" w:color="000000"/>
          </w:divBdr>
          <w:divsChild>
            <w:div w:id="1960723546">
              <w:marLeft w:val="0"/>
              <w:marRight w:val="240"/>
              <w:marTop w:val="0"/>
              <w:marBottom w:val="0"/>
              <w:divBdr>
                <w:top w:val="none" w:sz="0" w:space="0" w:color="auto"/>
                <w:left w:val="none" w:sz="0" w:space="0" w:color="auto"/>
                <w:bottom w:val="none" w:sz="0" w:space="0" w:color="auto"/>
                <w:right w:val="none" w:sz="0" w:space="0" w:color="auto"/>
              </w:divBdr>
              <w:divsChild>
                <w:div w:id="1508251195">
                  <w:marLeft w:val="0"/>
                  <w:marRight w:val="0"/>
                  <w:marTop w:val="0"/>
                  <w:marBottom w:val="0"/>
                  <w:divBdr>
                    <w:top w:val="none" w:sz="0" w:space="0" w:color="auto"/>
                    <w:left w:val="none" w:sz="0" w:space="0" w:color="auto"/>
                    <w:bottom w:val="none" w:sz="0" w:space="0" w:color="auto"/>
                    <w:right w:val="dotted" w:sz="2" w:space="0" w:color="999999"/>
                  </w:divBdr>
                  <w:divsChild>
                    <w:div w:id="1826389583">
                      <w:marLeft w:val="335"/>
                      <w:marRight w:val="0"/>
                      <w:marTop w:val="0"/>
                      <w:marBottom w:val="335"/>
                      <w:divBdr>
                        <w:top w:val="none" w:sz="0" w:space="0" w:color="auto"/>
                        <w:left w:val="none" w:sz="0" w:space="0" w:color="auto"/>
                        <w:bottom w:val="none" w:sz="0" w:space="0" w:color="auto"/>
                        <w:right w:val="none" w:sz="0" w:space="0" w:color="auto"/>
                      </w:divBdr>
                      <w:divsChild>
                        <w:div w:id="1101681095">
                          <w:marLeft w:val="0"/>
                          <w:marRight w:val="0"/>
                          <w:marTop w:val="0"/>
                          <w:marBottom w:val="0"/>
                          <w:divBdr>
                            <w:top w:val="none" w:sz="0" w:space="0" w:color="auto"/>
                            <w:left w:val="none" w:sz="0" w:space="0" w:color="auto"/>
                            <w:bottom w:val="none" w:sz="0" w:space="0" w:color="auto"/>
                            <w:right w:val="none" w:sz="0" w:space="0" w:color="auto"/>
                          </w:divBdr>
                          <w:divsChild>
                            <w:div w:id="54937843">
                              <w:marLeft w:val="0"/>
                              <w:marRight w:val="0"/>
                              <w:marTop w:val="0"/>
                              <w:marBottom w:val="0"/>
                              <w:divBdr>
                                <w:top w:val="none" w:sz="0" w:space="0" w:color="auto"/>
                                <w:left w:val="none" w:sz="0" w:space="0" w:color="auto"/>
                                <w:bottom w:val="none" w:sz="0" w:space="0" w:color="auto"/>
                                <w:right w:val="none" w:sz="0" w:space="0" w:color="auto"/>
                              </w:divBdr>
                            </w:div>
                            <w:div w:id="187847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INFORMES\2015\Parlamento%20de%20Navarra\9-15-PEI-00186%20Modificaci&#243;n%20proyecto%20voladuras%20Alkerdi\Ic6.04.192.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Ic6.04.192</Template>
  <TotalTime>1</TotalTime>
  <Pages>2</Pages>
  <Words>939</Words>
  <Characters>5005</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Respuesta pregunta parlamentaria</vt:lpstr>
    </vt:vector>
  </TitlesOfParts>
  <Company>Gobierno de Navarra</Company>
  <LinksUpToDate>false</LinksUpToDate>
  <CharactersWithSpaces>5933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pregunta parlamentaria</dc:title>
  <dc:creator>x058014</dc:creator>
  <cp:lastModifiedBy>Aranaz, Carlota</cp:lastModifiedBy>
  <cp:revision>3</cp:revision>
  <cp:lastPrinted>2019-01-30T08:37:00Z</cp:lastPrinted>
  <dcterms:created xsi:type="dcterms:W3CDTF">2019-02-13T10:50:00Z</dcterms:created>
  <dcterms:modified xsi:type="dcterms:W3CDTF">2019-05-08T09:51:00Z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PL0000054 Respuesta pregunta parlamentaria</vt:lpwstr>
  </property>
  <property fmtid="{D5CDD505-2E9C-101B-9397-08002B2CF9AE}" pid="3" name="Order">
    <vt:lpwstr>18900.0000000000</vt:lpwstr>
  </property>
  <property fmtid="{D5CDD505-2E9C-101B-9397-08002B2CF9AE}" pid="4" name="Revisión">
    <vt:lpwstr>0</vt:lpwstr>
  </property>
  <property fmtid="{D5CDD505-2E9C-101B-9397-08002B2CF9AE}" pid="5" name="Ámbito">
    <vt:lpwstr>GABINETE CONSEJERA</vt:lpwstr>
  </property>
  <property fmtid="{D5CDD505-2E9C-101B-9397-08002B2CF9AE}" pid="6" name="Tipo documento calidad">
    <vt:lpwstr>3</vt:lpwstr>
  </property>
  <property fmtid="{D5CDD505-2E9C-101B-9397-08002B2CF9AE}" pid="7" name="Descripción del documento">
    <vt:lpwstr/>
  </property>
  <property fmtid="{D5CDD505-2E9C-101B-9397-08002B2CF9AE}" pid="8" name="Proceso antiguo0">
    <vt:lpwstr>26</vt:lpwstr>
  </property>
  <property fmtid="{D5CDD505-2E9C-101B-9397-08002B2CF9AE}" pid="9" name="Procesos">
    <vt:lpwstr>0</vt:lpwstr>
  </property>
  <property fmtid="{D5CDD505-2E9C-101B-9397-08002B2CF9AE}" pid="10" name="ContentType">
    <vt:lpwstr>Documentación de Calidad</vt:lpwstr>
  </property>
  <property fmtid="{D5CDD505-2E9C-101B-9397-08002B2CF9AE}" pid="11" name="Documentos asociados">
    <vt:lpwstr/>
  </property>
</Properties>
</file>