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17" w:rsidRDefault="002442D3" w:rsidP="00AA7BD4">
      <w:pPr>
        <w:widowControl w:val="0"/>
        <w:autoSpaceDE w:val="0"/>
        <w:autoSpaceDN w:val="0"/>
        <w:adjustRightInd w:val="0"/>
        <w:spacing w:line="360" w:lineRule="auto"/>
        <w:ind w:right="140"/>
        <w:rPr>
          <w:rFonts w:cs="Arial"/>
          <w:szCs w:val="24"/>
        </w:rPr>
      </w:pPr>
      <w:bookmarkStart w:id="0" w:name="_GoBack"/>
      <w:r>
        <w:t>EH Bildu Nafarroa talde parlamentarioko Maiorga Ramírez Errok</w:t>
      </w:r>
      <w:bookmarkStart w:id="1" w:name="Texto5"/>
      <w:r>
        <w:t xml:space="preserve"> </w:t>
      </w:r>
      <w:bookmarkEnd w:id="1"/>
      <w:r>
        <w:rPr>
          <w:b/>
          <w:szCs w:val="24"/>
        </w:rPr>
        <w:t>9-19/PES-00032</w:t>
      </w:r>
      <w:r>
        <w:t xml:space="preserve"> galdera egin du. Hona, Garapen Ekonomikorako Departamentuan dagoen informazioa oinarri, Garapen Ekonomikorako kontseilariak emandako erantzuna:</w:t>
      </w:r>
    </w:p>
    <w:p w:rsidR="00DF1217" w:rsidRDefault="003D7315" w:rsidP="00AA7BD4">
      <w:pPr>
        <w:widowControl w:val="0"/>
        <w:autoSpaceDE w:val="0"/>
        <w:autoSpaceDN w:val="0"/>
        <w:adjustRightInd w:val="0"/>
        <w:spacing w:line="360" w:lineRule="auto"/>
        <w:ind w:right="140"/>
        <w:rPr>
          <w:rFonts w:cs="Arial"/>
          <w:szCs w:val="24"/>
        </w:rPr>
      </w:pPr>
      <w:r>
        <w:t>Ez da jasota ageri formalki onetsi denik  Ibilgailu Elektrikoen Nafarroako Plana izenekorik. Halere, Nafarroako Foru Komunitateko Administrazioak zenbait jarduketa egin ditu izen horrekin, mugikortasun elektrikoa sustatzeko:</w:t>
      </w:r>
    </w:p>
    <w:p w:rsidR="00DF1217" w:rsidRDefault="000D0170" w:rsidP="00AA7BD4">
      <w:pPr>
        <w:widowControl w:val="0"/>
        <w:autoSpaceDE w:val="0"/>
        <w:autoSpaceDN w:val="0"/>
        <w:adjustRightInd w:val="0"/>
        <w:spacing w:line="360" w:lineRule="auto"/>
        <w:ind w:right="140"/>
        <w:rPr>
          <w:rFonts w:cs="Arial"/>
          <w:szCs w:val="24"/>
        </w:rPr>
      </w:pPr>
      <w:r>
        <w:t xml:space="preserve">- 2026/2010 EBAZPENA, irailaren 15ekoa, Enpresako zuzendari nagusiak emana, zeinaren bidez onetsi baitzen Nafarroan ibilgailu elektrikoak sustatzeko </w:t>
      </w:r>
      <w:r w:rsidR="003626B9" w:rsidRPr="003626B9">
        <w:t>Nafarroan ibilgailu elektrikoak sustatzeko aurrezki-jarduketetarako laguntzen deialdia</w:t>
      </w:r>
      <w:r>
        <w:t xml:space="preserve">. 200.000 euroko gastua baimendu zen, 2010eko gastuen aurrekontuko honako partida honen kargura:  810003 81140 7800 425207 "Krisiaren aurkako neurria. Nafarroan ibilgailu elektrikoak sustatzeko laguntzak”. Horren xedea zen Nafarroan ibilgailu elektrikoak sustatzea, pizgarriak emanez ibilgailu elektrikoak eros daitezen, energia elektrikoa kargatzeko azpiegituretarako eta ekintza osagarrietarako. Enpresako zuzendari nagusiaren abenduaren 29ko 3022/2010 Ebazpenaren bidez 80.000 euroan handitu zen gastua eta zenbait epe aldatu ziren. Deialdi horren kargura, 182.925,69 euroko laguntzak ordaindu ziren. 21 proiekturako </w:t>
      </w:r>
      <w:proofErr w:type="spellStart"/>
      <w:r>
        <w:t>dirulaguntzak</w:t>
      </w:r>
      <w:proofErr w:type="spellEnd"/>
      <w:r>
        <w:t xml:space="preserve"> eman ziren: 10 ibilgailua erosteko,7 kargatzeko azpiegituretarako eta 2 ekintza osagarrietarako. </w:t>
      </w:r>
    </w:p>
    <w:p w:rsidR="00DF1217" w:rsidRDefault="000D0170" w:rsidP="00AA7BD4">
      <w:pPr>
        <w:widowControl w:val="0"/>
        <w:autoSpaceDE w:val="0"/>
        <w:autoSpaceDN w:val="0"/>
        <w:adjustRightInd w:val="0"/>
        <w:spacing w:line="360" w:lineRule="auto"/>
        <w:ind w:right="140"/>
        <w:rPr>
          <w:rFonts w:cs="Arial"/>
          <w:szCs w:val="24"/>
        </w:rPr>
      </w:pPr>
      <w:r>
        <w:t xml:space="preserve">- 1210/2011 EBAZPENA, ekainaren15ekoa, Enpresako zuzendari nagusiak emana, zeinaren bidez onetsi baitzen Nafarroan ibilgailu elektrikoak sustatzeko 2011rako laguntzen deialdia. Horren xedea zen 2011n sustatzea elektrikoen erosketa, energia elektrikoa kargatzeko azpiegiturak paratzea eta horrekin lotutako jarduketak egitea. 900.000 euroko gastua baimendu zen, honako partida hauen kargura : 500.000 euro 810003-81140-7701-425200 “Krisiaren aurkako 23. neurria. Nafarroan ibilgailu elektrikoak sustatzeko laguntzak. FEDER 2007-2013” partidaren kargura, eta 400.000 euro, berriz, “Krisiaren aurkako 23. neurria. Nafarroan ibilgailu elektrikoak sustatzeko laguntzak” partidaren kargura. Enpresaren eta Berrikuntzaren zuzendari nagusiaren azaroaren 30eko 2323DGE/2011 Ebazpenak indarrik gabe utzi zuen Nafarroan ibilgailu elektrikoak sustatzeko 2011rako laguntzen deialdia, eta 56.406,29 euro murriztu zuen aipatu deialdirako baimendutako gastua. </w:t>
      </w:r>
    </w:p>
    <w:p w:rsidR="00DF1217" w:rsidRDefault="00831C56" w:rsidP="00AA7BD4">
      <w:pPr>
        <w:widowControl w:val="0"/>
        <w:autoSpaceDE w:val="0"/>
        <w:autoSpaceDN w:val="0"/>
        <w:adjustRightInd w:val="0"/>
        <w:spacing w:line="360" w:lineRule="auto"/>
        <w:ind w:right="140"/>
        <w:rPr>
          <w:rFonts w:cs="Arial"/>
          <w:szCs w:val="24"/>
        </w:rPr>
      </w:pPr>
      <w:r>
        <w:t xml:space="preserve">Deialdi horren kargura 355.963,63 euroko laguntza eman zitzaien orduko </w:t>
      </w:r>
      <w:r>
        <w:lastRenderedPageBreak/>
        <w:t xml:space="preserve">CETENA Fundazioari eta egungo I+G+B </w:t>
      </w:r>
      <w:proofErr w:type="spellStart"/>
      <w:r>
        <w:t>Automozioa</w:t>
      </w:r>
      <w:proofErr w:type="spellEnd"/>
      <w:r>
        <w:t xml:space="preserve"> eta </w:t>
      </w:r>
      <w:proofErr w:type="spellStart"/>
      <w:r>
        <w:t>Mekatronika</w:t>
      </w:r>
      <w:proofErr w:type="spellEnd"/>
      <w:r>
        <w:t xml:space="preserve"> Fundazioari, zeinean sartuta baitzegoen CITEAN-Nafarroako Automozio arloko Berrikuntza Teknologikorako Zentroa. Ordainketa 810003-81140-7701-425200 “Krisiaren aurkako 23. neurria. Nafarroan ibilgailu elektrikoak sustatzeko laguntzak. FEDER 2007-2013” partidaren kargura egin zen, “Garraio publikoa autobus elektrikoarekin egiteko azterlan pilotua” egiteko. Zenbateko horretatik gero </w:t>
      </w:r>
      <w:proofErr w:type="spellStart"/>
      <w:r>
        <w:t>exigitu</w:t>
      </w:r>
      <w:proofErr w:type="spellEnd"/>
      <w:r>
        <w:t xml:space="preserve"> zen 17.139,17 euro itzultzea, ordaindu eta justifikatu gabeko gehiegizko </w:t>
      </w:r>
      <w:proofErr w:type="spellStart"/>
      <w:r>
        <w:t>dirulaguntzagatik</w:t>
      </w:r>
      <w:proofErr w:type="spellEnd"/>
      <w:r>
        <w:t>.</w:t>
      </w:r>
    </w:p>
    <w:p w:rsidR="00DF1217" w:rsidRDefault="00547A5B" w:rsidP="00AA7BD4">
      <w:pPr>
        <w:widowControl w:val="0"/>
        <w:autoSpaceDE w:val="0"/>
        <w:autoSpaceDN w:val="0"/>
        <w:adjustRightInd w:val="0"/>
        <w:spacing w:line="360" w:lineRule="auto"/>
        <w:ind w:right="140"/>
        <w:rPr>
          <w:rFonts w:cs="Arial"/>
          <w:szCs w:val="24"/>
        </w:rPr>
      </w:pPr>
      <w:r>
        <w:t xml:space="preserve">309.828,63 euro ordaindu ziren orobat 810003-81140-7709-425200 “Krisiaren aurkako 23. neurria. Nafarroan ibilgailu elektrikoak sustatzeko laguntzak” partidaren kargura. Eta 2012ko ekitaldian 56.192,64 euro ordaindu ziren. 10 proiektu finantzatu ziren: 2 ibilgailua erosteko,1 kargatzeko azpiegituretarako eta 7 ekintza osagarrietarako. </w:t>
      </w:r>
    </w:p>
    <w:p w:rsidR="00DF1217" w:rsidRDefault="0063329E" w:rsidP="00AA7BD4">
      <w:pPr>
        <w:widowControl w:val="0"/>
        <w:autoSpaceDE w:val="0"/>
        <w:autoSpaceDN w:val="0"/>
        <w:adjustRightInd w:val="0"/>
        <w:spacing w:line="360" w:lineRule="auto"/>
        <w:ind w:right="140"/>
        <w:rPr>
          <w:rFonts w:cs="Arial"/>
          <w:szCs w:val="24"/>
        </w:rPr>
      </w:pPr>
      <w:r>
        <w:t xml:space="preserve">- Enpresaren eta Berrikuntzaren zuzendari nagusiaren apirilaren 14ko 780DGE/2012 Ebazpenaren bidez, CETENA Fundazioari 283.195 euroko </w:t>
      </w:r>
      <w:proofErr w:type="spellStart"/>
      <w:r>
        <w:t>dirulaguntza</w:t>
      </w:r>
      <w:proofErr w:type="spellEnd"/>
      <w:r>
        <w:t xml:space="preserve"> eman zitzaion zuzenean (Gobernuaren 2012ko apirilaren 4ko Erabakiaren bidez baimenduta), “</w:t>
      </w:r>
      <w:proofErr w:type="spellStart"/>
      <w:r>
        <w:t>Pilavesa</w:t>
      </w:r>
      <w:proofErr w:type="spellEnd"/>
      <w:r>
        <w:t xml:space="preserve"> 2012: autobus elektrikoaren autonomia hobetzeko eta areagotzeko energia lortu eta biltegiratzeko sistema berriak” proiektua egin zezan, 750003 75330 7819 467300 “Ibilgailu elektrikoa sustatzeko laguntzak” 2012ko gastuen aurrekontuko partidaren kargura. Zenbateko horretatik, 141.379,43 euro ezin izan ziren 2012an ordaindu, arrazoi teknikoak zirela medio autobusa geldirik egon zelako 2012ko maiatzaren 1etik abuztuaren 30era bitarte, eta horrek eragotzi egin zuen proiektua aurreikusita zegoen datarako bukatzea.  Gainerako zenbateko hori Industria, Energia eta Berrikuntzako zuzendari nagusiaren abenduaren 17ko 1115/2012 Ebazpenaren bidez ordaindu zen. </w:t>
      </w:r>
    </w:p>
    <w:p w:rsidR="00DF1217" w:rsidRDefault="00547A5B" w:rsidP="00547A5B">
      <w:pPr>
        <w:widowControl w:val="0"/>
        <w:autoSpaceDE w:val="0"/>
        <w:autoSpaceDN w:val="0"/>
        <w:adjustRightInd w:val="0"/>
        <w:spacing w:line="360" w:lineRule="auto"/>
        <w:ind w:right="140"/>
        <w:rPr>
          <w:rFonts w:cs="Arial"/>
          <w:szCs w:val="24"/>
        </w:rPr>
      </w:pPr>
      <w:r>
        <w:t xml:space="preserve">Autobus elektrikoari buruzko lehendabiziko proiektuak –”Garraio publikoa autobus elektrikoarekin egiteko azterlan pilotua”– xede zuen ibilgailu elektrikoen </w:t>
      </w:r>
      <w:proofErr w:type="spellStart"/>
      <w:r>
        <w:t>monitorizazio-plataforma</w:t>
      </w:r>
      <w:proofErr w:type="spellEnd"/>
      <w:r>
        <w:t xml:space="preserve"> bat garatzea, autobus elektrikoari aplikatuta. Ondorioa izan zen autonomia eta bidaiari-ahalmena zirela ibilgailuaren ustiapen normal bati begira detektatu ziren eragozpen bakarrak; izan ere, lanaldi erdia egin zezakeen soilik, eta 62 pertsona har zitzakeen guztira (autobus konbentzional batean 92 pertsona sartzen dira). Halaber, normal funtzionatuko bazuen zenbait </w:t>
      </w:r>
      <w:r>
        <w:lastRenderedPageBreak/>
        <w:t>hobekuntza egin beharra aipatzen zen, autonomia eta ahalmena hobetzeaz gain, bateriaren karga berreskuratzeko sistema automatiko bat behar baitzen, gidariaren mende egonen ez dena.</w:t>
      </w:r>
    </w:p>
    <w:p w:rsidR="00DF1217" w:rsidRDefault="00547A5B" w:rsidP="00547A5B">
      <w:pPr>
        <w:widowControl w:val="0"/>
        <w:autoSpaceDE w:val="0"/>
        <w:autoSpaceDN w:val="0"/>
        <w:adjustRightInd w:val="0"/>
        <w:spacing w:line="360" w:lineRule="auto"/>
        <w:ind w:right="140"/>
        <w:rPr>
          <w:rFonts w:cs="Arial"/>
          <w:szCs w:val="24"/>
        </w:rPr>
      </w:pPr>
      <w:r>
        <w:t>Bigarren proiektuan –”Autobus elektrikoaren autonomia hobetzeko eta areagotzeko energia lortu eta biltegiratzeko sistema berriak”–, helburua zen sistema berriak aztertzea eta garatzea, autobus elektriko baten energia biltegiratzeko maila areagotzea ahalbidetzeko, halako moduan non autonomia areagotuko baita. Ondorioen artean nabarmendu beharra dago eguzki-panelen instalazioen efizientzia hobetu izana, autonomia % 10 areagotuta, eta autobus elektriko baten eta diesel baten kostu operatiboaren balorazioa, elektrikoaren aldekoa baita nabarmen. Kostu operatibotik ustiapen-kostura pasatuz gero, konparazioak ibilgailu elektrikoaren aldekoa izaten jarraitzen du, nahiz eta aldea asko murrizten den.</w:t>
      </w:r>
    </w:p>
    <w:p w:rsidR="00DF1217" w:rsidRDefault="00547A5B" w:rsidP="00547A5B">
      <w:pPr>
        <w:widowControl w:val="0"/>
        <w:autoSpaceDE w:val="0"/>
        <w:autoSpaceDN w:val="0"/>
        <w:adjustRightInd w:val="0"/>
        <w:spacing w:line="360" w:lineRule="auto"/>
        <w:ind w:right="140"/>
        <w:rPr>
          <w:rFonts w:cs="Arial"/>
          <w:szCs w:val="24"/>
        </w:rPr>
      </w:pPr>
      <w:r>
        <w:t>Proiektu horiek bukatuta, Iruñerriko Mankomunitateak eta eskualdeko garraio publikoaren zerbitzuaren enpresa esleipen-hartzaileak autobus-flota dibertsifikatzearen aldeko apustua egin zuten hurrengo urteetan; zehazki, ibilgailu hibrido elektriko-dieselen aldekoa. Gaur egun, teknologia elektrikoa areago garatzen ari denez –bai ibilgailuena bai karga-sistemena–, Industriaren, Energiaren eta Berrikuntzaren Zuzendaritza Nagusia Iruñerriko Mankomunitatearekin batera proiektuak lantzen ari da, funtzionamendu % 100 elektrikoko ibilgailuak edukitzeko.</w:t>
      </w:r>
    </w:p>
    <w:p w:rsidR="00DF1217" w:rsidRDefault="00AA7BD4" w:rsidP="005E1E01">
      <w:pPr>
        <w:widowControl w:val="0"/>
        <w:autoSpaceDE w:val="0"/>
        <w:autoSpaceDN w:val="0"/>
        <w:adjustRightInd w:val="0"/>
        <w:spacing w:line="360" w:lineRule="auto"/>
        <w:ind w:right="140"/>
        <w:rPr>
          <w:rFonts w:cs="Arial"/>
          <w:szCs w:val="24"/>
        </w:rPr>
      </w:pPr>
      <w:r>
        <w:t>Iruñean, 2019ko martxoaren 18an</w:t>
      </w:r>
    </w:p>
    <w:p w:rsidR="00DF1217" w:rsidRPr="00DF1217" w:rsidRDefault="00DF1217" w:rsidP="00DF1217">
      <w:pPr>
        <w:spacing w:line="360" w:lineRule="auto"/>
        <w:jc w:val="center"/>
        <w:rPr>
          <w:rFonts w:cs="Arial"/>
          <w:szCs w:val="24"/>
        </w:rPr>
      </w:pPr>
      <w:r>
        <w:t>Garapen Ekonomikorako kontseilaria: Manuel Ayerdi Olaizola</w:t>
      </w:r>
    </w:p>
    <w:bookmarkEnd w:id="0"/>
    <w:p w:rsidR="00DF1217" w:rsidRDefault="00DF1217" w:rsidP="00AA7BD4">
      <w:pPr>
        <w:spacing w:line="360" w:lineRule="auto"/>
        <w:rPr>
          <w:rFonts w:cs="Arial"/>
          <w:szCs w:val="24"/>
        </w:rPr>
      </w:pPr>
    </w:p>
    <w:sectPr w:rsidR="00DF1217" w:rsidSect="00DF1217">
      <w:headerReference w:type="default" r:id="rId8"/>
      <w:headerReference w:type="first" r:id="rId9"/>
      <w:footerReference w:type="first" r:id="rId10"/>
      <w:type w:val="continuous"/>
      <w:pgSz w:w="11907" w:h="16840" w:code="9"/>
      <w:pgMar w:top="2127" w:right="1134" w:bottom="851" w:left="1985" w:header="709"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0B1" w:rsidRDefault="003B50B1">
      <w:r>
        <w:separator/>
      </w:r>
    </w:p>
  </w:endnote>
  <w:endnote w:type="continuationSeparator" w:id="0">
    <w:p w:rsidR="003B50B1" w:rsidRDefault="003B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81" w:type="dxa"/>
      <w:tblLayout w:type="fixed"/>
      <w:tblCellMar>
        <w:left w:w="71" w:type="dxa"/>
        <w:right w:w="71" w:type="dxa"/>
      </w:tblCellMar>
      <w:tblLook w:val="0000" w:firstRow="0" w:lastRow="0" w:firstColumn="0" w:lastColumn="0" w:noHBand="0" w:noVBand="0"/>
    </w:tblPr>
    <w:tblGrid>
      <w:gridCol w:w="4538"/>
      <w:gridCol w:w="1475"/>
      <w:gridCol w:w="4762"/>
    </w:tblGrid>
    <w:tr w:rsidR="00A032C4">
      <w:tc>
        <w:tcPr>
          <w:tcW w:w="4538" w:type="dxa"/>
        </w:tcPr>
        <w:p w:rsidR="00A032C4" w:rsidRPr="00A032C4" w:rsidRDefault="00A032C4">
          <w:pPr>
            <w:pStyle w:val="Piedepgina"/>
            <w:tabs>
              <w:tab w:val="clear" w:pos="4252"/>
              <w:tab w:val="clear" w:pos="8504"/>
            </w:tabs>
          </w:pPr>
          <w:r>
            <w:rPr>
              <w:sz w:val="14"/>
            </w:rPr>
            <w:fldChar w:fldCharType="begin"/>
          </w:r>
          <w:r w:rsidRPr="00A032C4">
            <w:rPr>
              <w:sz w:val="14"/>
            </w:rPr>
            <w:instrText xml:space="preserve"> FILENAME \* LOWER\p \* MERGEFORMAT </w:instrText>
          </w:r>
          <w:r>
            <w:rPr>
              <w:sz w:val="14"/>
            </w:rPr>
            <w:fldChar w:fldCharType="separate"/>
          </w:r>
          <w:r w:rsidRPr="00A032C4">
            <w:rPr>
              <w:sz w:val="14"/>
            </w:rPr>
            <w:t>l:\parlamento de navarra\expedienteak\pes\pes 2019\pes 32-plan ven-bildu\respuesta\resp pes 32-2019 ven_eh bilu .doc</w:t>
          </w:r>
          <w:r>
            <w:rPr>
              <w:sz w:val="14"/>
            </w:rPr>
            <w:fldChar w:fldCharType="end"/>
          </w:r>
        </w:p>
      </w:tc>
      <w:tc>
        <w:tcPr>
          <w:tcW w:w="1475" w:type="dxa"/>
        </w:tcPr>
        <w:p w:rsidR="00A032C4" w:rsidRDefault="00A032C4">
          <w:pPr>
            <w:pStyle w:val="Piedepgina"/>
            <w:tabs>
              <w:tab w:val="clear" w:pos="4252"/>
              <w:tab w:val="clear" w:pos="8504"/>
            </w:tabs>
            <w:jc w:val="center"/>
            <w:rPr>
              <w:sz w:val="14"/>
            </w:rPr>
          </w:pPr>
          <w:r>
            <w:t>Orr.:</w:t>
          </w:r>
          <w:r>
            <w:rPr>
              <w:sz w:val="14"/>
            </w:rPr>
            <w:t xml:space="preserve"> </w:t>
          </w:r>
          <w:r>
            <w:rPr>
              <w:sz w:val="14"/>
            </w:rPr>
            <w:fldChar w:fldCharType="begin"/>
          </w:r>
          <w:r>
            <w:rPr>
              <w:sz w:val="14"/>
            </w:rPr>
            <w:instrText xml:space="preserve"> PAGE  \* MERGEFORMAT </w:instrText>
          </w:r>
          <w:r>
            <w:rPr>
              <w:sz w:val="14"/>
            </w:rPr>
            <w:fldChar w:fldCharType="separate"/>
          </w:r>
          <w:r>
            <w:rPr>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Pr>
              <w:sz w:val="14"/>
            </w:rPr>
            <w:t>5</w:t>
          </w:r>
          <w:r>
            <w:rPr>
              <w:sz w:val="14"/>
            </w:rPr>
            <w:fldChar w:fldCharType="end"/>
          </w:r>
        </w:p>
      </w:tc>
      <w:tc>
        <w:tcPr>
          <w:tcW w:w="4762" w:type="dxa"/>
        </w:tcPr>
        <w:p w:rsidR="00A032C4" w:rsidRDefault="00A032C4">
          <w:pPr>
            <w:pStyle w:val="Piedepgina"/>
            <w:tabs>
              <w:tab w:val="clear" w:pos="4252"/>
              <w:tab w:val="clear" w:pos="8504"/>
            </w:tabs>
            <w:jc w:val="right"/>
            <w:rPr>
              <w:sz w:val="12"/>
            </w:rPr>
          </w:pPr>
          <w:r>
            <w:rPr>
              <w:sz w:val="12"/>
            </w:rPr>
            <w:t>ic.18.02.08</w:t>
          </w:r>
          <w:r>
            <w:rPr>
              <w:sz w:val="14"/>
            </w:rPr>
            <w:t xml:space="preserve"> Rev.2</w:t>
          </w:r>
        </w:p>
      </w:tc>
    </w:tr>
  </w:tbl>
  <w:p w:rsidR="00A032C4" w:rsidRDefault="00A03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0B1" w:rsidRDefault="003B50B1">
      <w:r>
        <w:separator/>
      </w:r>
    </w:p>
  </w:footnote>
  <w:footnote w:type="continuationSeparator" w:id="0">
    <w:p w:rsidR="003B50B1" w:rsidRDefault="003B5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C4" w:rsidRDefault="00A032C4">
    <w:pPr>
      <w:pStyle w:val="Encabezado"/>
      <w:rPr>
        <w:rFonts w:cs="Arial"/>
        <w:b/>
        <w:sz w:val="18"/>
        <w:szCs w:val="18"/>
      </w:rPr>
    </w:pPr>
  </w:p>
  <w:p w:rsidR="00A032C4" w:rsidRPr="0023201C" w:rsidRDefault="00A032C4" w:rsidP="00AA7BD4">
    <w:pPr>
      <w:pStyle w:val="Encabezado"/>
      <w:jc w:val="right"/>
    </w:pPr>
  </w:p>
  <w:p w:rsidR="00A032C4" w:rsidRDefault="00A032C4">
    <w:pPr>
      <w:pStyle w:val="Encabezado"/>
      <w:rPr>
        <w:rFonts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97" w:type="dxa"/>
      <w:tblLayout w:type="fixed"/>
      <w:tblCellMar>
        <w:left w:w="71" w:type="dxa"/>
        <w:right w:w="71" w:type="dxa"/>
      </w:tblCellMar>
      <w:tblLook w:val="0000" w:firstRow="0" w:lastRow="0" w:firstColumn="0" w:lastColumn="0" w:noHBand="0" w:noVBand="0"/>
    </w:tblPr>
    <w:tblGrid>
      <w:gridCol w:w="3555"/>
      <w:gridCol w:w="4809"/>
      <w:gridCol w:w="2410"/>
    </w:tblGrid>
    <w:tr w:rsidR="00A032C4">
      <w:tc>
        <w:tcPr>
          <w:tcW w:w="3555" w:type="dxa"/>
        </w:tcPr>
        <w:p w:rsidR="00A032C4" w:rsidRDefault="00531FF3">
          <w:r>
            <w:rPr>
              <w:noProof/>
              <w:lang w:val="es-ES"/>
            </w:rPr>
            <w:drawing>
              <wp:inline distT="0" distB="0" distL="0" distR="0" wp14:anchorId="1C42EBB4" wp14:editId="4E590DAA">
                <wp:extent cx="2076450" cy="419100"/>
                <wp:effectExtent l="0" t="0" r="0" b="0"/>
                <wp:docPr id="2" name="Imagen 2" descr="pppppp3 cas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ppp3 cas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tc>
      <w:tc>
        <w:tcPr>
          <w:tcW w:w="4809" w:type="dxa"/>
        </w:tcPr>
        <w:p w:rsidR="00A032C4" w:rsidRDefault="00A032C4">
          <w:pPr>
            <w:jc w:val="center"/>
            <w:rPr>
              <w:sz w:val="16"/>
            </w:rPr>
          </w:pPr>
        </w:p>
        <w:p w:rsidR="00A032C4" w:rsidRDefault="00A032C4">
          <w:pPr>
            <w:jc w:val="center"/>
            <w:rPr>
              <w:sz w:val="16"/>
            </w:rPr>
          </w:pPr>
          <w:r>
            <w:rPr>
              <w:b/>
              <w:sz w:val="22"/>
            </w:rPr>
            <w:t>KOMUNIKAZIOA</w:t>
          </w:r>
        </w:p>
        <w:p w:rsidR="00A032C4" w:rsidRDefault="00A032C4">
          <w:pPr>
            <w:rPr>
              <w:b/>
              <w:sz w:val="16"/>
            </w:rPr>
          </w:pPr>
        </w:p>
      </w:tc>
      <w:tc>
        <w:tcPr>
          <w:tcW w:w="2410" w:type="dxa"/>
        </w:tcPr>
        <w:p w:rsidR="00A032C4" w:rsidRDefault="00A032C4">
          <w:pPr>
            <w:rPr>
              <w:rFonts w:ascii="Times New Roman" w:hAnsi="Times New Roman"/>
              <w:sz w:val="16"/>
            </w:rPr>
          </w:pPr>
          <w:r>
            <w:rPr>
              <w:rFonts w:ascii="Times New Roman" w:hAnsi="Times New Roman"/>
              <w:sz w:val="16"/>
            </w:rPr>
            <w:t xml:space="preserve">“Fuerte del </w:t>
          </w:r>
          <w:proofErr w:type="spellStart"/>
          <w:r>
            <w:rPr>
              <w:rFonts w:ascii="Times New Roman" w:hAnsi="Times New Roman"/>
              <w:sz w:val="16"/>
            </w:rPr>
            <w:t>Príncipe</w:t>
          </w:r>
          <w:proofErr w:type="spellEnd"/>
          <w:r>
            <w:rPr>
              <w:rFonts w:ascii="Times New Roman" w:hAnsi="Times New Roman"/>
              <w:sz w:val="16"/>
            </w:rPr>
            <w:t xml:space="preserve"> II” eraikina</w:t>
          </w:r>
        </w:p>
        <w:p w:rsidR="00A032C4" w:rsidRDefault="00A032C4">
          <w:pPr>
            <w:rPr>
              <w:rFonts w:ascii="Times New Roman" w:hAnsi="Times New Roman"/>
              <w:sz w:val="16"/>
            </w:rPr>
          </w:pPr>
          <w:r>
            <w:rPr>
              <w:rFonts w:ascii="Times New Roman" w:hAnsi="Times New Roman"/>
              <w:sz w:val="16"/>
            </w:rPr>
            <w:t>Tomás Caballero parkea, 1</w:t>
          </w:r>
        </w:p>
        <w:p w:rsidR="00A032C4" w:rsidRDefault="00A032C4">
          <w:pPr>
            <w:rPr>
              <w:rFonts w:ascii="Times New Roman" w:hAnsi="Times New Roman"/>
              <w:sz w:val="16"/>
            </w:rPr>
          </w:pPr>
          <w:r>
            <w:rPr>
              <w:rFonts w:ascii="Times New Roman" w:hAnsi="Times New Roman"/>
              <w:sz w:val="16"/>
            </w:rPr>
            <w:t>31005  IRUÑA</w:t>
          </w:r>
        </w:p>
        <w:p w:rsidR="00A032C4" w:rsidRDefault="00A032C4">
          <w:pPr>
            <w:rPr>
              <w:b/>
              <w:sz w:val="16"/>
            </w:rPr>
          </w:pPr>
        </w:p>
      </w:tc>
    </w:tr>
  </w:tbl>
  <w:p w:rsidR="00A032C4" w:rsidRDefault="00A032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984CB4"/>
    <w:lvl w:ilvl="0">
      <w:numFmt w:val="bullet"/>
      <w:lvlText w:val="*"/>
      <w:lvlJc w:val="left"/>
    </w:lvl>
  </w:abstractNum>
  <w:abstractNum w:abstractNumId="1">
    <w:nsid w:val="56BF2786"/>
    <w:multiLevelType w:val="hybridMultilevel"/>
    <w:tmpl w:val="F4368638"/>
    <w:lvl w:ilvl="0" w:tplc="C8C6E626">
      <w:start w:val="5"/>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283"/>
        <w:lvlJc w:val="left"/>
        <w:pPr>
          <w:ind w:left="709" w:hanging="283"/>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45"/>
    <w:rsid w:val="000D0170"/>
    <w:rsid w:val="001342D1"/>
    <w:rsid w:val="001B0CED"/>
    <w:rsid w:val="001B18A2"/>
    <w:rsid w:val="002442D3"/>
    <w:rsid w:val="00246D98"/>
    <w:rsid w:val="002F5C13"/>
    <w:rsid w:val="00345951"/>
    <w:rsid w:val="00353BBE"/>
    <w:rsid w:val="003626B9"/>
    <w:rsid w:val="003B50B1"/>
    <w:rsid w:val="003D7315"/>
    <w:rsid w:val="0047565B"/>
    <w:rsid w:val="00495219"/>
    <w:rsid w:val="00531FF3"/>
    <w:rsid w:val="00547A5B"/>
    <w:rsid w:val="005E1E01"/>
    <w:rsid w:val="005F0456"/>
    <w:rsid w:val="0063329E"/>
    <w:rsid w:val="00693D8F"/>
    <w:rsid w:val="00745856"/>
    <w:rsid w:val="00763945"/>
    <w:rsid w:val="00831C56"/>
    <w:rsid w:val="0087540B"/>
    <w:rsid w:val="00882DDD"/>
    <w:rsid w:val="0095272F"/>
    <w:rsid w:val="0097312C"/>
    <w:rsid w:val="009A197B"/>
    <w:rsid w:val="009A5D97"/>
    <w:rsid w:val="00A032C4"/>
    <w:rsid w:val="00AA7BD4"/>
    <w:rsid w:val="00AB22FE"/>
    <w:rsid w:val="00AC439D"/>
    <w:rsid w:val="00B63AC0"/>
    <w:rsid w:val="00BB563F"/>
    <w:rsid w:val="00BF2B54"/>
    <w:rsid w:val="00BF741F"/>
    <w:rsid w:val="00C22CF0"/>
    <w:rsid w:val="00C2576D"/>
    <w:rsid w:val="00C36BFE"/>
    <w:rsid w:val="00CE4D5A"/>
    <w:rsid w:val="00D03967"/>
    <w:rsid w:val="00D65057"/>
    <w:rsid w:val="00D95F9B"/>
    <w:rsid w:val="00DC43BE"/>
    <w:rsid w:val="00DF1217"/>
    <w:rsid w:val="00E346C7"/>
    <w:rsid w:val="00F23CDC"/>
    <w:rsid w:val="00FD1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paragraph" w:styleId="Textodeglobo">
    <w:name w:val="Balloon Text"/>
    <w:basedOn w:val="Normal"/>
    <w:semiHidden/>
    <w:rsid w:val="00AB2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paragraph" w:styleId="Textodeglobo">
    <w:name w:val="Balloon Text"/>
    <w:basedOn w:val="Normal"/>
    <w:semiHidden/>
    <w:rsid w:val="00AB2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9418">
      <w:bodyDiv w:val="1"/>
      <w:marLeft w:val="0"/>
      <w:marRight w:val="0"/>
      <w:marTop w:val="0"/>
      <w:marBottom w:val="0"/>
      <w:divBdr>
        <w:top w:val="none" w:sz="0" w:space="0" w:color="auto"/>
        <w:left w:val="none" w:sz="0" w:space="0" w:color="auto"/>
        <w:bottom w:val="none" w:sz="0" w:space="0" w:color="auto"/>
        <w:right w:val="none" w:sz="0" w:space="0" w:color="auto"/>
      </w:divBdr>
    </w:div>
    <w:div w:id="1577590115">
      <w:bodyDiv w:val="1"/>
      <w:marLeft w:val="0"/>
      <w:marRight w:val="0"/>
      <w:marTop w:val="0"/>
      <w:marBottom w:val="0"/>
      <w:divBdr>
        <w:top w:val="none" w:sz="0" w:space="0" w:color="auto"/>
        <w:left w:val="none" w:sz="0" w:space="0" w:color="auto"/>
        <w:bottom w:val="none" w:sz="0" w:space="0" w:color="auto"/>
        <w:right w:val="none" w:sz="0" w:space="0" w:color="auto"/>
      </w:divBdr>
    </w:div>
    <w:div w:id="1595943959">
      <w:bodyDiv w:val="1"/>
      <w:marLeft w:val="0"/>
      <w:marRight w:val="0"/>
      <w:marTop w:val="0"/>
      <w:marBottom w:val="0"/>
      <w:divBdr>
        <w:top w:val="none" w:sz="0" w:space="0" w:color="auto"/>
        <w:left w:val="none" w:sz="0" w:space="0" w:color="auto"/>
        <w:bottom w:val="none" w:sz="0" w:space="0" w:color="auto"/>
        <w:right w:val="none" w:sz="0" w:space="0" w:color="auto"/>
      </w:divBdr>
      <w:divsChild>
        <w:div w:id="1600483805">
          <w:marLeft w:val="0"/>
          <w:marRight w:val="0"/>
          <w:marTop w:val="0"/>
          <w:marBottom w:val="0"/>
          <w:divBdr>
            <w:top w:val="single" w:sz="6" w:space="0" w:color="000000"/>
            <w:left w:val="single" w:sz="6" w:space="0" w:color="000000"/>
            <w:bottom w:val="single" w:sz="6" w:space="0" w:color="000000"/>
            <w:right w:val="single" w:sz="6" w:space="0" w:color="000000"/>
          </w:divBdr>
          <w:divsChild>
            <w:div w:id="1960723546">
              <w:marLeft w:val="0"/>
              <w:marRight w:val="240"/>
              <w:marTop w:val="0"/>
              <w:marBottom w:val="0"/>
              <w:divBdr>
                <w:top w:val="none" w:sz="0" w:space="0" w:color="auto"/>
                <w:left w:val="none" w:sz="0" w:space="0" w:color="auto"/>
                <w:bottom w:val="none" w:sz="0" w:space="0" w:color="auto"/>
                <w:right w:val="none" w:sz="0" w:space="0" w:color="auto"/>
              </w:divBdr>
              <w:divsChild>
                <w:div w:id="1508251195">
                  <w:marLeft w:val="0"/>
                  <w:marRight w:val="0"/>
                  <w:marTop w:val="0"/>
                  <w:marBottom w:val="0"/>
                  <w:divBdr>
                    <w:top w:val="none" w:sz="0" w:space="0" w:color="auto"/>
                    <w:left w:val="none" w:sz="0" w:space="0" w:color="auto"/>
                    <w:bottom w:val="none" w:sz="0" w:space="0" w:color="auto"/>
                    <w:right w:val="dotted" w:sz="2" w:space="0" w:color="999999"/>
                  </w:divBdr>
                  <w:divsChild>
                    <w:div w:id="1826389583">
                      <w:marLeft w:val="335"/>
                      <w:marRight w:val="0"/>
                      <w:marTop w:val="0"/>
                      <w:marBottom w:val="335"/>
                      <w:divBdr>
                        <w:top w:val="none" w:sz="0" w:space="0" w:color="auto"/>
                        <w:left w:val="none" w:sz="0" w:space="0" w:color="auto"/>
                        <w:bottom w:val="none" w:sz="0" w:space="0" w:color="auto"/>
                        <w:right w:val="none" w:sz="0" w:space="0" w:color="auto"/>
                      </w:divBdr>
                      <w:divsChild>
                        <w:div w:id="1101681095">
                          <w:marLeft w:val="0"/>
                          <w:marRight w:val="0"/>
                          <w:marTop w:val="0"/>
                          <w:marBottom w:val="0"/>
                          <w:divBdr>
                            <w:top w:val="none" w:sz="0" w:space="0" w:color="auto"/>
                            <w:left w:val="none" w:sz="0" w:space="0" w:color="auto"/>
                            <w:bottom w:val="none" w:sz="0" w:space="0" w:color="auto"/>
                            <w:right w:val="none" w:sz="0" w:space="0" w:color="auto"/>
                          </w:divBdr>
                          <w:divsChild>
                            <w:div w:id="54937843">
                              <w:marLeft w:val="0"/>
                              <w:marRight w:val="0"/>
                              <w:marTop w:val="0"/>
                              <w:marBottom w:val="0"/>
                              <w:divBdr>
                                <w:top w:val="none" w:sz="0" w:space="0" w:color="auto"/>
                                <w:left w:val="none" w:sz="0" w:space="0" w:color="auto"/>
                                <w:bottom w:val="none" w:sz="0" w:space="0" w:color="auto"/>
                                <w:right w:val="none" w:sz="0" w:space="0" w:color="auto"/>
                              </w:divBdr>
                            </w:div>
                            <w:div w:id="18784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5580</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Respuesta pregunta parlamentaria</vt:lpstr>
    </vt:vector>
  </TitlesOfParts>
  <Company>Gobierno de Navarra</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dc:title>
  <dc:creator>n200208</dc:creator>
  <cp:lastModifiedBy>Aranaz, Carlota</cp:lastModifiedBy>
  <cp:revision>5</cp:revision>
  <cp:lastPrinted>2019-03-18T16:56:00Z</cp:lastPrinted>
  <dcterms:created xsi:type="dcterms:W3CDTF">2019-03-27T13:52:00Z</dcterms:created>
  <dcterms:modified xsi:type="dcterms:W3CDTF">2019-05-16T10:17:00Z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PL0000054 Respuesta pregunta parlamentaria</vt:lpwstr>
  </property>
  <property fmtid="{D5CDD505-2E9C-101B-9397-08002B2CF9AE}" pid="3" name="Order">
    <vt:lpwstr>18900.0000000000</vt:lpwstr>
  </property>
  <property fmtid="{D5CDD505-2E9C-101B-9397-08002B2CF9AE}" pid="4" name="Revisión">
    <vt:lpwstr>0</vt:lpwstr>
  </property>
  <property fmtid="{D5CDD505-2E9C-101B-9397-08002B2CF9AE}" pid="5" name="Ámbito">
    <vt:lpwstr>GABINETE CONSEJERA</vt:lpwstr>
  </property>
  <property fmtid="{D5CDD505-2E9C-101B-9397-08002B2CF9AE}" pid="6" name="Tipo documento calidad">
    <vt:lpwstr>3</vt:lpwstr>
  </property>
  <property fmtid="{D5CDD505-2E9C-101B-9397-08002B2CF9AE}" pid="7" name="Descripción del documento">
    <vt:lpwstr/>
  </property>
  <property fmtid="{D5CDD505-2E9C-101B-9397-08002B2CF9AE}" pid="8" name="Proceso antiguo0">
    <vt:lpwstr>26</vt:lpwstr>
  </property>
  <property fmtid="{D5CDD505-2E9C-101B-9397-08002B2CF9AE}" pid="9" name="Procesos">
    <vt:lpwstr>0</vt:lpwstr>
  </property>
  <property fmtid="{D5CDD505-2E9C-101B-9397-08002B2CF9AE}" pid="10" name="ContentType">
    <vt:lpwstr>Documentación de Calidad</vt:lpwstr>
  </property>
  <property fmtid="{D5CDD505-2E9C-101B-9397-08002B2CF9AE}" pid="11" name="Documentos asociados">
    <vt:lpwstr/>
  </property>
</Properties>
</file>