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9 de septiembre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sobrecoste para las arcas navarras derivado de la estructura del nuevo Gobierno de Navarra, formulada por por la Ilma. Sra. D.ª Marta Álvarez Alonso.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9 de septiembre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Marta Álvarez Alonso, miembro de las Cortes de Navarra, adscrita al Grupo Parlamentario Navarra Suma, al amparo de lo dispuesto en los artículos 188 y siguientes del Reglamento de la Cámara, realiza la siguiente pregunta escrita: </w:t>
      </w:r>
    </w:p>
    <w:p>
      <w:pPr>
        <w:pStyle w:val="0"/>
        <w:suppressAutoHyphens w:val="false"/>
        <w:rPr>
          <w:rStyle w:val="1"/>
        </w:rPr>
      </w:pPr>
      <w:r>
        <w:rPr>
          <w:rStyle w:val="1"/>
        </w:rPr>
        <w:t xml:space="preserve">El Vicepresidente Primero y Consejero de Presidencia, Igualdad, Función Pública e Interior ha cifrado el sobrecoste para las arcas navarras derivado de la estructura del nuevo Gobierno en 6,6 millones de euros en esta legislatura (1,65 millones de euros al año). Sin embargo, en esta cifra sólo ha incluido el sobrecoste relativo a Directores Generales, Consejeros, altos cargos y personal de gabinete, pero no al resto de sobrecoste por estructura, señalando que se hará cuando se elaboren los Decretos de Estructura. </w:t>
      </w:r>
    </w:p>
    <w:p>
      <w:pPr>
        <w:pStyle w:val="0"/>
        <w:suppressAutoHyphens w:val="false"/>
        <w:rPr>
          <w:rStyle w:val="1"/>
        </w:rPr>
      </w:pPr>
      <w:r>
        <w:rPr>
          <w:rStyle w:val="1"/>
        </w:rPr>
        <w:t xml:space="preserve">A este respecto, se solicita que se remita, una vez aprobados dichos decretos, cuál es el sobrecoste final por año y para toda la legislatura, desglosando: </w:t>
      </w:r>
    </w:p>
    <w:p>
      <w:pPr>
        <w:pStyle w:val="0"/>
        <w:suppressAutoHyphens w:val="false"/>
        <w:rPr>
          <w:rStyle w:val="1"/>
        </w:rPr>
      </w:pPr>
      <w:r>
        <w:rPr>
          <w:rStyle w:val="1"/>
        </w:rPr>
        <w:t xml:space="preserve">Número de Consejeros/as que aumenta la nueva estructura: </w:t>
      </w:r>
    </w:p>
    <w:p>
      <w:pPr>
        <w:pStyle w:val="0"/>
        <w:suppressAutoHyphens w:val="false"/>
        <w:rPr>
          <w:rStyle w:val="1"/>
        </w:rPr>
      </w:pPr>
      <w:r>
        <w:rPr>
          <w:rStyle w:val="1"/>
        </w:rPr>
        <w:t xml:space="preserve">Sobrecoste anual: </w:t>
      </w:r>
    </w:p>
    <w:p>
      <w:pPr>
        <w:pStyle w:val="0"/>
        <w:suppressAutoHyphens w:val="false"/>
        <w:rPr>
          <w:rStyle w:val="1"/>
        </w:rPr>
      </w:pPr>
      <w:r>
        <w:rPr>
          <w:rStyle w:val="1"/>
        </w:rPr>
        <w:t xml:space="preserve">Sobrecoste de toda la legislatura: </w:t>
      </w:r>
    </w:p>
    <w:p>
      <w:pPr>
        <w:pStyle w:val="0"/>
        <w:suppressAutoHyphens w:val="false"/>
        <w:rPr>
          <w:rStyle w:val="1"/>
        </w:rPr>
      </w:pPr>
      <w:r>
        <w:rPr>
          <w:rStyle w:val="1"/>
        </w:rPr>
        <w:t xml:space="preserve">Número de Directores/as generales, Directores/as Gerentes y otros altos cargos que aumenta la nueva estructura: </w:t>
      </w:r>
    </w:p>
    <w:p>
      <w:pPr>
        <w:pStyle w:val="0"/>
        <w:suppressAutoHyphens w:val="false"/>
        <w:rPr>
          <w:rStyle w:val="1"/>
        </w:rPr>
      </w:pPr>
      <w:r>
        <w:rPr>
          <w:rStyle w:val="1"/>
        </w:rPr>
        <w:t xml:space="preserve">Sobrecoste anual: </w:t>
      </w:r>
    </w:p>
    <w:p>
      <w:pPr>
        <w:pStyle w:val="0"/>
        <w:suppressAutoHyphens w:val="false"/>
        <w:rPr>
          <w:rStyle w:val="1"/>
        </w:rPr>
      </w:pPr>
      <w:r>
        <w:rPr>
          <w:rStyle w:val="1"/>
        </w:rPr>
        <w:t xml:space="preserve">Sobrecoste de toda la legislatura: </w:t>
      </w:r>
    </w:p>
    <w:p>
      <w:pPr>
        <w:pStyle w:val="0"/>
        <w:suppressAutoHyphens w:val="false"/>
        <w:rPr>
          <w:rStyle w:val="1"/>
        </w:rPr>
      </w:pPr>
      <w:r>
        <w:rPr>
          <w:rStyle w:val="1"/>
        </w:rPr>
        <w:t xml:space="preserve">Número de Jefes/as de Gabinete que aumenta la nueva estructura: </w:t>
      </w:r>
    </w:p>
    <w:p>
      <w:pPr>
        <w:pStyle w:val="0"/>
        <w:suppressAutoHyphens w:val="false"/>
        <w:rPr>
          <w:rStyle w:val="1"/>
        </w:rPr>
      </w:pPr>
      <w:r>
        <w:rPr>
          <w:rStyle w:val="1"/>
        </w:rPr>
        <w:t xml:space="preserve">Sobrecoste anual: </w:t>
      </w:r>
    </w:p>
    <w:p>
      <w:pPr>
        <w:pStyle w:val="0"/>
        <w:suppressAutoHyphens w:val="false"/>
        <w:rPr>
          <w:rStyle w:val="1"/>
        </w:rPr>
      </w:pPr>
      <w:r>
        <w:rPr>
          <w:rStyle w:val="1"/>
        </w:rPr>
        <w:t xml:space="preserve">Sobrecoste de toda la legislatura: </w:t>
      </w:r>
    </w:p>
    <w:p>
      <w:pPr>
        <w:pStyle w:val="0"/>
        <w:suppressAutoHyphens w:val="false"/>
        <w:rPr>
          <w:rStyle w:val="1"/>
        </w:rPr>
      </w:pPr>
      <w:r>
        <w:rPr>
          <w:rStyle w:val="1"/>
        </w:rPr>
        <w:t xml:space="preserve">Número de Secretarios/as de Gabinete que aumenta la nueva estructura: </w:t>
      </w:r>
    </w:p>
    <w:p>
      <w:pPr>
        <w:pStyle w:val="0"/>
        <w:suppressAutoHyphens w:val="false"/>
        <w:rPr>
          <w:rStyle w:val="1"/>
        </w:rPr>
      </w:pPr>
      <w:r>
        <w:rPr>
          <w:rStyle w:val="1"/>
        </w:rPr>
        <w:t xml:space="preserve">Sobrecoste anual: </w:t>
      </w:r>
    </w:p>
    <w:p>
      <w:pPr>
        <w:pStyle w:val="0"/>
        <w:suppressAutoHyphens w:val="false"/>
        <w:rPr>
          <w:rStyle w:val="1"/>
        </w:rPr>
      </w:pPr>
      <w:r>
        <w:rPr>
          <w:rStyle w:val="1"/>
        </w:rPr>
        <w:t xml:space="preserve">Sobrecoste de toda la legislatura: </w:t>
      </w:r>
    </w:p>
    <w:p>
      <w:pPr>
        <w:pStyle w:val="0"/>
        <w:suppressAutoHyphens w:val="false"/>
        <w:rPr>
          <w:rStyle w:val="1"/>
        </w:rPr>
      </w:pPr>
      <w:r>
        <w:rPr>
          <w:rStyle w:val="1"/>
        </w:rPr>
        <w:t xml:space="preserve">Número de Auxiliares de Gabinete que aumenta la nueva estructura: </w:t>
      </w:r>
    </w:p>
    <w:p>
      <w:pPr>
        <w:pStyle w:val="0"/>
        <w:suppressAutoHyphens w:val="false"/>
        <w:rPr>
          <w:rStyle w:val="1"/>
        </w:rPr>
      </w:pPr>
      <w:r>
        <w:rPr>
          <w:rStyle w:val="1"/>
        </w:rPr>
        <w:t xml:space="preserve">Sobrecoste anual: </w:t>
      </w:r>
    </w:p>
    <w:p>
      <w:pPr>
        <w:pStyle w:val="0"/>
        <w:suppressAutoHyphens w:val="false"/>
        <w:rPr>
          <w:rStyle w:val="1"/>
        </w:rPr>
      </w:pPr>
      <w:r>
        <w:rPr>
          <w:rStyle w:val="1"/>
        </w:rPr>
        <w:t xml:space="preserve">Sobrecoste de toda la legislatura: </w:t>
      </w:r>
    </w:p>
    <w:p>
      <w:pPr>
        <w:pStyle w:val="0"/>
        <w:suppressAutoHyphens w:val="false"/>
        <w:rPr>
          <w:rStyle w:val="1"/>
        </w:rPr>
      </w:pPr>
      <w:r>
        <w:rPr>
          <w:rStyle w:val="1"/>
        </w:rPr>
        <w:t xml:space="preserve">Número de Secretarios/as Generales Técnicos/as que aumenta la nueva estructura: </w:t>
      </w:r>
    </w:p>
    <w:p>
      <w:pPr>
        <w:pStyle w:val="0"/>
        <w:suppressAutoHyphens w:val="false"/>
        <w:rPr>
          <w:rStyle w:val="1"/>
        </w:rPr>
      </w:pPr>
      <w:r>
        <w:rPr>
          <w:rStyle w:val="1"/>
        </w:rPr>
        <w:t xml:space="preserve">Sobrecoste anual: </w:t>
      </w:r>
    </w:p>
    <w:p>
      <w:pPr>
        <w:pStyle w:val="0"/>
        <w:suppressAutoHyphens w:val="false"/>
        <w:rPr>
          <w:rStyle w:val="1"/>
        </w:rPr>
      </w:pPr>
      <w:r>
        <w:rPr>
          <w:rStyle w:val="1"/>
        </w:rPr>
        <w:t xml:space="preserve">Sobrecoste de toda la legislatura: </w:t>
      </w:r>
    </w:p>
    <w:p>
      <w:pPr>
        <w:pStyle w:val="0"/>
        <w:suppressAutoHyphens w:val="false"/>
        <w:rPr>
          <w:rStyle w:val="1"/>
        </w:rPr>
      </w:pPr>
      <w:r>
        <w:rPr>
          <w:rStyle w:val="1"/>
        </w:rPr>
        <w:t xml:space="preserve">Número de Directores/as de Servicio que aumenta la nueva estructura: </w:t>
      </w:r>
    </w:p>
    <w:p>
      <w:pPr>
        <w:pStyle w:val="0"/>
        <w:suppressAutoHyphens w:val="false"/>
        <w:rPr>
          <w:rStyle w:val="1"/>
        </w:rPr>
      </w:pPr>
      <w:r>
        <w:rPr>
          <w:rStyle w:val="1"/>
        </w:rPr>
        <w:t xml:space="preserve">Sobrecoste anual: </w:t>
      </w:r>
    </w:p>
    <w:p>
      <w:pPr>
        <w:pStyle w:val="0"/>
        <w:suppressAutoHyphens w:val="false"/>
        <w:rPr>
          <w:rStyle w:val="1"/>
        </w:rPr>
      </w:pPr>
      <w:r>
        <w:rPr>
          <w:rStyle w:val="1"/>
        </w:rPr>
        <w:t xml:space="preserve">Sobrecoste de toda la legislatura: </w:t>
      </w:r>
    </w:p>
    <w:p>
      <w:pPr>
        <w:pStyle w:val="0"/>
        <w:suppressAutoHyphens w:val="false"/>
        <w:rPr>
          <w:rStyle w:val="1"/>
        </w:rPr>
      </w:pPr>
      <w:r>
        <w:rPr>
          <w:rStyle w:val="1"/>
        </w:rPr>
        <w:t xml:space="preserve">Resto de jefaturas que aumenta la nueva estructura: </w:t>
      </w:r>
    </w:p>
    <w:p>
      <w:pPr>
        <w:pStyle w:val="0"/>
        <w:suppressAutoHyphens w:val="false"/>
        <w:rPr>
          <w:rStyle w:val="1"/>
        </w:rPr>
      </w:pPr>
      <w:r>
        <w:rPr>
          <w:rStyle w:val="1"/>
        </w:rPr>
        <w:t xml:space="preserve">Sobrecoste anual: </w:t>
      </w:r>
    </w:p>
    <w:p>
      <w:pPr>
        <w:pStyle w:val="0"/>
        <w:suppressAutoHyphens w:val="false"/>
        <w:rPr>
          <w:rStyle w:val="1"/>
        </w:rPr>
      </w:pPr>
      <w:r>
        <w:rPr>
          <w:rStyle w:val="1"/>
        </w:rPr>
        <w:t xml:space="preserve">Sobrecoste de toda la legislatura. </w:t>
      </w:r>
    </w:p>
    <w:p>
      <w:pPr>
        <w:pStyle w:val="0"/>
        <w:suppressAutoHyphens w:val="false"/>
        <w:rPr>
          <w:rStyle w:val="1"/>
        </w:rPr>
      </w:pPr>
      <w:r>
        <w:rPr>
          <w:rStyle w:val="1"/>
        </w:rPr>
        <w:t xml:space="preserve">Pamplona, 4 de septiembre de 2019</w:t>
      </w:r>
    </w:p>
    <w:p>
      <w:pPr>
        <w:pStyle w:val="0"/>
        <w:suppressAutoHyphens w:val="false"/>
        <w:rPr>
          <w:rStyle w:val="1"/>
        </w:rPr>
      </w:pPr>
      <w:r>
        <w:rPr>
          <w:rStyle w:val="1"/>
        </w:rPr>
        <w:t xml:space="preserve">La Parlamentaria Foral: Marta Álvarez Alonso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