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nueva ley del Fondo de Transferencias Corrientes,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pregunta oral con el fin de que sea respondida en el Pleno de esta Cámara por el Consejero de Cohesión Territorial.</w:t>
      </w:r>
    </w:p>
    <w:p>
      <w:pPr>
        <w:pStyle w:val="0"/>
        <w:suppressAutoHyphens w:val="false"/>
        <w:rPr>
          <w:rStyle w:val="1"/>
        </w:rPr>
      </w:pPr>
      <w:r>
        <w:rPr>
          <w:rStyle w:val="1"/>
        </w:rPr>
        <w:t xml:space="preserve">¿Cuáles son las previsiones de plazos y las características para la nueva ley del Fondo de Transferencias Corrientes?</w:t>
      </w:r>
    </w:p>
    <w:p>
      <w:pPr>
        <w:pStyle w:val="0"/>
        <w:suppressAutoHyphens w:val="false"/>
        <w:rPr>
          <w:rStyle w:val="1"/>
        </w:rPr>
      </w:pPr>
      <w:r>
        <w:rPr>
          <w:rStyle w:val="1"/>
        </w:rPr>
        <w:t xml:space="preserve">Pamplona-Iruña a 12 de septiembre de 2019</w:t>
      </w:r>
    </w:p>
    <w:p>
      <w:pPr>
        <w:pStyle w:val="0"/>
        <w:suppressAutoHyphens w:val="false"/>
        <w:rPr>
          <w:rStyle w:val="1"/>
        </w:rPr>
      </w:pPr>
      <w:r>
        <w:rPr>
          <w:rStyle w:val="1"/>
        </w:rPr>
        <w:t xml:space="preserve">El Parlamentario Foral: Pablo Azcona Molinet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