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planes de actuación previstos en materia de control y para paliar las consecuencias de la plaga de mejillón cebra,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por parte del Departamento de Desarrollo Rural y Medio Ambiente del Gobierno de Navarra. </w:t>
      </w:r>
    </w:p>
    <w:p>
      <w:pPr>
        <w:pStyle w:val="0"/>
        <w:suppressAutoHyphens w:val="false"/>
        <w:rPr>
          <w:rStyle w:val="1"/>
        </w:rPr>
      </w:pPr>
      <w:r>
        <w:rPr>
          <w:rStyle w:val="1"/>
        </w:rPr>
        <w:t xml:space="preserve">• Este parlamentario desea conocer cuáles son los planes de actuación previstos por el Gobierno de Navarra para controlar y paliar las consecuencias de la plaga de mejillón cebra.</w:t>
      </w:r>
    </w:p>
    <w:p>
      <w:pPr>
        <w:pStyle w:val="0"/>
        <w:suppressAutoHyphens w:val="false"/>
        <w:rPr>
          <w:rStyle w:val="1"/>
        </w:rPr>
      </w:pPr>
      <w:r>
        <w:rPr>
          <w:rStyle w:val="1"/>
        </w:rPr>
        <w:t xml:space="preserve">En lruñea, a 20 de septiembre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