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DA" w:rsidRPr="00A418DA" w:rsidRDefault="00A418DA" w:rsidP="00A418DA">
      <w:pPr>
        <w:pStyle w:val="DICTA-TITULO"/>
      </w:pPr>
      <w:r>
        <w:t xml:space="preserve">Foru Legea, kreditu-gehigarri bat ematen duena Nafarroako Unibertsitate Publikoa finantzatzeko.</w:t>
      </w:r>
    </w:p>
    <w:p w:rsidR="00A418DA" w:rsidRPr="00A418DA" w:rsidRDefault="00A418DA" w:rsidP="00A418DA">
      <w:pPr>
        <w:pStyle w:val="DICTA-DISPO"/>
      </w:pPr>
      <w:r>
        <w:t xml:space="preserve">ATARIKOA</w:t>
      </w:r>
    </w:p>
    <w:p w:rsidR="00A418DA" w:rsidRPr="00A418DA" w:rsidRDefault="00A418DA" w:rsidP="00A418DA">
      <w:pPr>
        <w:pStyle w:val="DICTA-TEXTO"/>
      </w:pPr>
      <w:r>
        <w:t xml:space="preserve">NUPen Finantzaketarako Hitzarmenaren Jarraipen Batzordeak 2018ko azaroaren 12an hartutako erabakiaren bidez, 2019rako finantzaketaren kopuruak zehaztu ziren; egiturazko finantzaketari eta emaitzen araberakoari 60.709.749 euro dagozkie.</w:t>
      </w:r>
    </w:p>
    <w:p w:rsidR="00A418DA" w:rsidRPr="00A418DA" w:rsidRDefault="00A418DA" w:rsidP="00A418DA">
      <w:pPr>
        <w:pStyle w:val="DICTA-TEXTO"/>
      </w:pPr>
      <w:r>
        <w:t xml:space="preserve">Bilkura horretan, erabaki zen 900.000 euroko aldea, hau da, Jarraipen Batzordeak erabakitako egiturazko eta emaitzen araberako finantzaketarako erabakitakoaren eta “NUPen finantzaketarako hitzarmena” izeneko 411001 41210 4455 322300 partidan jasotakoaren artekoa, ordainduko dela Nafarroako Aurrekontu Orokorrei zuzenketa edo aurrekontu aldaketa eginez 2019ko ekitaldian bertan.</w:t>
      </w:r>
    </w:p>
    <w:p w:rsidR="00A418DA" w:rsidRPr="00A418DA" w:rsidRDefault="00A418DA" w:rsidP="00A418DA">
      <w:pPr>
        <w:pStyle w:val="DICTA-TEXTO"/>
      </w:pPr>
      <w:r>
        <w:t xml:space="preserve">2019rako Nafarroako Aurrekontu Orokorrei buruzko abenduaren 28ko 27/2018 Foru Legean 59.809.749 euroko finantzaketa aurreikusten da Nafarroako Unibertsitate Publikorako kontzeptu horiengatik (“NUPen finantzaketarako hitzarmena” izeneko 411001 41210 4455 322300 partida).   </w:t>
      </w:r>
    </w:p>
    <w:p w:rsidR="00A418DA" w:rsidRPr="00A418DA" w:rsidRDefault="00A418DA" w:rsidP="00A418DA">
      <w:pPr>
        <w:pStyle w:val="DICTA-TEXTO"/>
      </w:pPr>
      <w:r>
        <w:t xml:space="preserve">Jarraipen Batzordeak 2019ko urriaren 3an egindako bilkuran erabaki zuen 900.000 euroko finantzaketa sustatzea hartutako konpromisoak betetzeko.</w:t>
      </w:r>
    </w:p>
    <w:p w:rsidR="00A418DA" w:rsidRPr="00A418DA" w:rsidRDefault="00A418DA" w:rsidP="00A418DA">
      <w:pPr>
        <w:pStyle w:val="DICTA-TEXTO"/>
      </w:pPr>
      <w:r>
        <w:t xml:space="preserve">Nafarroako Ogasun Publikoari buruzko apirilaren 4ko 13/2007 Foru Legearen 48. artikuluaren lehenengo paragrafoak ezartzen du ezen, hurrengo ekitaldira arte atzeratu ezin daitekeen gasturen bat aurrekontu indardunaren kargura egin behar bada eta kreditua ez bada aski, Nafarroako Gobernuak, Ekonomia eta Ogasuneko kontseilariak proposaturik, foru lege proiektu bat bidaliko diola Nafarroako Parlamentuari, kreditu-gehigarri bat ematekoa.</w:t>
      </w:r>
      <w:r>
        <w:t xml:space="preserve"> </w:t>
      </w:r>
      <w:r>
        <w:t xml:space="preserve">Era berean, bigarren paragrafoan xedatzen du kreditu-gehigarria edozein gastu programatako beste kreditu erabilgarri batzuekin finantzatzen ahal dela, Parlamentuak zuzenketen ondorioz edo foru lege honen xedapenak direla-eta berariaz onetsitako kredituetatik datozenak barne, edo ekitaldi ekonomiko horretan berean egiaz izandako edo aurreikusitako sarrera handiagoen kargura.</w:t>
      </w:r>
    </w:p>
    <w:p w:rsidR="00A418DA" w:rsidRPr="00A418DA" w:rsidRDefault="00A418DA" w:rsidP="00A418DA">
      <w:pPr>
        <w:pStyle w:val="DICTA-TEXTO"/>
      </w:pPr>
      <w:r>
        <w:rPr>
          <w:b/>
        </w:rPr>
        <w:t xml:space="preserve">1. artikulua.</w:t>
      </w:r>
      <w:r>
        <w:rPr>
          <w:b/>
        </w:rPr>
        <w:t xml:space="preserve"> </w:t>
      </w:r>
      <w:r>
        <w:t xml:space="preserve">Kreditu-gehigarria ematea.</w:t>
      </w:r>
    </w:p>
    <w:p w:rsidR="00A418DA" w:rsidRPr="00A418DA" w:rsidRDefault="00A418DA" w:rsidP="00A418DA">
      <w:pPr>
        <w:pStyle w:val="DICTA-TEXTO"/>
      </w:pPr>
      <w:r>
        <w:t xml:space="preserve">900.000 euroko kreditu-gehigarria ematen da Nafarroako Unibertsitate Publikoaren finantzaketa beharrei erantzuteko.</w:t>
      </w:r>
    </w:p>
    <w:p w:rsidR="00A418DA" w:rsidRPr="00A418DA" w:rsidRDefault="00A418DA" w:rsidP="00A418DA">
      <w:pPr>
        <w:pStyle w:val="DICTA-TEXTO"/>
      </w:pPr>
      <w:r>
        <w:t xml:space="preserve">Kreditu-gehigarri hori aurrekontuko partida hauetan aplikatuko da:</w:t>
      </w:r>
    </w:p>
    <w:tbl>
      <w:tblPr>
        <w:tblW w:w="0" w:type="auto"/>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1843"/>
      </w:tblGrid>
      <w:tr w:rsidR="00A418DA" w:rsidRPr="00A418DA" w:rsidTr="005234B4">
        <w:trPr>
          <w:jc w:val="center"/>
        </w:trPr>
        <w:tc>
          <w:tcPr>
            <w:tcW w:w="6007" w:type="dxa"/>
            <w:shd w:val="clear" w:color="auto" w:fill="auto"/>
          </w:tcPr>
          <w:p w:rsidR="00A418DA" w:rsidRPr="00A418DA" w:rsidRDefault="005063DD" w:rsidP="005234B4">
            <w:pPr>
              <w:pStyle w:val="Acuerdos"/>
              <w:spacing w:before="40" w:after="40" w:line="240" w:lineRule="auto"/>
              <w:ind w:firstLine="0"/>
              <w:jc w:val="center"/>
              <w:rPr>
                <w:sz w:val="20"/>
                <w:szCs w:val="20"/>
                <w:rFonts w:ascii="Arial" w:hAnsi="Arial" w:cs="Arial"/>
              </w:rPr>
            </w:pPr>
            <w:r>
              <w:rPr>
                <w:sz w:val="20"/>
                <w:szCs w:val="20"/>
                <w:rFonts w:ascii="Arial" w:hAnsi="Arial"/>
              </w:rPr>
              <w:t xml:space="preserve">Partida</w:t>
            </w:r>
          </w:p>
        </w:tc>
        <w:tc>
          <w:tcPr>
            <w:tcW w:w="1843" w:type="dxa"/>
            <w:shd w:val="clear" w:color="auto" w:fill="auto"/>
          </w:tcPr>
          <w:p w:rsidR="00A418DA" w:rsidRPr="00A418DA" w:rsidRDefault="005063DD" w:rsidP="005234B4">
            <w:pPr>
              <w:pStyle w:val="Acuerdos"/>
              <w:spacing w:before="40" w:after="40" w:line="240" w:lineRule="auto"/>
              <w:ind w:firstLine="0"/>
              <w:jc w:val="center"/>
              <w:rPr>
                <w:sz w:val="20"/>
                <w:szCs w:val="20"/>
                <w:rFonts w:ascii="Arial" w:hAnsi="Arial" w:cs="Arial"/>
              </w:rPr>
            </w:pPr>
            <w:r>
              <w:rPr>
                <w:sz w:val="20"/>
                <w:szCs w:val="20"/>
                <w:rFonts w:ascii="Arial" w:hAnsi="Arial"/>
              </w:rPr>
              <w:t xml:space="preserve">Zenbatekoa</w:t>
            </w:r>
          </w:p>
        </w:tc>
      </w:tr>
      <w:tr w:rsidR="00A418DA" w:rsidRPr="00A418DA" w:rsidTr="005234B4">
        <w:trPr>
          <w:jc w:val="center"/>
        </w:trPr>
        <w:tc>
          <w:tcPr>
            <w:tcW w:w="6007" w:type="dxa"/>
            <w:shd w:val="clear" w:color="auto" w:fill="auto"/>
          </w:tcPr>
          <w:p w:rsidR="00A418DA" w:rsidRPr="00A418DA" w:rsidRDefault="00A418DA" w:rsidP="005234B4">
            <w:pPr>
              <w:pStyle w:val="Acuerdos"/>
              <w:spacing w:before="40" w:after="40" w:line="240" w:lineRule="auto"/>
              <w:ind w:firstLine="0"/>
              <w:rPr>
                <w:sz w:val="20"/>
                <w:szCs w:val="20"/>
                <w:rFonts w:ascii="Arial" w:hAnsi="Arial" w:cs="Arial"/>
              </w:rPr>
            </w:pPr>
            <w:r>
              <w:rPr>
                <w:sz w:val="20"/>
                <w:szCs w:val="20"/>
                <w:rFonts w:ascii="Arial" w:hAnsi="Arial"/>
              </w:rPr>
              <w:t xml:space="preserve">411001 41210 4455 322300 partida, “NUPen finantzaketarako hitzarmena” izenekoa</w:t>
            </w:r>
          </w:p>
        </w:tc>
        <w:tc>
          <w:tcPr>
            <w:tcW w:w="1843" w:type="dxa"/>
            <w:shd w:val="clear" w:color="auto" w:fill="auto"/>
            <w:vAlign w:val="center"/>
          </w:tcPr>
          <w:p w:rsidR="00A418DA" w:rsidRPr="00A418DA" w:rsidRDefault="00A418DA" w:rsidP="005234B4">
            <w:pPr>
              <w:pStyle w:val="Acuerdos"/>
              <w:spacing w:before="40" w:after="40" w:line="240" w:lineRule="auto"/>
              <w:ind w:firstLine="0"/>
              <w:jc w:val="right"/>
              <w:rPr>
                <w:sz w:val="20"/>
                <w:szCs w:val="20"/>
                <w:rFonts w:ascii="Arial" w:hAnsi="Arial" w:cs="Arial"/>
              </w:rPr>
            </w:pPr>
            <w:r>
              <w:rPr>
                <w:sz w:val="20"/>
                <w:szCs w:val="20"/>
                <w:rFonts w:ascii="Arial" w:hAnsi="Arial"/>
              </w:rPr>
              <w:t xml:space="preserve">900.000,00</w:t>
            </w:r>
          </w:p>
        </w:tc>
      </w:tr>
    </w:tbl>
    <w:p w:rsidR="00A418DA" w:rsidRPr="00A418DA" w:rsidRDefault="00A418DA" w:rsidP="00B247AD">
      <w:pPr>
        <w:pStyle w:val="DICTA-TEXTO"/>
        <w:spacing w:before="240"/>
      </w:pPr>
      <w:r>
        <w:rPr>
          <w:b/>
        </w:rPr>
        <w:t xml:space="preserve">2. artikulua.</w:t>
      </w:r>
      <w:r>
        <w:rPr>
          <w:b/>
        </w:rPr>
        <w:t xml:space="preserve"> </w:t>
      </w:r>
      <w:r>
        <w:t xml:space="preserve">Kreditu-gehigarriaren finantzaketa.</w:t>
      </w:r>
    </w:p>
    <w:p w:rsidR="00A418DA" w:rsidRDefault="00A418DA" w:rsidP="00B247AD">
      <w:pPr>
        <w:pStyle w:val="DICTA-TEXTO"/>
      </w:pPr>
      <w:r>
        <w:t xml:space="preserve">Kreditu-gehigarri hau finantzatuko da indarreko gastu eta sarreren aurrekontu indarduneko partida hauetan dagoen kreditu erabilgarriaren kargura, partida bakoitzetik honenbeste:</w:t>
      </w:r>
    </w:p>
    <w:tbl>
      <w:tblPr>
        <w:tblW w:w="7736"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4"/>
        <w:gridCol w:w="1802"/>
      </w:tblGrid>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rPr>
            </w:pPr>
            <w:r>
              <w:rPr>
                <w:bCs/>
                <w:rFonts w:ascii="Arial" w:hAnsi="Arial"/>
              </w:rPr>
              <w:t xml:space="preserve">Gastuen aurrekontuko partida</w:t>
            </w:r>
          </w:p>
        </w:tc>
        <w:tc>
          <w:tcPr>
            <w:tcW w:w="1802"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rPr>
            </w:pPr>
            <w:r>
              <w:rPr>
                <w:bCs/>
                <w:rFonts w:ascii="Arial" w:hAnsi="Arial"/>
              </w:rPr>
              <w:t xml:space="preserve">Zenbatekoa</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410001-41800-7609-325108 (E) partida, “Sunbillan ikastetxe berria eraikitzeko proiektua” izenekoa</w:t>
            </w:r>
            <w:r>
              <w:rPr>
                <w:rFonts w:ascii="Arial" w:hAnsi="Arial"/>
              </w:rPr>
              <w:t xml:space="preserve"> </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rPr>
            </w:pPr>
            <w:r>
              <w:rPr>
                <w:rFonts w:ascii="Arial" w:hAnsi="Arial"/>
              </w:rPr>
              <w:t xml:space="preserve">50.000,00</w:t>
            </w:r>
            <w:r>
              <w:rPr>
                <w:rFonts w:ascii="Arial" w:hAnsi="Arial"/>
              </w:rPr>
              <w:t xml:space="preserve"> </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410001-41800-7609-325109 (E) partida, “Castejongo Dos de mayo ikastetxe publikoa handitzeko proiektua izenekoa</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rPr>
            </w:pPr>
            <w:r>
              <w:rPr>
                <w:rFonts w:ascii="Arial" w:hAnsi="Arial"/>
              </w:rPr>
              <w:t xml:space="preserve">24.000,00</w:t>
            </w:r>
            <w:r>
              <w:rPr>
                <w:rFonts w:ascii="Arial" w:hAnsi="Arial"/>
              </w:rPr>
              <w:t xml:space="preserve"> </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420002-42120-4609-322100 (E) partida, "Udalekin hitzarmenak, 0 eta 3 urte bitarteko haurrak eskolatzeko" izenekoa</w:t>
            </w:r>
            <w:r>
              <w:rPr>
                <w:rFonts w:ascii="Arial" w:hAnsi="Arial"/>
              </w:rPr>
              <w:t xml:space="preserve"> </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rPr>
            </w:pPr>
            <w:r>
              <w:rPr>
                <w:rFonts w:ascii="Arial" w:hAnsi="Arial"/>
              </w:rPr>
              <w:t xml:space="preserve">150.000,00</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720000-71510-4700-414102 kontusaila, “Nafarroako Ubidearen bidezko ureztaketen kanona. Handitzearen 1. fasea" izenekoa</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rPr>
            </w:pPr>
            <w:r>
              <w:rPr>
                <w:rFonts w:ascii="Arial" w:hAnsi="Arial"/>
              </w:rPr>
              <w:t xml:space="preserve">271.000,00</w:t>
            </w:r>
          </w:p>
        </w:tc>
      </w:tr>
      <w:tr w:rsidR="00A418DA" w:rsidRPr="00A418DA" w:rsidTr="005234B4">
        <w:trPr>
          <w:trHeight w:val="93"/>
          <w:jc w:val="center"/>
        </w:trPr>
        <w:tc>
          <w:tcPr>
            <w:tcW w:w="5934" w:type="dxa"/>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720004-71630-7700-412105 (E) partida, “Abeltzaintzako ustiategietan biosegurtasuna hobetzeko inbertsioak” izenekoa</w:t>
            </w:r>
          </w:p>
        </w:tc>
        <w:tc>
          <w:tcPr>
            <w:tcW w:w="1802" w:type="dxa"/>
            <w:vAlign w:val="center"/>
          </w:tcPr>
          <w:p w:rsidR="00A418DA" w:rsidRPr="00A418DA" w:rsidRDefault="00A418DA" w:rsidP="00A418DA">
            <w:pPr>
              <w:keepLines w:val="0"/>
              <w:tabs>
                <w:tab w:val="center" w:pos="3856"/>
              </w:tabs>
              <w:spacing w:before="40" w:after="40" w:line="240" w:lineRule="auto"/>
              <w:ind w:firstLine="0"/>
              <w:jc w:val="right"/>
              <w:textAlignment w:val="auto"/>
              <w:rPr>
                <w:rFonts w:ascii="Arial" w:hAnsi="Arial" w:cs="Arial"/>
              </w:rPr>
            </w:pPr>
            <w:r>
              <w:rPr>
                <w:rFonts w:ascii="Arial" w:hAnsi="Arial"/>
              </w:rPr>
              <w:t xml:space="preserve">250.000,00</w:t>
            </w:r>
          </w:p>
        </w:tc>
      </w:tr>
    </w:tbl>
    <w:p w:rsidR="00A418DA" w:rsidRPr="00A418DA" w:rsidRDefault="00A418DA" w:rsidP="00B247AD">
      <w:pPr>
        <w:keepLines w:val="0"/>
        <w:tabs>
          <w:tab w:val="left" w:pos="709"/>
          <w:tab w:val="center" w:pos="3856"/>
        </w:tabs>
        <w:spacing w:after="0" w:line="380" w:lineRule="atLeast"/>
        <w:ind w:firstLine="709"/>
        <w:textAlignment w:val="auto"/>
        <w:rPr>
          <w:rFonts w:ascii="Arial" w:hAnsi="Arial" w:cs="Arial"/>
          <w:lang w:val="es-ES_tradnl" w:eastAsia="es-ES" w:bidi="ar-SA"/>
        </w:rPr>
      </w:pPr>
    </w:p>
    <w:tbl>
      <w:tblPr>
        <w:tblW w:w="7729" w:type="dxa"/>
        <w:jc w:val="center"/>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775"/>
      </w:tblGrid>
      <w:tr w:rsidR="00A418DA" w:rsidRPr="00A418DA" w:rsidTr="005234B4">
        <w:trPr>
          <w:trHeight w:val="93"/>
          <w:jc w:val="center"/>
        </w:trPr>
        <w:tc>
          <w:tcPr>
            <w:tcW w:w="5954"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rPr>
            </w:pPr>
            <w:r>
              <w:rPr>
                <w:bCs/>
                <w:rFonts w:ascii="Arial" w:hAnsi="Arial"/>
              </w:rPr>
              <w:t xml:space="preserve">Sarreren aurrekontuko partida</w:t>
            </w:r>
          </w:p>
        </w:tc>
        <w:tc>
          <w:tcPr>
            <w:tcW w:w="1775" w:type="dxa"/>
          </w:tcPr>
          <w:p w:rsidR="00A418DA" w:rsidRPr="00A418DA" w:rsidRDefault="00A418DA" w:rsidP="00A418DA">
            <w:pPr>
              <w:keepLines w:val="0"/>
              <w:tabs>
                <w:tab w:val="left" w:pos="709"/>
                <w:tab w:val="center" w:pos="3856"/>
              </w:tabs>
              <w:spacing w:before="40" w:after="40" w:line="240" w:lineRule="auto"/>
              <w:ind w:firstLine="0"/>
              <w:jc w:val="center"/>
              <w:textAlignment w:val="auto"/>
              <w:rPr>
                <w:rFonts w:ascii="Arial" w:hAnsi="Arial" w:cs="Arial"/>
              </w:rPr>
            </w:pPr>
            <w:r>
              <w:rPr>
                <w:bCs/>
                <w:rFonts w:ascii="Arial" w:hAnsi="Arial"/>
              </w:rPr>
              <w:t xml:space="preserve">Zenbatekoa</w:t>
            </w:r>
          </w:p>
        </w:tc>
      </w:tr>
      <w:tr w:rsidR="00A418DA" w:rsidRPr="00A418DA" w:rsidTr="005234B4">
        <w:trPr>
          <w:trHeight w:val="497"/>
          <w:jc w:val="center"/>
        </w:trPr>
        <w:tc>
          <w:tcPr>
            <w:tcW w:w="5954" w:type="dxa"/>
            <w:vAlign w:val="center"/>
          </w:tcPr>
          <w:p w:rsidR="00A418DA" w:rsidRPr="00A418DA" w:rsidRDefault="00A418DA" w:rsidP="00A418DA">
            <w:pPr>
              <w:keepLines w:val="0"/>
              <w:tabs>
                <w:tab w:val="left" w:pos="709"/>
                <w:tab w:val="center" w:pos="3856"/>
              </w:tabs>
              <w:spacing w:before="40" w:after="40" w:line="240" w:lineRule="auto"/>
              <w:ind w:firstLine="0"/>
              <w:jc w:val="left"/>
              <w:textAlignment w:val="auto"/>
              <w:rPr>
                <w:rFonts w:ascii="Arial" w:hAnsi="Arial" w:cs="Arial"/>
              </w:rPr>
            </w:pPr>
            <w:r>
              <w:rPr>
                <w:rFonts w:ascii="Arial" w:hAnsi="Arial"/>
              </w:rPr>
              <w:t xml:space="preserve">830004-83310-3910-000000 partida, “Zehapenen ondoriozko sarrerak” izenekoa</w:t>
            </w:r>
          </w:p>
        </w:tc>
        <w:tc>
          <w:tcPr>
            <w:tcW w:w="1775" w:type="dxa"/>
            <w:vAlign w:val="center"/>
          </w:tcPr>
          <w:p w:rsidR="00A418DA" w:rsidRPr="00A418DA" w:rsidRDefault="00A418DA" w:rsidP="00A418DA">
            <w:pPr>
              <w:keepLines w:val="0"/>
              <w:tabs>
                <w:tab w:val="left" w:pos="709"/>
                <w:tab w:val="center" w:pos="3856"/>
              </w:tabs>
              <w:spacing w:before="40" w:after="40" w:line="240" w:lineRule="auto"/>
              <w:ind w:firstLine="0"/>
              <w:jc w:val="right"/>
              <w:textAlignment w:val="auto"/>
              <w:rPr>
                <w:rFonts w:ascii="Arial" w:hAnsi="Arial" w:cs="Arial"/>
              </w:rPr>
            </w:pPr>
            <w:r>
              <w:rPr>
                <w:rFonts w:ascii="Arial" w:hAnsi="Arial"/>
              </w:rPr>
              <w:t xml:space="preserve">155.000,00</w:t>
            </w:r>
          </w:p>
        </w:tc>
      </w:tr>
    </w:tbl>
    <w:p w:rsidR="00A418DA" w:rsidRPr="00A418DA" w:rsidRDefault="00A418DA" w:rsidP="00B247AD">
      <w:pPr>
        <w:pStyle w:val="DICTA-TEXTO"/>
        <w:spacing w:before="240"/>
      </w:pPr>
      <w:r>
        <w:rPr>
          <w:b/>
        </w:rPr>
        <w:t xml:space="preserve">Azken xedapen bakarra.</w:t>
      </w:r>
      <w:r>
        <w:t xml:space="preserve"> </w:t>
      </w:r>
      <w:r>
        <w:t xml:space="preserve">Indarra hartzea.</w:t>
      </w:r>
    </w:p>
    <w:p w:rsidR="00A418DA" w:rsidRPr="00A418DA" w:rsidRDefault="00A418DA" w:rsidP="00A418DA">
      <w:pPr>
        <w:pStyle w:val="DICTA-TEXTO"/>
      </w:pPr>
      <w:r>
        <w:t xml:space="preserve">Foru lege honek Nafarroako Aldizkari Ofizialean argitaratu eta biharamunean hartuko du indarra.</w:t>
      </w:r>
    </w:p>
    <w:sectPr w:rsidR="00A418DA" w:rsidRPr="00A418DA">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E" w:rsidRDefault="001424AE">
      <w:r>
        <w:separator/>
      </w:r>
    </w:p>
  </w:endnote>
  <w:endnote w:type="continuationSeparator" w:id="0">
    <w:p w:rsidR="001424AE" w:rsidRDefault="0014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E" w:rsidRDefault="001424AE">
      <w:r>
        <w:separator/>
      </w:r>
    </w:p>
  </w:footnote>
  <w:footnote w:type="continuationSeparator" w:id="0">
    <w:p w:rsidR="001424AE" w:rsidRDefault="00142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5063DD" w:rsidRDefault="00975A08" w:rsidP="005063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36"/>
    <w:rsid w:val="00113242"/>
    <w:rsid w:val="001424AE"/>
    <w:rsid w:val="00193036"/>
    <w:rsid w:val="001D5B6E"/>
    <w:rsid w:val="003401B5"/>
    <w:rsid w:val="003626C1"/>
    <w:rsid w:val="0043631B"/>
    <w:rsid w:val="005063DD"/>
    <w:rsid w:val="00975A08"/>
    <w:rsid w:val="00A418DA"/>
    <w:rsid w:val="00B247AD"/>
    <w:rsid w:val="00C478EE"/>
    <w:rsid w:val="00E32F61"/>
    <w:rsid w:val="00EC61C4"/>
    <w:rsid w:val="00FC3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DA"/>
    <w:pPr>
      <w:keepLines/>
      <w:spacing w:after="113" w:line="230" w:lineRule="exact"/>
      <w:ind w:firstLine="283"/>
      <w:jc w:val="both"/>
      <w:textAlignment w:val="baseline"/>
    </w:pPr>
    <w:rPr>
      <w:lang w:val="eu-E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keepLines w:val="0"/>
      <w:tabs>
        <w:tab w:val="left" w:pos="936"/>
      </w:tabs>
      <w:overflowPunct w:val="0"/>
      <w:autoSpaceDE w:val="0"/>
      <w:autoSpaceDN w:val="0"/>
      <w:adjustRightInd w:val="0"/>
      <w:spacing w:after="300" w:line="380" w:lineRule="exact"/>
      <w:ind w:firstLine="567"/>
    </w:pPr>
    <w:rPr>
      <w:sz w:val="26"/>
      <w:lang w:val="eu-ES" w:eastAsia="es-ES" w:bidi="ar-SA"/>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keepLines w:val="0"/>
      <w:tabs>
        <w:tab w:val="center" w:pos="4252"/>
        <w:tab w:val="right" w:pos="8504"/>
      </w:tabs>
      <w:overflowPunct w:val="0"/>
      <w:autoSpaceDE w:val="0"/>
      <w:autoSpaceDN w:val="0"/>
      <w:adjustRightInd w:val="0"/>
      <w:spacing w:after="0" w:line="240" w:lineRule="auto"/>
      <w:ind w:firstLine="0"/>
      <w:jc w:val="left"/>
    </w:pPr>
    <w:rPr>
      <w:sz w:val="26"/>
      <w:lang w:val="eu-ES" w:eastAsia="es-ES" w:bidi="ar-SA"/>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keepLines w:val="0"/>
      <w:overflowPunct w:val="0"/>
      <w:autoSpaceDE w:val="0"/>
      <w:autoSpaceDN w:val="0"/>
      <w:adjustRightInd w:val="0"/>
      <w:spacing w:after="0" w:line="240" w:lineRule="auto"/>
      <w:ind w:firstLine="0"/>
      <w:jc w:val="center"/>
    </w:pPr>
    <w:rPr>
      <w:rFonts w:ascii="Arial" w:hAnsi="Arial"/>
      <w:sz w:val="24"/>
      <w:lang w:val="eu-ES" w:eastAsia="es-ES" w:bidi="ar-SA"/>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keepLines w:val="0"/>
      <w:tabs>
        <w:tab w:val="left" w:pos="567"/>
        <w:tab w:val="left" w:pos="992"/>
      </w:tabs>
      <w:spacing w:after="300" w:line="340" w:lineRule="exact"/>
      <w:ind w:hanging="1559"/>
      <w:textAlignment w:val="auto"/>
    </w:pPr>
    <w:rPr>
      <w:rFonts w:ascii="Arial" w:hAnsi="Arial"/>
      <w:sz w:val="24"/>
      <w:lang w:val="eu-ES" w:eastAsia="es-ES" w:bidi="ar-SA"/>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keepLines w:val="0"/>
      <w:tabs>
        <w:tab w:val="center" w:pos="4252"/>
        <w:tab w:val="right" w:pos="8504"/>
      </w:tabs>
      <w:spacing w:after="0" w:line="240" w:lineRule="auto"/>
      <w:ind w:firstLine="0"/>
      <w:jc w:val="left"/>
      <w:textAlignment w:val="auto"/>
    </w:pPr>
    <w:rPr>
      <w:sz w:val="24"/>
      <w:szCs w:val="24"/>
      <w:lang w:val="eu-ES" w:eastAsia="es-ES" w:bidi="ar-SA"/>
    </w:r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418DA"/>
    <w:pPr>
      <w:keepLines w:val="0"/>
      <w:tabs>
        <w:tab w:val="left" w:pos="709"/>
        <w:tab w:val="center" w:pos="3856"/>
      </w:tabs>
      <w:spacing w:after="0" w:line="380" w:lineRule="atLeast"/>
      <w:ind w:firstLine="709"/>
      <w:textAlignment w:val="auto"/>
    </w:pPr>
    <w:rPr>
      <w:rFonts w:ascii="Courier New" w:hAnsi="Courier New"/>
      <w:sz w:val="24"/>
      <w:szCs w:val="24"/>
      <w:lang w:val="eu-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DA"/>
    <w:pPr>
      <w:keepLines/>
      <w:spacing w:after="113" w:line="230" w:lineRule="exact"/>
      <w:ind w:firstLine="283"/>
      <w:jc w:val="both"/>
      <w:textAlignment w:val="baseline"/>
    </w:pPr>
    <w:rPr>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keepLines w:val="0"/>
      <w:tabs>
        <w:tab w:val="left" w:pos="936"/>
      </w:tabs>
      <w:overflowPunct w:val="0"/>
      <w:autoSpaceDE w:val="0"/>
      <w:autoSpaceDN w:val="0"/>
      <w:adjustRightInd w:val="0"/>
      <w:spacing w:after="300" w:line="380" w:lineRule="exact"/>
      <w:ind w:firstLine="567"/>
    </w:pPr>
    <w:rPr>
      <w:sz w:val="26"/>
      <w:lang w:val="es-ES_tradnl" w:eastAsia="es-ES" w:bidi="ar-SA"/>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keepLines w:val="0"/>
      <w:tabs>
        <w:tab w:val="center" w:pos="4252"/>
        <w:tab w:val="right" w:pos="8504"/>
      </w:tabs>
      <w:overflowPunct w:val="0"/>
      <w:autoSpaceDE w:val="0"/>
      <w:autoSpaceDN w:val="0"/>
      <w:adjustRightInd w:val="0"/>
      <w:spacing w:after="0" w:line="240" w:lineRule="auto"/>
      <w:ind w:firstLine="0"/>
      <w:jc w:val="left"/>
    </w:pPr>
    <w:rPr>
      <w:sz w:val="26"/>
      <w:lang w:val="es-ES_tradnl" w:eastAsia="es-ES" w:bidi="ar-SA"/>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keepLines w:val="0"/>
      <w:overflowPunct w:val="0"/>
      <w:autoSpaceDE w:val="0"/>
      <w:autoSpaceDN w:val="0"/>
      <w:adjustRightInd w:val="0"/>
      <w:spacing w:after="0" w:line="240" w:lineRule="auto"/>
      <w:ind w:firstLine="0"/>
      <w:jc w:val="center"/>
    </w:pPr>
    <w:rPr>
      <w:rFonts w:ascii="Arial" w:hAnsi="Arial"/>
      <w:sz w:val="24"/>
      <w:lang w:val="es-ES_tradnl" w:eastAsia="es-ES" w:bidi="ar-SA"/>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keepLines w:val="0"/>
      <w:tabs>
        <w:tab w:val="left" w:pos="567"/>
        <w:tab w:val="left" w:pos="992"/>
      </w:tabs>
      <w:spacing w:after="300" w:line="340" w:lineRule="exact"/>
      <w:ind w:hanging="1559"/>
      <w:textAlignment w:val="auto"/>
    </w:pPr>
    <w:rPr>
      <w:rFonts w:ascii="Arial" w:hAnsi="Arial"/>
      <w:sz w:val="24"/>
      <w:lang w:val="es-ES" w:eastAsia="es-ES" w:bidi="ar-SA"/>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keepLines w:val="0"/>
      <w:tabs>
        <w:tab w:val="center" w:pos="4252"/>
        <w:tab w:val="right" w:pos="8504"/>
      </w:tabs>
      <w:spacing w:after="0" w:line="240" w:lineRule="auto"/>
      <w:ind w:firstLine="0"/>
      <w:jc w:val="left"/>
      <w:textAlignment w:val="auto"/>
    </w:pPr>
    <w:rPr>
      <w:sz w:val="24"/>
      <w:szCs w:val="24"/>
      <w:lang w:val="es-ES" w:eastAsia="es-ES" w:bidi="ar-SA"/>
    </w:r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418DA"/>
    <w:pPr>
      <w:keepLines w:val="0"/>
      <w:tabs>
        <w:tab w:val="left" w:pos="709"/>
        <w:tab w:val="center" w:pos="3856"/>
      </w:tabs>
      <w:spacing w:after="0" w:line="380" w:lineRule="atLeast"/>
      <w:ind w:firstLine="709"/>
      <w:textAlignment w:val="auto"/>
    </w:pPr>
    <w:rPr>
      <w:rFonts w:ascii="Courier New" w:hAnsi="Courier New"/>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2925</Characters>
  <Application>Microsoft Office Word</Application>
  <DocSecurity>0</DocSecurity>
  <Lines>24</Lines>
  <Paragraphs>6</Paragraphs>
  <ScaleCrop>false</ScaleCrop>
  <Company/>
  <LinksUpToDate>false</LinksUpToDate>
  <CharactersWithSpaces>3450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2019-12-04T11:24:00Z</dcterms:created>
  <dcterms:modified xsi:type="dcterms:W3CDTF">2019-12-04T11:25:00Z</dcterms:modified>
</cp:coreProperties>
</file>