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gastu orokorretarako diruzaintzako gerakinari buruzkoa. Galdera 2019ko urriaren 11ko 23. Nafarroako Parlamentuko Aldizkari Ofizialean argitaratu zen.</w:t>
      </w:r>
    </w:p>
    <w:p>
      <w:pPr>
        <w:pStyle w:val="0"/>
        <w:suppressAutoHyphens w:val="false"/>
        <w:rPr>
          <w:rStyle w:val="1"/>
        </w:rPr>
      </w:pPr>
      <w:r>
        <w:rPr>
          <w:rStyle w:val="1"/>
        </w:rPr>
        <w:t xml:space="preserve">Iruñean, 2019ko azaroaren 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parlmentari Adolfo Araiz Flamarique jaunak idatziz erantzuteko galdera bat egin du —urriaren 7an izapidetzeko onartu zuen Parlmentuko Mahaiak, eta 9-19/PES-00102 zenbakia darama— diruzaintzako gerakinaren erabilerarekin lotutako hainbat gairi buruz. Hona hemen Nafarroako Gobernuko Ekonomia eta Ogasuneko kontseilariaren erantzuna:</w:t>
      </w:r>
    </w:p>
    <w:p>
      <w:pPr>
        <w:pStyle w:val="0"/>
        <w:suppressAutoHyphens w:val="false"/>
        <w:rPr>
          <w:rStyle w:val="1"/>
        </w:rPr>
      </w:pPr>
      <w:r>
        <w:rPr>
          <w:rStyle w:val="1"/>
        </w:rPr>
        <w:t xml:space="preserve">Urriaren 28an, Adolfo Araiz parlamentariaren 10-19/PEI-00288 informazio-eskaerari erantzun zitzaion. Bertan, zor publikoaren edo banku-maileguen balizko amortizazio aurreratuei buruzko erabakien edo ebazpenen administrazio-espedienteen kopia eskatu zuen, baldin eta horien finantzaketan gastu orokorretarako diruzaintzako gerakina erabili bada, bai eta 2018ko abenduaren 31n gastu orokorretarako diruzaintzako gerakinaren kargura finantzatutako aurrekontu-aldaketei buruzko espedienteen kopia ere.</w:t>
      </w:r>
    </w:p>
    <w:p>
      <w:pPr>
        <w:pStyle w:val="0"/>
        <w:suppressAutoHyphens w:val="false"/>
        <w:rPr>
          <w:rStyle w:val="1"/>
        </w:rPr>
      </w:pPr>
      <w:r>
        <w:rPr>
          <w:rStyle w:val="1"/>
        </w:rPr>
        <w:t xml:space="preserve">Orain aurkeztutako galderaren erantzuna euskarri informatikoan emandako dokumentaziotik atera dugu, nahiz eta parlamentari eskatzaileak dokumentazio hori lehendik bazeukan.</w:t>
      </w:r>
    </w:p>
    <w:p>
      <w:pPr>
        <w:pStyle w:val="0"/>
        <w:suppressAutoHyphens w:val="false"/>
        <w:rPr>
          <w:rStyle w:val="1"/>
        </w:rPr>
      </w:pPr>
      <w:r>
        <w:rPr>
          <w:rStyle w:val="1"/>
        </w:rPr>
        <w:t xml:space="preserve">Parlamentuko Mahaiaren ahalmena bada ere, Parlamentuko Erregelamenduaren 189. artikuluari jarraituz, izapidetzeko ez onartzea bilkuraldi berean izapidetu diren beste galdera batzuk errepikatzen dituzten galderak, esan daiteke, eraginkortasun eta efizientzia printzipioen mesedetan, ez zaiola berariaz erantzun behar aipatutako galderari, zeren eta eskatutako informazioa erraz inferitu baitaiteke bere garaian emandako dokumentaziotik.</w:t>
      </w:r>
    </w:p>
    <w:p>
      <w:pPr>
        <w:pStyle w:val="0"/>
        <w:suppressAutoHyphens w:val="false"/>
        <w:rPr>
          <w:rStyle w:val="1"/>
        </w:rPr>
      </w:pPr>
      <w:r>
        <w:rPr>
          <w:rStyle w:val="1"/>
        </w:rPr>
        <w:t xml:space="preserve">Hala eta guztiz ere, parlamentari eskatzaileak ezin badu eskatutako informazioa dokumentaziotik atera, Departamentuak eskatutako informazioa emanen dio.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azaroaren 5ean</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