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bikote egonkorrei eragiten dien Foru Berriaren aldaketari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Lehendakaritzako, Berdintasuneko, Funtzio Publikoko eta Barneko kontseilariak Legebiltzarraren hurrengo Osoko Bilkuran ahoz erantzun dezan. </w:t>
      </w:r>
    </w:p>
    <w:p>
      <w:pPr>
        <w:pStyle w:val="0"/>
        <w:suppressAutoHyphens w:val="false"/>
        <w:rPr>
          <w:rStyle w:val="1"/>
        </w:rPr>
      </w:pPr>
      <w:r>
        <w:rPr>
          <w:rStyle w:val="1"/>
        </w:rPr>
        <w:t xml:space="preserve">Bikote egonkorrei eragiten dien Foru Berriaren aldaketa dela-eta Podemos-Ahal Dugu-ri iristen ari zaizkigun informazio-eskaera ugariak ikusirik, aldaketa horren nolako ezagutarazpena ari da Gobernua egiten, Foru Berriaren eguneratzearen argitaratze hutsaz harago? </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