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gestiones y acuerdos alcanzados en la presente legislatura para materializar la recuperación de la competencia de Tráfico y Seguridad Vial,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al amparo de lo dispuesto en el Reglamento de la Cámara, realiza la siguiente pregunta oral dirigida al Vicepresidente de Presidencia, Igualdad, Función Pública e Interior para su contestación en Pleno. </w:t>
      </w:r>
    </w:p>
    <w:p>
      <w:pPr>
        <w:pStyle w:val="0"/>
        <w:suppressAutoHyphens w:val="false"/>
        <w:rPr>
          <w:rStyle w:val="1"/>
        </w:rPr>
      </w:pPr>
      <w:r>
        <w:rPr>
          <w:rStyle w:val="1"/>
        </w:rPr>
        <w:t xml:space="preserve">¿Qué gestiones ha realizado y qué acuerdos ha alcanzado el Gobierno de Navarra en la presente legislatura para materializar la recuperación de la competencia de Tráfico y Seguridad Vial? </w:t>
      </w:r>
    </w:p>
    <w:p>
      <w:pPr>
        <w:pStyle w:val="0"/>
        <w:suppressAutoHyphens w:val="false"/>
        <w:rPr>
          <w:rStyle w:val="1"/>
        </w:rPr>
      </w:pPr>
      <w:r>
        <w:rPr>
          <w:rStyle w:val="1"/>
        </w:rPr>
        <w:t xml:space="preserve">Pamplona, a 16 de enero de 2020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