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gaurkotasun handiko galdera, Estatuaren eskumenak inbaditzeagatik Nafarroako Zuzenbide Zibilaren Konpilazioa edo Foru Berria aldatu eta gaurkotzeko apirilaren 4ko 21/2019 Foru Legearen aurka jarritako konstituzio-kontrakotasuneko errekurtsoari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 lehendakariorde eta Lehendakaritzako, Berdintasuneko, Funtzio Publikoko eta Barneko kontseilariak heldu den urtarrilaren 23ko Osoko Bilkuran ahoz erantzun dezan:</w:t>
      </w:r>
    </w:p>
    <w:p>
      <w:pPr>
        <w:pStyle w:val="0"/>
        <w:suppressAutoHyphens w:val="false"/>
        <w:rPr>
          <w:rStyle w:val="1"/>
          <w:spacing w:val="-0.961"/>
        </w:rPr>
      </w:pPr>
      <w:r>
        <w:rPr>
          <w:rStyle w:val="1"/>
          <w:spacing w:val="-0.961"/>
        </w:rPr>
        <w:t xml:space="preserve">Nafarroako Gobernuak zer balorazio egiten du Estatuaren eskumenak inbaditzeagatik Nafarroako Zuzenbide Zibilaren Konpilazioa edo Foru Berria aldatu eta gaurkotzeko apirilaren 4ko 21/2019 Foru Legearen aurka jarritako konstituzio-</w:t>
        <w:br w:type="textWrapping"/>
        <w:t xml:space="preserve">kontrakotasuneko errekurtsoari buruz?</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