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18B" w:rsidRDefault="003B5F30" w:rsidP="00C946CD">
      <w:pPr>
        <w:tabs>
          <w:tab w:val="left" w:pos="3780"/>
        </w:tabs>
        <w:spacing w:line="288" w:lineRule="auto"/>
        <w:jc w:val="both"/>
        <w:rPr>
          <w:rFonts w:ascii="Century Gothic" w:hAnsi="Century Gothic"/>
        </w:rPr>
      </w:pPr>
      <w:r w:rsidRPr="003B5F30">
        <w:rPr>
          <w:rFonts w:ascii="Century Gothic" w:hAnsi="Century Gothic"/>
        </w:rPr>
        <w:t>La Consejera de Salud del Gobierno de Navarra, en relación con la pregunta escrita (10-19-PES-00</w:t>
      </w:r>
      <w:r w:rsidRPr="00C946CD">
        <w:rPr>
          <w:rFonts w:ascii="Century Gothic" w:hAnsi="Century Gothic"/>
        </w:rPr>
        <w:t>121</w:t>
      </w:r>
      <w:r w:rsidRPr="003B5F30">
        <w:rPr>
          <w:rFonts w:ascii="Century Gothic" w:hAnsi="Century Gothic"/>
        </w:rPr>
        <w:t xml:space="preserve">) presentada por la Parlamentaria Foral Ilma. Sra.  Cristina Ibarrola Guillén, adscrita al Grupo Parlamentario de Navarra Suma, que solicita “información sobre </w:t>
      </w:r>
      <w:r w:rsidR="00C946CD" w:rsidRPr="00C946CD">
        <w:rPr>
          <w:rFonts w:ascii="Century Gothic" w:hAnsi="Century Gothic"/>
        </w:rPr>
        <w:t xml:space="preserve">financiación </w:t>
      </w:r>
      <w:r w:rsidR="00C946CD">
        <w:rPr>
          <w:rFonts w:ascii="Century Gothic" w:hAnsi="Century Gothic"/>
        </w:rPr>
        <w:t xml:space="preserve">del </w:t>
      </w:r>
      <w:r w:rsidR="00C946CD" w:rsidRPr="00C946CD">
        <w:rPr>
          <w:rFonts w:ascii="Century Gothic" w:hAnsi="Century Gothic"/>
        </w:rPr>
        <w:t>tratamiento antitabaco</w:t>
      </w:r>
      <w:r w:rsidRPr="003B5F30">
        <w:rPr>
          <w:rFonts w:ascii="Century Gothic" w:hAnsi="Century Gothic"/>
        </w:rPr>
        <w:t>”, tiene el honor de remitirle la siguiente información:</w:t>
      </w:r>
    </w:p>
    <w:p w:rsidR="00E7518B" w:rsidRDefault="00DB4445" w:rsidP="00C946CD">
      <w:pPr>
        <w:spacing w:line="288" w:lineRule="auto"/>
        <w:jc w:val="both"/>
        <w:rPr>
          <w:rFonts w:ascii="Century Gothic" w:hAnsi="Century Gothic"/>
          <w:lang w:val="es-ES_tradnl"/>
        </w:rPr>
      </w:pPr>
      <w:r w:rsidRPr="00C946CD">
        <w:rPr>
          <w:rFonts w:ascii="Century Gothic" w:hAnsi="Century Gothic"/>
          <w:lang w:val="es-ES_tradnl"/>
        </w:rPr>
        <w:t>Desde la Subdirección de Farmacia se informa:</w:t>
      </w:r>
    </w:p>
    <w:p w:rsidR="00E7518B" w:rsidRDefault="00C55606" w:rsidP="00C946CD">
      <w:pPr>
        <w:spacing w:line="288" w:lineRule="auto"/>
        <w:jc w:val="both"/>
        <w:rPr>
          <w:rFonts w:ascii="Century Gothic" w:hAnsi="Century Gothic"/>
          <w:lang w:val="es-ES_tradnl"/>
        </w:rPr>
      </w:pPr>
      <w:r w:rsidRPr="00C946CD">
        <w:rPr>
          <w:rFonts w:ascii="Century Gothic" w:hAnsi="Century Gothic"/>
          <w:lang w:val="es-ES_tradnl"/>
        </w:rPr>
        <w:t>El Ministerio de Sanidad, a través de la Comisión Interministerial de Precios de los Medicamentos (CIMP) en sus reuniones celebradas los pasados</w:t>
      </w:r>
      <w:r w:rsidR="00662BE9" w:rsidRPr="00C946CD">
        <w:rPr>
          <w:rFonts w:ascii="Century Gothic" w:hAnsi="Century Gothic"/>
          <w:lang w:val="es-ES_tradnl"/>
        </w:rPr>
        <w:t xml:space="preserve"> 30 de septiembre de </w:t>
      </w:r>
      <w:r w:rsidR="00DB4445" w:rsidRPr="00C946CD">
        <w:rPr>
          <w:rFonts w:ascii="Century Gothic" w:hAnsi="Century Gothic"/>
          <w:lang w:val="es-ES_tradnl"/>
        </w:rPr>
        <w:t xml:space="preserve">2019, </w:t>
      </w:r>
      <w:r w:rsidRPr="00C946CD">
        <w:rPr>
          <w:rFonts w:ascii="Century Gothic" w:hAnsi="Century Gothic"/>
          <w:lang w:val="es-ES_tradnl"/>
        </w:rPr>
        <w:t xml:space="preserve">y 30 de octubre de 2019 acordó financiar los medicamentos </w:t>
      </w:r>
      <w:r w:rsidR="00DB4445" w:rsidRPr="00C946CD">
        <w:rPr>
          <w:rFonts w:ascii="Century Gothic" w:hAnsi="Century Gothic"/>
          <w:lang w:val="es-ES_tradnl"/>
        </w:rPr>
        <w:t>CHAMPIX (</w:t>
      </w:r>
      <w:proofErr w:type="spellStart"/>
      <w:r w:rsidR="00DB4445" w:rsidRPr="00C946CD">
        <w:rPr>
          <w:rFonts w:ascii="Century Gothic" w:hAnsi="Century Gothic"/>
          <w:lang w:val="es-ES_tradnl"/>
        </w:rPr>
        <w:t>vareniclina</w:t>
      </w:r>
      <w:proofErr w:type="spellEnd"/>
      <w:r w:rsidR="00DB4445" w:rsidRPr="00C946CD">
        <w:rPr>
          <w:rFonts w:ascii="Century Gothic" w:hAnsi="Century Gothic"/>
          <w:lang w:val="es-ES_tradnl"/>
        </w:rPr>
        <w:t xml:space="preserve">) </w:t>
      </w:r>
      <w:r w:rsidRPr="00C946CD">
        <w:rPr>
          <w:rFonts w:ascii="Century Gothic" w:hAnsi="Century Gothic"/>
          <w:lang w:val="es-ES_tradnl"/>
        </w:rPr>
        <w:t>y ZYNTABAC (</w:t>
      </w:r>
      <w:proofErr w:type="spellStart"/>
      <w:r w:rsidRPr="00C946CD">
        <w:rPr>
          <w:rFonts w:ascii="Century Gothic" w:hAnsi="Century Gothic"/>
          <w:lang w:val="es-ES_tradnl"/>
        </w:rPr>
        <w:t>bupropion</w:t>
      </w:r>
      <w:proofErr w:type="spellEnd"/>
      <w:r w:rsidRPr="00C946CD">
        <w:rPr>
          <w:rFonts w:ascii="Century Gothic" w:hAnsi="Century Gothic"/>
          <w:lang w:val="es-ES_tradnl"/>
        </w:rPr>
        <w:t xml:space="preserve">) </w:t>
      </w:r>
      <w:r w:rsidR="00DB4445" w:rsidRPr="00C946CD">
        <w:rPr>
          <w:rFonts w:ascii="Century Gothic" w:hAnsi="Century Gothic"/>
          <w:lang w:val="es-ES_tradnl"/>
        </w:rPr>
        <w:t>con las siguientes condiciones:</w:t>
      </w:r>
    </w:p>
    <w:p w:rsidR="00DB4445" w:rsidRPr="00C946CD" w:rsidRDefault="00DB4445" w:rsidP="00C946CD">
      <w:pPr>
        <w:spacing w:line="288" w:lineRule="auto"/>
        <w:jc w:val="both"/>
        <w:rPr>
          <w:rFonts w:ascii="Century Gothic" w:hAnsi="Century Gothic"/>
          <w:b/>
          <w:lang w:val="es-ES_tradnl"/>
        </w:rPr>
      </w:pPr>
      <w:r w:rsidRPr="00C946CD">
        <w:rPr>
          <w:rFonts w:ascii="Century Gothic" w:hAnsi="Century Gothic"/>
          <w:b/>
          <w:lang w:val="es-ES_tradnl"/>
        </w:rPr>
        <w:t>Condiciones de financiación:</w:t>
      </w:r>
    </w:p>
    <w:p w:rsidR="00E7518B" w:rsidRDefault="00DB4445" w:rsidP="00C946CD">
      <w:pPr>
        <w:spacing w:line="288" w:lineRule="auto"/>
        <w:jc w:val="both"/>
        <w:rPr>
          <w:rFonts w:ascii="Century Gothic" w:hAnsi="Century Gothic"/>
          <w:lang w:val="es-ES_tradnl"/>
        </w:rPr>
      </w:pPr>
      <w:r w:rsidRPr="00C946CD">
        <w:rPr>
          <w:rFonts w:ascii="Century Gothic" w:hAnsi="Century Gothic"/>
          <w:lang w:val="es-ES_tradnl"/>
        </w:rPr>
        <w:t>- Para realizar la prescripción del medicamento los pacientes deben estar incluidos en un programa de apoyo (individual y/o grupal) de deshabituación tabáquica que esté implementado en la CCAA/ INGESA o Mutualidades.</w:t>
      </w:r>
    </w:p>
    <w:p w:rsidR="00DB4445" w:rsidRPr="00C946CD" w:rsidRDefault="00DB4445" w:rsidP="00C946CD">
      <w:pPr>
        <w:spacing w:line="288" w:lineRule="auto"/>
        <w:jc w:val="both"/>
        <w:rPr>
          <w:rFonts w:ascii="Century Gothic" w:hAnsi="Century Gothic"/>
          <w:b/>
          <w:lang w:val="es-ES_tradnl"/>
        </w:rPr>
      </w:pPr>
      <w:r w:rsidRPr="00C946CD">
        <w:rPr>
          <w:rFonts w:ascii="Century Gothic" w:hAnsi="Century Gothic"/>
          <w:b/>
          <w:lang w:val="es-ES_tradnl"/>
        </w:rPr>
        <w:t>Además, los pacientes tienen que cumplir las siguientes características:</w:t>
      </w:r>
    </w:p>
    <w:p w:rsidR="00DB4445" w:rsidRPr="00C946CD" w:rsidRDefault="00DB4445" w:rsidP="00C946CD">
      <w:pPr>
        <w:spacing w:line="288" w:lineRule="auto"/>
        <w:jc w:val="both"/>
        <w:rPr>
          <w:rFonts w:ascii="Century Gothic" w:hAnsi="Century Gothic"/>
          <w:lang w:val="es-ES_tradnl"/>
        </w:rPr>
      </w:pPr>
      <w:r w:rsidRPr="00C946CD">
        <w:rPr>
          <w:rFonts w:ascii="Century Gothic" w:hAnsi="Century Gothic"/>
          <w:lang w:val="es-ES_tradnl"/>
        </w:rPr>
        <w:t>Pacientes que tengan motivación expresa de dejar de fumar que se pueda constatar con un intento de dejar de fumar en el último año.</w:t>
      </w:r>
    </w:p>
    <w:p w:rsidR="00E7518B" w:rsidRDefault="00DB4445" w:rsidP="00C946CD">
      <w:pPr>
        <w:spacing w:line="288" w:lineRule="auto"/>
        <w:jc w:val="both"/>
        <w:rPr>
          <w:rFonts w:ascii="Century Gothic" w:hAnsi="Century Gothic"/>
          <w:lang w:val="es-ES_tradnl"/>
        </w:rPr>
      </w:pPr>
      <w:r w:rsidRPr="00C946CD">
        <w:rPr>
          <w:rFonts w:ascii="Century Gothic" w:hAnsi="Century Gothic"/>
          <w:lang w:val="es-ES_tradnl"/>
        </w:rPr>
        <w:t xml:space="preserve">Pacientes que fumen 10 cigarrillos o más al día y tengan además, un alto nivel de dependencia calificado por el test de </w:t>
      </w:r>
      <w:proofErr w:type="spellStart"/>
      <w:r w:rsidRPr="00C946CD">
        <w:rPr>
          <w:rFonts w:ascii="Century Gothic" w:hAnsi="Century Gothic"/>
          <w:lang w:val="es-ES_tradnl"/>
        </w:rPr>
        <w:t>Fagerström</w:t>
      </w:r>
      <w:proofErr w:type="spellEnd"/>
      <w:r w:rsidRPr="00C946CD">
        <w:rPr>
          <w:rFonts w:ascii="Century Gothic" w:hAnsi="Century Gothic"/>
          <w:lang w:val="es-ES_tradnl"/>
        </w:rPr>
        <w:t xml:space="preserve"> ≥ 7.</w:t>
      </w:r>
    </w:p>
    <w:p w:rsidR="00E7518B" w:rsidRDefault="00DB4445" w:rsidP="00C946CD">
      <w:pPr>
        <w:spacing w:line="288" w:lineRule="auto"/>
        <w:jc w:val="both"/>
        <w:rPr>
          <w:rFonts w:ascii="Century Gothic" w:hAnsi="Century Gothic"/>
          <w:lang w:val="es-ES_tradnl"/>
        </w:rPr>
      </w:pPr>
      <w:r w:rsidRPr="00C946CD">
        <w:rPr>
          <w:rFonts w:ascii="Century Gothic" w:hAnsi="Century Gothic"/>
          <w:lang w:val="es-ES_tradnl"/>
        </w:rPr>
        <w:t>- Se financiará un intento anual por paciente para dejar de fumar con apoyo farmacológico.</w:t>
      </w:r>
    </w:p>
    <w:p w:rsidR="00DB4445" w:rsidRPr="00C946CD" w:rsidRDefault="00DB4445" w:rsidP="00C946CD">
      <w:pPr>
        <w:spacing w:line="288" w:lineRule="auto"/>
        <w:rPr>
          <w:rFonts w:ascii="Century Gothic" w:hAnsi="Century Gothic"/>
          <w:b/>
          <w:lang w:val="es-ES_tradnl"/>
        </w:rPr>
      </w:pPr>
      <w:r w:rsidRPr="00C946CD">
        <w:rPr>
          <w:rFonts w:ascii="Century Gothic" w:hAnsi="Century Gothic"/>
          <w:b/>
          <w:lang w:val="es-ES_tradnl"/>
        </w:rPr>
        <w:t>Otros requisitos acordados por la Comisión:</w:t>
      </w:r>
    </w:p>
    <w:p w:rsidR="00DB4445" w:rsidRPr="00C946CD" w:rsidRDefault="00DB4445" w:rsidP="00C946CD">
      <w:pPr>
        <w:spacing w:line="288" w:lineRule="auto"/>
        <w:rPr>
          <w:rFonts w:ascii="Century Gothic" w:hAnsi="Century Gothic"/>
          <w:lang w:val="es-ES_tradnl"/>
        </w:rPr>
      </w:pPr>
      <w:r w:rsidRPr="00C946CD">
        <w:rPr>
          <w:rFonts w:ascii="Century Gothic" w:hAnsi="Century Gothic"/>
          <w:lang w:val="es-ES_tradnl"/>
        </w:rPr>
        <w:t>• La prescripción de este medicamento se restringe a los/las médicos profesionales que así se definan en el programa de deshabituación tabáquica en cada CCAA/INGESA o Mutualidad.</w:t>
      </w:r>
    </w:p>
    <w:p w:rsidR="00DB4445" w:rsidRPr="00C946CD" w:rsidRDefault="00DB4445" w:rsidP="00C946CD">
      <w:pPr>
        <w:spacing w:line="288" w:lineRule="auto"/>
        <w:rPr>
          <w:rFonts w:ascii="Century Gothic" w:hAnsi="Century Gothic"/>
          <w:lang w:val="es-ES_tradnl"/>
        </w:rPr>
      </w:pPr>
      <w:r w:rsidRPr="00C946CD">
        <w:rPr>
          <w:rFonts w:ascii="Century Gothic" w:hAnsi="Century Gothic"/>
          <w:lang w:val="es-ES_tradnl"/>
        </w:rPr>
        <w:t>• Cada prescripción se realizará por un envase, lo que equivale a un mes de tratamiento, debiéndose valorar la evolución de la efectividad del tratamiento con carácter previo a la emisión de la siguiente receta.</w:t>
      </w:r>
    </w:p>
    <w:p w:rsidR="00DB4445" w:rsidRPr="00C946CD" w:rsidRDefault="00DB4445" w:rsidP="00C946CD">
      <w:pPr>
        <w:spacing w:line="288" w:lineRule="auto"/>
        <w:rPr>
          <w:rFonts w:ascii="Century Gothic" w:hAnsi="Century Gothic"/>
          <w:lang w:val="es-ES_tradnl"/>
        </w:rPr>
      </w:pPr>
      <w:r w:rsidRPr="00C946CD">
        <w:rPr>
          <w:rFonts w:ascii="Century Gothic" w:hAnsi="Century Gothic"/>
          <w:lang w:val="es-ES_tradnl"/>
        </w:rPr>
        <w:t>• El tratamiento será como máximo hasta las doce semanas, tal y como está descrito en ficha técnica.</w:t>
      </w:r>
    </w:p>
    <w:p w:rsidR="00DB4445" w:rsidRPr="00C946CD" w:rsidRDefault="00DB4445" w:rsidP="00C946CD">
      <w:pPr>
        <w:spacing w:line="288" w:lineRule="auto"/>
        <w:rPr>
          <w:rFonts w:ascii="Century Gothic" w:hAnsi="Century Gothic"/>
          <w:lang w:val="es-ES_tradnl"/>
        </w:rPr>
      </w:pPr>
      <w:r w:rsidRPr="00C946CD">
        <w:rPr>
          <w:rFonts w:ascii="Century Gothic" w:hAnsi="Century Gothic"/>
          <w:lang w:val="es-ES_tradnl"/>
        </w:rPr>
        <w:t>• La dispensación de este medicamento se realizará por el sistema de receta electrónica del SNS.</w:t>
      </w:r>
    </w:p>
    <w:p w:rsidR="00E7518B" w:rsidRDefault="00DB4445" w:rsidP="00C946CD">
      <w:pPr>
        <w:spacing w:line="288" w:lineRule="auto"/>
        <w:rPr>
          <w:rFonts w:ascii="Century Gothic" w:hAnsi="Century Gothic"/>
          <w:lang w:val="es-ES_tradnl"/>
        </w:rPr>
      </w:pPr>
      <w:r w:rsidRPr="00C946CD">
        <w:rPr>
          <w:rFonts w:ascii="Century Gothic" w:hAnsi="Century Gothic"/>
          <w:lang w:val="es-ES_tradnl"/>
        </w:rPr>
        <w:t>- Esta financiación se hará efectiva en el Nomenclátor de Facturación a partir del 1 de enero de 2020.</w:t>
      </w:r>
    </w:p>
    <w:p w:rsidR="00E7518B" w:rsidRDefault="00DB4445" w:rsidP="00C946CD">
      <w:pPr>
        <w:spacing w:line="288" w:lineRule="auto"/>
        <w:jc w:val="both"/>
        <w:rPr>
          <w:rFonts w:ascii="Century Gothic" w:hAnsi="Century Gothic"/>
          <w:lang w:val="es-ES_tradnl"/>
        </w:rPr>
      </w:pPr>
      <w:r w:rsidRPr="00C946CD">
        <w:rPr>
          <w:rFonts w:ascii="Century Gothic" w:hAnsi="Century Gothic"/>
          <w:lang w:val="es-ES_tradnl"/>
        </w:rPr>
        <w:t xml:space="preserve">Como se puede comprobar, las condiciones de financiación son prácticamente las mismas que estableció Navarra en el año 2017. De </w:t>
      </w:r>
      <w:r w:rsidRPr="00C946CD">
        <w:rPr>
          <w:rFonts w:ascii="Century Gothic" w:hAnsi="Century Gothic"/>
          <w:lang w:val="es-ES_tradnl"/>
        </w:rPr>
        <w:lastRenderedPageBreak/>
        <w:t xml:space="preserve">hecho, en la Comisión Permanente de Farmacia del Consejo Interterritorial, fue decisiva la presentación que hizo Navarra de sus resultados después de un año de funcionamiento del programa, para que el Ministerio de Sanidad tomara la decisión de empezar a negociar </w:t>
      </w:r>
      <w:r w:rsidR="000E7848" w:rsidRPr="00C946CD">
        <w:rPr>
          <w:rFonts w:ascii="Century Gothic" w:hAnsi="Century Gothic"/>
          <w:lang w:val="es-ES_tradnl"/>
        </w:rPr>
        <w:t>la entrada de estos medicamentos en la prestación farmacéutica</w:t>
      </w:r>
      <w:r w:rsidRPr="00C946CD">
        <w:rPr>
          <w:rFonts w:ascii="Century Gothic" w:hAnsi="Century Gothic"/>
          <w:lang w:val="es-ES_tradnl"/>
        </w:rPr>
        <w:t>.</w:t>
      </w:r>
    </w:p>
    <w:p w:rsidR="00E7518B" w:rsidRDefault="00C55606" w:rsidP="00C946CD">
      <w:pPr>
        <w:spacing w:line="288" w:lineRule="auto"/>
        <w:jc w:val="both"/>
        <w:rPr>
          <w:rFonts w:ascii="Century Gothic" w:hAnsi="Century Gothic"/>
          <w:lang w:val="es-ES_tradnl"/>
        </w:rPr>
      </w:pPr>
      <w:r w:rsidRPr="00C946CD">
        <w:rPr>
          <w:rFonts w:ascii="Century Gothic" w:hAnsi="Century Gothic"/>
          <w:lang w:val="es-ES_tradnl"/>
        </w:rPr>
        <w:t xml:space="preserve">El artículo, al que hace referencia Doña Cristina Ibarrola, </w:t>
      </w:r>
      <w:proofErr w:type="spellStart"/>
      <w:r w:rsidRPr="00C946CD">
        <w:rPr>
          <w:rFonts w:ascii="Century Gothic" w:hAnsi="Century Gothic"/>
          <w:i/>
          <w:lang w:val="es-ES_tradnl"/>
        </w:rPr>
        <w:t>Cost-effectiveness</w:t>
      </w:r>
      <w:proofErr w:type="spellEnd"/>
      <w:r w:rsidRPr="00C946CD">
        <w:rPr>
          <w:rFonts w:ascii="Century Gothic" w:hAnsi="Century Gothic"/>
          <w:i/>
          <w:lang w:val="es-ES_tradnl"/>
        </w:rPr>
        <w:t xml:space="preserve"> of </w:t>
      </w:r>
      <w:proofErr w:type="spellStart"/>
      <w:r w:rsidRPr="00C946CD">
        <w:rPr>
          <w:rFonts w:ascii="Century Gothic" w:hAnsi="Century Gothic"/>
          <w:i/>
          <w:lang w:val="es-ES_tradnl"/>
        </w:rPr>
        <w:t>alternative</w:t>
      </w:r>
      <w:proofErr w:type="spellEnd"/>
      <w:r w:rsidRPr="00C946CD">
        <w:rPr>
          <w:rFonts w:ascii="Century Gothic" w:hAnsi="Century Gothic"/>
          <w:i/>
          <w:lang w:val="es-ES_tradnl"/>
        </w:rPr>
        <w:t xml:space="preserve"> smoking </w:t>
      </w:r>
      <w:proofErr w:type="spellStart"/>
      <w:r w:rsidRPr="00C946CD">
        <w:rPr>
          <w:rFonts w:ascii="Century Gothic" w:hAnsi="Century Gothic"/>
          <w:i/>
          <w:lang w:val="es-ES_tradnl"/>
        </w:rPr>
        <w:t>cessation</w:t>
      </w:r>
      <w:proofErr w:type="spellEnd"/>
      <w:r w:rsidRPr="00C946CD">
        <w:rPr>
          <w:rFonts w:ascii="Century Gothic" w:hAnsi="Century Gothic"/>
          <w:i/>
          <w:lang w:val="es-ES_tradnl"/>
        </w:rPr>
        <w:t xml:space="preserve"> </w:t>
      </w:r>
      <w:proofErr w:type="spellStart"/>
      <w:r w:rsidRPr="00C946CD">
        <w:rPr>
          <w:rFonts w:ascii="Century Gothic" w:hAnsi="Century Gothic"/>
          <w:i/>
          <w:lang w:val="es-ES_tradnl"/>
        </w:rPr>
        <w:t>scenarios</w:t>
      </w:r>
      <w:proofErr w:type="spellEnd"/>
      <w:r w:rsidRPr="00C946CD">
        <w:rPr>
          <w:rFonts w:ascii="Century Gothic" w:hAnsi="Century Gothic"/>
          <w:i/>
          <w:lang w:val="es-ES_tradnl"/>
        </w:rPr>
        <w:t xml:space="preserve"> in </w:t>
      </w:r>
      <w:proofErr w:type="spellStart"/>
      <w:r w:rsidRPr="00C946CD">
        <w:rPr>
          <w:rFonts w:ascii="Century Gothic" w:hAnsi="Century Gothic"/>
          <w:i/>
          <w:lang w:val="es-ES_tradnl"/>
        </w:rPr>
        <w:t>Spain</w:t>
      </w:r>
      <w:proofErr w:type="spellEnd"/>
      <w:r w:rsidRPr="00C946CD">
        <w:rPr>
          <w:rFonts w:ascii="Century Gothic" w:hAnsi="Century Gothic"/>
          <w:i/>
          <w:lang w:val="es-ES_tradnl"/>
        </w:rPr>
        <w:t xml:space="preserve">: </w:t>
      </w:r>
      <w:proofErr w:type="spellStart"/>
      <w:r w:rsidRPr="00C946CD">
        <w:rPr>
          <w:rFonts w:ascii="Century Gothic" w:hAnsi="Century Gothic"/>
          <w:i/>
          <w:lang w:val="es-ES_tradnl"/>
        </w:rPr>
        <w:t>results</w:t>
      </w:r>
      <w:proofErr w:type="spellEnd"/>
      <w:r w:rsidRPr="00C946CD">
        <w:rPr>
          <w:rFonts w:ascii="Century Gothic" w:hAnsi="Century Gothic"/>
          <w:i/>
          <w:lang w:val="es-ES_tradnl"/>
        </w:rPr>
        <w:t xml:space="preserve"> </w:t>
      </w:r>
      <w:proofErr w:type="spellStart"/>
      <w:r w:rsidRPr="00C946CD">
        <w:rPr>
          <w:rFonts w:ascii="Century Gothic" w:hAnsi="Century Gothic"/>
          <w:i/>
          <w:lang w:val="es-ES_tradnl"/>
        </w:rPr>
        <w:t>from</w:t>
      </w:r>
      <w:proofErr w:type="spellEnd"/>
      <w:r w:rsidRPr="00C946CD">
        <w:rPr>
          <w:rFonts w:ascii="Century Gothic" w:hAnsi="Century Gothic"/>
          <w:i/>
          <w:lang w:val="es-ES_tradnl"/>
        </w:rPr>
        <w:t xml:space="preserve"> </w:t>
      </w:r>
      <w:proofErr w:type="spellStart"/>
      <w:r w:rsidRPr="00C946CD">
        <w:rPr>
          <w:rFonts w:ascii="Century Gothic" w:hAnsi="Century Gothic"/>
          <w:i/>
          <w:lang w:val="es-ES_tradnl"/>
        </w:rPr>
        <w:t>the</w:t>
      </w:r>
      <w:proofErr w:type="spellEnd"/>
      <w:r w:rsidRPr="00C946CD">
        <w:rPr>
          <w:rFonts w:ascii="Century Gothic" w:hAnsi="Century Gothic"/>
          <w:i/>
          <w:lang w:val="es-ES_tradnl"/>
        </w:rPr>
        <w:t xml:space="preserve"> EQUIPTMOD</w:t>
      </w:r>
      <w:r w:rsidRPr="00C946CD">
        <w:rPr>
          <w:rFonts w:ascii="Century Gothic" w:hAnsi="Century Gothic"/>
          <w:lang w:val="es-ES_tradnl"/>
        </w:rPr>
        <w:t xml:space="preserve">, de la </w:t>
      </w:r>
      <w:proofErr w:type="spellStart"/>
      <w:r w:rsidRPr="00C946CD">
        <w:rPr>
          <w:rFonts w:ascii="Century Gothic" w:hAnsi="Century Gothic"/>
          <w:lang w:val="es-ES_tradnl"/>
        </w:rPr>
        <w:t>Dra</w:t>
      </w:r>
      <w:proofErr w:type="spellEnd"/>
      <w:r w:rsidRPr="00C946CD">
        <w:rPr>
          <w:rFonts w:ascii="Century Gothic" w:hAnsi="Century Gothic"/>
          <w:lang w:val="es-ES_tradnl"/>
        </w:rPr>
        <w:t xml:space="preserve"> Trapero está realizado en 2017. Con los nuevos precios que ha determinado el Ministerio</w:t>
      </w:r>
      <w:r w:rsidRPr="00C946CD">
        <w:rPr>
          <w:rFonts w:ascii="Century Gothic" w:hAnsi="Century Gothic"/>
          <w:b/>
          <w:lang w:val="es-ES_tradnl"/>
        </w:rPr>
        <w:t>, las conclusiones son radicalmente diferentes.</w:t>
      </w:r>
      <w:r w:rsidRPr="00C946CD">
        <w:rPr>
          <w:rFonts w:ascii="Century Gothic" w:hAnsi="Century Gothic"/>
          <w:lang w:val="es-ES_tradnl"/>
        </w:rPr>
        <w:t xml:space="preserve"> De hecho en la CIMP de 30 de octubre se nos adjuntó un nuevo estudio de la </w:t>
      </w:r>
      <w:proofErr w:type="spellStart"/>
      <w:r w:rsidRPr="00C946CD">
        <w:rPr>
          <w:rFonts w:ascii="Century Gothic" w:hAnsi="Century Gothic"/>
          <w:lang w:val="es-ES_tradnl"/>
        </w:rPr>
        <w:t>Dra</w:t>
      </w:r>
      <w:proofErr w:type="spellEnd"/>
      <w:r w:rsidRPr="00C946CD">
        <w:rPr>
          <w:rFonts w:ascii="Century Gothic" w:hAnsi="Century Gothic"/>
          <w:lang w:val="es-ES_tradnl"/>
        </w:rPr>
        <w:t xml:space="preserve"> Trapero, pedido ad-hoc por el Ministerio de Sanidad, en el que con este nuevo escenario de</w:t>
      </w:r>
      <w:r w:rsidR="005A6041" w:rsidRPr="00C946CD">
        <w:rPr>
          <w:rFonts w:ascii="Century Gothic" w:hAnsi="Century Gothic"/>
          <w:lang w:val="es-ES_tradnl"/>
        </w:rPr>
        <w:t xml:space="preserve"> </w:t>
      </w:r>
      <w:r w:rsidRPr="00C946CD">
        <w:rPr>
          <w:rFonts w:ascii="Century Gothic" w:hAnsi="Century Gothic"/>
          <w:lang w:val="es-ES_tradnl"/>
        </w:rPr>
        <w:t xml:space="preserve">precios la opción más costo-efectiva es </w:t>
      </w:r>
      <w:proofErr w:type="spellStart"/>
      <w:r w:rsidRPr="00C946CD">
        <w:rPr>
          <w:rFonts w:ascii="Century Gothic" w:hAnsi="Century Gothic"/>
          <w:lang w:val="es-ES_tradnl"/>
        </w:rPr>
        <w:t>bupropion</w:t>
      </w:r>
      <w:proofErr w:type="spellEnd"/>
      <w:r w:rsidRPr="00C946CD">
        <w:rPr>
          <w:rFonts w:ascii="Century Gothic" w:hAnsi="Century Gothic"/>
          <w:lang w:val="es-ES_tradnl"/>
        </w:rPr>
        <w:t xml:space="preserve">. </w:t>
      </w:r>
    </w:p>
    <w:p w:rsidR="005A6041" w:rsidRPr="00C946CD" w:rsidRDefault="005A6041" w:rsidP="00C946CD">
      <w:pPr>
        <w:spacing w:line="288" w:lineRule="auto"/>
        <w:rPr>
          <w:rFonts w:ascii="Century Gothic" w:hAnsi="Century Gothic"/>
          <w:lang w:val="es-ES_tradnl"/>
        </w:rPr>
      </w:pPr>
      <w:r w:rsidRPr="00C946CD">
        <w:rPr>
          <w:rFonts w:ascii="Century Gothic" w:hAnsi="Century Gothic"/>
          <w:lang w:val="es-ES_tradnl"/>
        </w:rPr>
        <w:t>Nuevos precios venta laboratorio:</w:t>
      </w:r>
    </w:p>
    <w:p w:rsidR="005A6041" w:rsidRPr="00C946CD" w:rsidRDefault="005A6041" w:rsidP="00C946CD">
      <w:pPr>
        <w:spacing w:line="288" w:lineRule="auto"/>
        <w:rPr>
          <w:rFonts w:ascii="Century Gothic" w:hAnsi="Century Gothic"/>
          <w:lang w:val="es-ES_tradnl"/>
        </w:rPr>
      </w:pPr>
    </w:p>
    <w:tbl>
      <w:tblPr>
        <w:tblW w:w="8560" w:type="dxa"/>
        <w:tblInd w:w="55" w:type="dxa"/>
        <w:tblCellMar>
          <w:left w:w="70" w:type="dxa"/>
          <w:right w:w="70" w:type="dxa"/>
        </w:tblCellMar>
        <w:tblLook w:val="04A0" w:firstRow="1" w:lastRow="0" w:firstColumn="1" w:lastColumn="0" w:noHBand="0" w:noVBand="1"/>
      </w:tblPr>
      <w:tblGrid>
        <w:gridCol w:w="6900"/>
        <w:gridCol w:w="1660"/>
      </w:tblGrid>
      <w:tr w:rsidR="005A6041" w:rsidRPr="00FD599E" w:rsidTr="005A6041">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rPr>
                <w:rFonts w:ascii="Arial" w:hAnsi="Arial" w:cs="Arial"/>
                <w:color w:val="000000"/>
                <w:sz w:val="22"/>
                <w:szCs w:val="22"/>
              </w:rPr>
            </w:pPr>
            <w:r w:rsidRPr="00FD599E">
              <w:rPr>
                <w:rFonts w:ascii="Arial" w:hAnsi="Arial" w:cs="Arial"/>
                <w:color w:val="000000"/>
                <w:sz w:val="22"/>
                <w:szCs w:val="22"/>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nuevos PVL</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CHAMPIX 0,5 mg COMPRIMIDOS RECUBIERTOS CON PELICULA, 56 comprimidos</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16"/>
                <w:szCs w:val="16"/>
              </w:rPr>
            </w:pPr>
            <w:r w:rsidRPr="00FD599E">
              <w:rPr>
                <w:rFonts w:ascii="Arial" w:hAnsi="Arial" w:cs="Arial"/>
                <w:color w:val="000000"/>
                <w:sz w:val="16"/>
                <w:szCs w:val="16"/>
              </w:rPr>
              <w:t>67,02</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 xml:space="preserve">CHAMPIX 0,5 mg y 1 mg comprimidos recubiertos con </w:t>
            </w:r>
            <w:r w:rsidR="00E7518B" w:rsidRPr="00FD599E">
              <w:rPr>
                <w:rFonts w:ascii="Arial" w:hAnsi="Arial" w:cs="Arial"/>
                <w:color w:val="000000"/>
                <w:sz w:val="16"/>
                <w:szCs w:val="16"/>
              </w:rPr>
              <w:t>película</w:t>
            </w:r>
            <w:r w:rsidRPr="00FD599E">
              <w:rPr>
                <w:rFonts w:ascii="Arial" w:hAnsi="Arial" w:cs="Arial"/>
                <w:color w:val="000000"/>
                <w:sz w:val="16"/>
                <w:szCs w:val="16"/>
              </w:rPr>
              <w:t xml:space="preserve"> 11x 0,5 mg + 14 x 1 mg + 28 x 1 mg</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16"/>
                <w:szCs w:val="16"/>
              </w:rPr>
            </w:pPr>
            <w:r w:rsidRPr="00FD599E">
              <w:rPr>
                <w:rFonts w:ascii="Arial" w:hAnsi="Arial" w:cs="Arial"/>
                <w:color w:val="000000"/>
                <w:sz w:val="16"/>
                <w:szCs w:val="16"/>
              </w:rPr>
              <w:t>62,05</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 xml:space="preserve">CHAMPIX 1 mg comprimidos recubiertos con </w:t>
            </w:r>
            <w:r w:rsidR="00E7518B" w:rsidRPr="00FD599E">
              <w:rPr>
                <w:rFonts w:ascii="Arial" w:hAnsi="Arial" w:cs="Arial"/>
                <w:color w:val="000000"/>
                <w:sz w:val="16"/>
                <w:szCs w:val="16"/>
              </w:rPr>
              <w:t>película</w:t>
            </w:r>
            <w:r w:rsidRPr="00FD599E">
              <w:rPr>
                <w:rFonts w:ascii="Arial" w:hAnsi="Arial" w:cs="Arial"/>
                <w:color w:val="000000"/>
                <w:sz w:val="16"/>
                <w:szCs w:val="16"/>
              </w:rPr>
              <w:t xml:space="preserve"> 112 comprimidos</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22"/>
                <w:szCs w:val="22"/>
              </w:rPr>
            </w:pPr>
            <w:r w:rsidRPr="00FD599E">
              <w:rPr>
                <w:rFonts w:ascii="Arial" w:hAnsi="Arial" w:cs="Arial"/>
                <w:color w:val="000000"/>
                <w:sz w:val="22"/>
                <w:szCs w:val="22"/>
              </w:rPr>
              <w:t> </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 xml:space="preserve">CHAMPIX 1 mg comprimidos recubiertos con </w:t>
            </w:r>
            <w:r w:rsidR="00E7518B" w:rsidRPr="00FD599E">
              <w:rPr>
                <w:rFonts w:ascii="Arial" w:hAnsi="Arial" w:cs="Arial"/>
                <w:color w:val="000000"/>
                <w:sz w:val="16"/>
                <w:szCs w:val="16"/>
              </w:rPr>
              <w:t>película</w:t>
            </w:r>
            <w:r w:rsidRPr="00FD599E">
              <w:rPr>
                <w:rFonts w:ascii="Arial" w:hAnsi="Arial" w:cs="Arial"/>
                <w:color w:val="000000"/>
                <w:sz w:val="16"/>
                <w:szCs w:val="16"/>
              </w:rPr>
              <w:t xml:space="preserve"> 56 comprimidos</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16"/>
                <w:szCs w:val="16"/>
              </w:rPr>
            </w:pPr>
            <w:r w:rsidRPr="00FD599E">
              <w:rPr>
                <w:rFonts w:ascii="Arial" w:hAnsi="Arial" w:cs="Arial"/>
                <w:color w:val="000000"/>
                <w:sz w:val="16"/>
                <w:szCs w:val="16"/>
              </w:rPr>
              <w:t>64,54</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rPr>
                <w:rFonts w:ascii="Arial" w:hAnsi="Arial" w:cs="Arial"/>
                <w:color w:val="000000"/>
                <w:sz w:val="22"/>
                <w:szCs w:val="22"/>
              </w:rPr>
            </w:pPr>
            <w:r w:rsidRPr="00FD599E">
              <w:rPr>
                <w:rFonts w:ascii="Arial" w:hAnsi="Arial" w:cs="Arial"/>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22"/>
                <w:szCs w:val="22"/>
              </w:rPr>
            </w:pPr>
            <w:r w:rsidRPr="00FD599E">
              <w:rPr>
                <w:rFonts w:ascii="Arial" w:hAnsi="Arial" w:cs="Arial"/>
                <w:color w:val="000000"/>
                <w:sz w:val="22"/>
                <w:szCs w:val="22"/>
              </w:rPr>
              <w:t> </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ZYNTABAC 150 mg COMPRIMIDOS DE LIBERACION PROLONGADA , 30 comprimidos</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16"/>
                <w:szCs w:val="16"/>
              </w:rPr>
            </w:pPr>
            <w:r w:rsidRPr="00FD599E">
              <w:rPr>
                <w:rFonts w:ascii="Arial" w:hAnsi="Arial" w:cs="Arial"/>
                <w:color w:val="000000"/>
                <w:sz w:val="16"/>
                <w:szCs w:val="16"/>
              </w:rPr>
              <w:t>10,41</w:t>
            </w:r>
          </w:p>
        </w:tc>
      </w:tr>
      <w:tr w:rsidR="005A6041" w:rsidRPr="00FD599E" w:rsidTr="005A6041">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5A6041" w:rsidRPr="00FD599E" w:rsidRDefault="005A6041" w:rsidP="00C946CD">
            <w:pPr>
              <w:spacing w:line="288" w:lineRule="auto"/>
              <w:rPr>
                <w:rFonts w:ascii="Arial" w:hAnsi="Arial" w:cs="Arial"/>
                <w:color w:val="000000"/>
                <w:sz w:val="16"/>
                <w:szCs w:val="16"/>
              </w:rPr>
            </w:pPr>
            <w:r w:rsidRPr="00FD599E">
              <w:rPr>
                <w:rFonts w:ascii="Arial" w:hAnsi="Arial" w:cs="Arial"/>
                <w:color w:val="000000"/>
                <w:sz w:val="16"/>
                <w:szCs w:val="16"/>
              </w:rPr>
              <w:t>ZYNTABAC 150 mg COMPRIMIDOS DE LIBERACION PROLONGADA , 60 comprimidos</w:t>
            </w:r>
          </w:p>
        </w:tc>
        <w:tc>
          <w:tcPr>
            <w:tcW w:w="1660" w:type="dxa"/>
            <w:tcBorders>
              <w:top w:val="nil"/>
              <w:left w:val="nil"/>
              <w:bottom w:val="single" w:sz="4" w:space="0" w:color="auto"/>
              <w:right w:val="single" w:sz="4" w:space="0" w:color="auto"/>
            </w:tcBorders>
            <w:shd w:val="clear" w:color="auto" w:fill="auto"/>
            <w:noWrap/>
            <w:vAlign w:val="bottom"/>
            <w:hideMark/>
          </w:tcPr>
          <w:p w:rsidR="005A6041" w:rsidRPr="00FD599E" w:rsidRDefault="005A6041" w:rsidP="00C946CD">
            <w:pPr>
              <w:spacing w:line="288" w:lineRule="auto"/>
              <w:jc w:val="center"/>
              <w:rPr>
                <w:rFonts w:ascii="Arial" w:hAnsi="Arial" w:cs="Arial"/>
                <w:color w:val="000000"/>
                <w:sz w:val="16"/>
                <w:szCs w:val="16"/>
              </w:rPr>
            </w:pPr>
            <w:r w:rsidRPr="00FD599E">
              <w:rPr>
                <w:rFonts w:ascii="Arial" w:hAnsi="Arial" w:cs="Arial"/>
                <w:color w:val="000000"/>
                <w:sz w:val="16"/>
                <w:szCs w:val="16"/>
              </w:rPr>
              <w:t>20,82</w:t>
            </w:r>
          </w:p>
        </w:tc>
      </w:tr>
    </w:tbl>
    <w:p w:rsidR="00E7518B" w:rsidRDefault="00E7518B" w:rsidP="00C946CD">
      <w:pPr>
        <w:spacing w:line="288" w:lineRule="auto"/>
        <w:rPr>
          <w:rFonts w:ascii="Century Gothic" w:hAnsi="Century Gothic"/>
          <w:lang w:val="es-ES_tradnl"/>
        </w:rPr>
      </w:pPr>
    </w:p>
    <w:p w:rsidR="00E7518B" w:rsidRDefault="005A6041" w:rsidP="00C946CD">
      <w:pPr>
        <w:spacing w:line="288" w:lineRule="auto"/>
        <w:jc w:val="both"/>
        <w:rPr>
          <w:rFonts w:ascii="Century Gothic" w:hAnsi="Century Gothic"/>
          <w:lang w:val="es-ES_tradnl"/>
        </w:rPr>
      </w:pPr>
      <w:r w:rsidRPr="00C946CD">
        <w:rPr>
          <w:rFonts w:ascii="Century Gothic" w:hAnsi="Century Gothic"/>
          <w:lang w:val="es-ES_tradnl"/>
        </w:rPr>
        <w:t xml:space="preserve">Además de estas consideraciones económicas, conviene recordar que habrá pacientes que por sus características o contraindicaciones no podrán tomar </w:t>
      </w:r>
      <w:proofErr w:type="spellStart"/>
      <w:r w:rsidRPr="00C946CD">
        <w:rPr>
          <w:rFonts w:ascii="Century Gothic" w:hAnsi="Century Gothic"/>
          <w:lang w:val="es-ES_tradnl"/>
        </w:rPr>
        <w:t>vareniclina</w:t>
      </w:r>
      <w:proofErr w:type="spellEnd"/>
      <w:r w:rsidRPr="00C946CD">
        <w:rPr>
          <w:rFonts w:ascii="Century Gothic" w:hAnsi="Century Gothic"/>
          <w:lang w:val="es-ES_tradnl"/>
        </w:rPr>
        <w:t xml:space="preserve"> y viceversa.</w:t>
      </w:r>
    </w:p>
    <w:p w:rsidR="00E7518B" w:rsidRDefault="005A6041" w:rsidP="00C946CD">
      <w:pPr>
        <w:spacing w:line="288" w:lineRule="auto"/>
        <w:jc w:val="both"/>
        <w:rPr>
          <w:rFonts w:ascii="Century Gothic" w:hAnsi="Century Gothic"/>
          <w:lang w:val="es-ES_tradnl"/>
        </w:rPr>
      </w:pPr>
      <w:r w:rsidRPr="00C946CD">
        <w:rPr>
          <w:rFonts w:ascii="Century Gothic" w:hAnsi="Century Gothic"/>
          <w:lang w:val="es-ES_tradnl"/>
        </w:rPr>
        <w:t>Por otra parte</w:t>
      </w:r>
      <w:r w:rsidR="000E603F" w:rsidRPr="00C946CD">
        <w:rPr>
          <w:rFonts w:ascii="Century Gothic" w:hAnsi="Century Gothic"/>
          <w:lang w:val="es-ES_tradnl"/>
        </w:rPr>
        <w:t>,</w:t>
      </w:r>
      <w:r w:rsidRPr="00C946CD">
        <w:rPr>
          <w:rFonts w:ascii="Century Gothic" w:hAnsi="Century Gothic"/>
          <w:lang w:val="es-ES_tradnl"/>
        </w:rPr>
        <w:t xml:space="preserve"> el estudio presentado, no analiza la otra opción que financia Navarra y que de momento no va a financiar el Ministerio, que son lo</w:t>
      </w:r>
      <w:r w:rsidR="000E7848" w:rsidRPr="00C946CD">
        <w:rPr>
          <w:rFonts w:ascii="Century Gothic" w:hAnsi="Century Gothic"/>
          <w:lang w:val="es-ES_tradnl"/>
        </w:rPr>
        <w:t xml:space="preserve">s parches sustitutivos de nicotina, que en principio presentan muchas menos contraindicaciones y potenciales efectos adversos que el </w:t>
      </w:r>
      <w:proofErr w:type="spellStart"/>
      <w:r w:rsidR="000E7848" w:rsidRPr="00C946CD">
        <w:rPr>
          <w:rFonts w:ascii="Century Gothic" w:hAnsi="Century Gothic"/>
          <w:lang w:val="es-ES_tradnl"/>
        </w:rPr>
        <w:t>bupropion</w:t>
      </w:r>
      <w:proofErr w:type="spellEnd"/>
      <w:r w:rsidR="000E7848" w:rsidRPr="00C946CD">
        <w:rPr>
          <w:rFonts w:ascii="Century Gothic" w:hAnsi="Century Gothic"/>
          <w:lang w:val="es-ES_tradnl"/>
        </w:rPr>
        <w:t xml:space="preserve"> y la </w:t>
      </w:r>
      <w:proofErr w:type="spellStart"/>
      <w:r w:rsidR="000E7848" w:rsidRPr="00C946CD">
        <w:rPr>
          <w:rFonts w:ascii="Century Gothic" w:hAnsi="Century Gothic"/>
          <w:lang w:val="es-ES_tradnl"/>
        </w:rPr>
        <w:t>vareniclina</w:t>
      </w:r>
      <w:proofErr w:type="spellEnd"/>
      <w:r w:rsidR="000E7848" w:rsidRPr="00C946CD">
        <w:rPr>
          <w:rFonts w:ascii="Century Gothic" w:hAnsi="Century Gothic"/>
          <w:lang w:val="es-ES_tradnl"/>
        </w:rPr>
        <w:t xml:space="preserve"> y que la Subdirección de Farmacia concursó entre los diferentes proveedores obteniendo un precio muy competitivo.</w:t>
      </w:r>
    </w:p>
    <w:p w:rsidR="00E7518B" w:rsidRDefault="000E7848" w:rsidP="00C946CD">
      <w:pPr>
        <w:spacing w:line="288" w:lineRule="auto"/>
        <w:jc w:val="both"/>
        <w:rPr>
          <w:rFonts w:ascii="Century Gothic" w:hAnsi="Century Gothic"/>
          <w:lang w:val="es-ES_tradnl"/>
        </w:rPr>
      </w:pPr>
      <w:r w:rsidRPr="00C946CD">
        <w:rPr>
          <w:rFonts w:ascii="Century Gothic" w:hAnsi="Century Gothic"/>
          <w:lang w:val="es-ES_tradnl"/>
        </w:rPr>
        <w:t>En conclusión:</w:t>
      </w:r>
    </w:p>
    <w:p w:rsidR="00E7518B" w:rsidRDefault="000E7848" w:rsidP="00C946CD">
      <w:pPr>
        <w:spacing w:line="288" w:lineRule="auto"/>
        <w:jc w:val="both"/>
        <w:rPr>
          <w:rFonts w:ascii="Century Gothic" w:hAnsi="Century Gothic"/>
          <w:lang w:val="es-ES_tradnl"/>
        </w:rPr>
      </w:pPr>
      <w:r w:rsidRPr="00C946CD">
        <w:rPr>
          <w:rFonts w:ascii="Century Gothic" w:hAnsi="Century Gothic"/>
          <w:lang w:val="es-ES_tradnl"/>
        </w:rPr>
        <w:t xml:space="preserve">El Departamento de Salud no se plantea modificar su estrategia de financiación de los medicamentos para la deshabituación tabáquica. A partir de enero, cuando estos medicamentos entren en la prestación farmacéutica tendrán una importante bajada de precio con respecto al actual, por lo que el programa de deshabituación tabáquica nos será </w:t>
      </w:r>
      <w:r w:rsidRPr="00C946CD">
        <w:rPr>
          <w:rFonts w:ascii="Century Gothic" w:hAnsi="Century Gothic"/>
          <w:lang w:val="es-ES_tradnl"/>
        </w:rPr>
        <w:lastRenderedPageBreak/>
        <w:t>mucho más económico que en la actualidad y va a continuar financiando todas las opciones de tratamiento.</w:t>
      </w:r>
    </w:p>
    <w:p w:rsidR="00E7518B" w:rsidRDefault="00C946CD" w:rsidP="00C946CD">
      <w:pPr>
        <w:tabs>
          <w:tab w:val="left" w:pos="720"/>
        </w:tabs>
        <w:spacing w:line="288" w:lineRule="auto"/>
        <w:jc w:val="both"/>
        <w:rPr>
          <w:rFonts w:ascii="Century Gothic" w:hAnsi="Century Gothic"/>
        </w:rPr>
      </w:pPr>
      <w:r w:rsidRPr="00C946CD">
        <w:rPr>
          <w:rFonts w:ascii="Century Gothic" w:hAnsi="Century Gothic"/>
        </w:rPr>
        <w:t>Es cuanto tengo el honor de informar en cumplimiento de lo dispuesto en el artículo 194 del Reglamento del Parlamento de Navarra.</w:t>
      </w:r>
    </w:p>
    <w:p w:rsidR="00E7518B" w:rsidRDefault="00FD599E" w:rsidP="00C946CD">
      <w:pPr>
        <w:tabs>
          <w:tab w:val="left" w:pos="3780"/>
        </w:tabs>
        <w:spacing w:line="288" w:lineRule="auto"/>
        <w:jc w:val="center"/>
        <w:rPr>
          <w:rFonts w:ascii="Century Gothic" w:hAnsi="Century Gothic"/>
        </w:rPr>
      </w:pPr>
      <w:r>
        <w:rPr>
          <w:rFonts w:ascii="Century Gothic" w:hAnsi="Century Gothic"/>
        </w:rPr>
        <w:t xml:space="preserve">Pamplona, </w:t>
      </w:r>
      <w:bookmarkStart w:id="0" w:name="_GoBack"/>
      <w:bookmarkEnd w:id="0"/>
      <w:r w:rsidR="00C946CD" w:rsidRPr="00C946CD">
        <w:rPr>
          <w:rFonts w:ascii="Century Gothic" w:hAnsi="Century Gothic"/>
        </w:rPr>
        <w:t xml:space="preserve">12 de </w:t>
      </w:r>
      <w:r w:rsidRPr="00C946CD">
        <w:rPr>
          <w:rFonts w:ascii="Century Gothic" w:hAnsi="Century Gothic"/>
        </w:rPr>
        <w:t xml:space="preserve">noviembre </w:t>
      </w:r>
      <w:r w:rsidR="00C946CD" w:rsidRPr="00C946CD">
        <w:rPr>
          <w:rFonts w:ascii="Century Gothic" w:hAnsi="Century Gothic"/>
        </w:rPr>
        <w:t>de 2019</w:t>
      </w:r>
    </w:p>
    <w:p w:rsidR="00E7518B" w:rsidRPr="00E7518B" w:rsidRDefault="00E7518B" w:rsidP="00E7518B">
      <w:pPr>
        <w:spacing w:line="288" w:lineRule="auto"/>
        <w:ind w:left="567" w:right="567"/>
        <w:jc w:val="center"/>
        <w:outlineLvl w:val="0"/>
        <w:rPr>
          <w:rFonts w:ascii="Century Gothic" w:hAnsi="Century Gothic"/>
        </w:rPr>
      </w:pPr>
      <w:r w:rsidRPr="00C946CD">
        <w:rPr>
          <w:rFonts w:ascii="Century Gothic" w:hAnsi="Century Gothic"/>
        </w:rPr>
        <w:t>La Consejera de Salud</w:t>
      </w:r>
      <w:r>
        <w:rPr>
          <w:rFonts w:ascii="Century Gothic" w:hAnsi="Century Gothic"/>
        </w:rPr>
        <w:t xml:space="preserve">: </w:t>
      </w:r>
      <w:r w:rsidR="00C946CD" w:rsidRPr="00C946CD">
        <w:rPr>
          <w:rFonts w:ascii="Century Gothic" w:hAnsi="Century Gothic"/>
          <w:lang w:val="pt-BR"/>
        </w:rPr>
        <w:t xml:space="preserve">Santos </w:t>
      </w:r>
      <w:r>
        <w:rPr>
          <w:rFonts w:ascii="Century Gothic" w:hAnsi="Century Gothic"/>
        </w:rPr>
        <w:t xml:space="preserve">Induráin </w:t>
      </w:r>
      <w:proofErr w:type="spellStart"/>
      <w:r w:rsidR="00C946CD" w:rsidRPr="00C946CD">
        <w:rPr>
          <w:rFonts w:ascii="Century Gothic" w:hAnsi="Century Gothic"/>
          <w:lang w:val="pt-BR"/>
        </w:rPr>
        <w:t>Orduna</w:t>
      </w:r>
      <w:proofErr w:type="spellEnd"/>
    </w:p>
    <w:p w:rsidR="00C946CD" w:rsidRPr="00C946CD" w:rsidRDefault="00C946CD" w:rsidP="00C946CD">
      <w:pPr>
        <w:spacing w:line="288" w:lineRule="auto"/>
        <w:rPr>
          <w:rFonts w:ascii="Century Gothic" w:hAnsi="Century Gothic"/>
          <w:lang w:val="es-ES_tradnl"/>
        </w:rPr>
      </w:pPr>
    </w:p>
    <w:sectPr w:rsidR="00C946CD" w:rsidRPr="00C946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E9"/>
    <w:rsid w:val="000E603F"/>
    <w:rsid w:val="000E7848"/>
    <w:rsid w:val="0012397A"/>
    <w:rsid w:val="003B5F30"/>
    <w:rsid w:val="005A6041"/>
    <w:rsid w:val="00662BE9"/>
    <w:rsid w:val="00827493"/>
    <w:rsid w:val="00905728"/>
    <w:rsid w:val="00A61EEA"/>
    <w:rsid w:val="00C55606"/>
    <w:rsid w:val="00C946CD"/>
    <w:rsid w:val="00DB4445"/>
    <w:rsid w:val="00E7518B"/>
    <w:rsid w:val="00EA44A4"/>
    <w:rsid w:val="00F63F60"/>
    <w:rsid w:val="00FD59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946CD"/>
    <w:rPr>
      <w:rFonts w:ascii="Tahoma" w:hAnsi="Tahoma" w:cs="Tahoma"/>
      <w:sz w:val="16"/>
      <w:szCs w:val="16"/>
    </w:rPr>
  </w:style>
  <w:style w:type="character" w:customStyle="1" w:styleId="TextodegloboCar">
    <w:name w:val="Texto de globo Car"/>
    <w:basedOn w:val="Fuentedeprrafopredeter"/>
    <w:link w:val="Textodeglobo"/>
    <w:rsid w:val="00C946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C946CD"/>
    <w:rPr>
      <w:rFonts w:ascii="Tahoma" w:hAnsi="Tahoma" w:cs="Tahoma"/>
      <w:sz w:val="16"/>
      <w:szCs w:val="16"/>
    </w:rPr>
  </w:style>
  <w:style w:type="character" w:customStyle="1" w:styleId="TextodegloboCar">
    <w:name w:val="Texto de globo Car"/>
    <w:basedOn w:val="Fuentedeprrafopredeter"/>
    <w:link w:val="Textodeglobo"/>
    <w:rsid w:val="00C946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López Andrés, Antonio (Subdirector de Farmacia)</dc:creator>
  <cp:lastModifiedBy>Aranaz, Carlota</cp:lastModifiedBy>
  <cp:revision>5</cp:revision>
  <cp:lastPrinted>2019-11-12T12:50:00Z</cp:lastPrinted>
  <dcterms:created xsi:type="dcterms:W3CDTF">2019-11-12T12:51:00Z</dcterms:created>
  <dcterms:modified xsi:type="dcterms:W3CDTF">2020-01-24T13:22:00Z</dcterms:modified>
</cp:coreProperties>
</file>