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F14" w:rsidRDefault="00774081" w:rsidP="00774081">
      <w:pPr>
        <w:spacing w:before="240" w:line="360" w:lineRule="auto"/>
        <w:ind w:firstLine="709"/>
        <w:jc w:val="both"/>
        <w:rPr>
          <w:rFonts w:ascii="Arial" w:hAnsi="Arial" w:cs="Arial"/>
          <w:bCs/>
        </w:rPr>
      </w:pPr>
      <w:bookmarkStart w:id="0" w:name="_GoBack"/>
      <w:bookmarkEnd w:id="0"/>
      <w:r w:rsidRPr="002078F3">
        <w:rPr>
          <w:rFonts w:ascii="Arial" w:hAnsi="Arial" w:cs="Arial"/>
          <w:bCs/>
        </w:rPr>
        <w:t xml:space="preserve">La Consejera de </w:t>
      </w:r>
      <w:r w:rsidR="006E7F14" w:rsidRPr="002078F3">
        <w:rPr>
          <w:rFonts w:ascii="Arial" w:hAnsi="Arial" w:cs="Arial"/>
          <w:bCs/>
        </w:rPr>
        <w:t>Economía</w:t>
      </w:r>
      <w:r w:rsidRPr="002078F3">
        <w:rPr>
          <w:rFonts w:ascii="Arial" w:hAnsi="Arial" w:cs="Arial"/>
          <w:bCs/>
        </w:rPr>
        <w:t xml:space="preserve"> y Hacienda del Gobierno de Navarra, en relación a la pregunta para su respuesta por escrito, presentada por </w:t>
      </w:r>
      <w:proofErr w:type="spellStart"/>
      <w:r w:rsidRPr="002078F3">
        <w:rPr>
          <w:rFonts w:ascii="Arial" w:hAnsi="Arial" w:cs="Arial"/>
        </w:rPr>
        <w:t>Dña</w:t>
      </w:r>
      <w:proofErr w:type="spellEnd"/>
      <w:r w:rsidRPr="002078F3">
        <w:rPr>
          <w:rFonts w:ascii="Arial" w:hAnsi="Arial" w:cs="Arial"/>
        </w:rPr>
        <w:t xml:space="preserve"> María Jesús </w:t>
      </w:r>
      <w:proofErr w:type="spellStart"/>
      <w:r w:rsidRPr="002078F3">
        <w:rPr>
          <w:rFonts w:ascii="Arial" w:hAnsi="Arial" w:cs="Arial"/>
        </w:rPr>
        <w:t>Valdemoros</w:t>
      </w:r>
      <w:proofErr w:type="spellEnd"/>
      <w:r w:rsidRPr="002078F3">
        <w:rPr>
          <w:rFonts w:ascii="Arial" w:hAnsi="Arial" w:cs="Arial"/>
        </w:rPr>
        <w:t xml:space="preserve"> Erro, parlamentaria foral del Grupo parlamentario Navarra Suma, </w:t>
      </w:r>
      <w:r w:rsidRPr="002078F3">
        <w:rPr>
          <w:rFonts w:ascii="Arial" w:hAnsi="Arial" w:cs="Arial"/>
          <w:bCs/>
        </w:rPr>
        <w:t>registrada con el número entrada 2359, de fecha 16 de octubre de 2019, 10-19/PES-00126, relativa a la intención del Gobierno de Navarra de realizar nuevas previsiones de crecimiento económico para Navarra para el año 2020, tiene el honor de informarle lo siguiente:</w:t>
      </w:r>
    </w:p>
    <w:p w:rsidR="006E7F14" w:rsidRDefault="00774081" w:rsidP="00774081">
      <w:pPr>
        <w:spacing w:line="360" w:lineRule="auto"/>
        <w:jc w:val="both"/>
        <w:rPr>
          <w:rFonts w:ascii="Arial" w:hAnsi="Arial" w:cs="Arial"/>
          <w:lang w:val="es-ES_tradnl"/>
        </w:rPr>
      </w:pPr>
      <w:r w:rsidRPr="002078F3">
        <w:rPr>
          <w:rFonts w:ascii="Arial" w:hAnsi="Arial" w:cs="Arial"/>
          <w:lang w:val="es-ES_tradnl"/>
        </w:rPr>
        <w:t xml:space="preserve">Pese a las incertidumbres existentes en el ámbito internacional que han llevado a muchos organismos a rebajar las expectativas de crecimiento nacional de 2019 y 2020 en varias décimas, no hay, por el momento, razones objetivas que justifiquen una revisión de las previsiones económicas que maneja el Ejecutivo navarro. </w:t>
      </w:r>
    </w:p>
    <w:p w:rsidR="006E7F14" w:rsidRDefault="00774081" w:rsidP="00774081">
      <w:pPr>
        <w:spacing w:line="360" w:lineRule="auto"/>
        <w:jc w:val="both"/>
        <w:rPr>
          <w:rFonts w:ascii="Arial" w:hAnsi="Arial" w:cs="Arial"/>
          <w:lang w:val="es-ES_tradnl"/>
        </w:rPr>
      </w:pPr>
      <w:r w:rsidRPr="002078F3">
        <w:rPr>
          <w:rFonts w:ascii="Arial" w:hAnsi="Arial" w:cs="Arial"/>
          <w:lang w:val="es-ES_tradnl"/>
        </w:rPr>
        <w:t>Esta justificación se asienta sobre tres argumentos principales que pasamos a desarrollar a continuación:</w:t>
      </w:r>
    </w:p>
    <w:p w:rsidR="006E7F14" w:rsidRDefault="00774081" w:rsidP="00774081">
      <w:pPr>
        <w:numPr>
          <w:ilvl w:val="0"/>
          <w:numId w:val="3"/>
        </w:numPr>
        <w:spacing w:line="360" w:lineRule="auto"/>
        <w:ind w:left="0" w:firstLine="0"/>
        <w:jc w:val="both"/>
        <w:rPr>
          <w:rFonts w:ascii="Arial" w:hAnsi="Arial" w:cs="Arial"/>
          <w:lang w:val="es-ES_tradnl"/>
        </w:rPr>
      </w:pPr>
      <w:r w:rsidRPr="002078F3">
        <w:rPr>
          <w:rFonts w:ascii="Arial" w:hAnsi="Arial" w:cs="Arial"/>
          <w:lang w:val="es-ES_tradnl"/>
        </w:rPr>
        <w:t>El primero es que la revisión estadística del Instituto Nacional Estadística del mes de septiembre de las series de la Contabilidad Nacional ha desencadenado la rebaja en las proyecciones económicas de España de 2019; circunstancia que no afecta las relativas a Navarra que son estimadas por su Instituto de Estadística de Navarra, NASTAT.</w:t>
      </w:r>
    </w:p>
    <w:p w:rsidR="006E7F14" w:rsidRDefault="00774081" w:rsidP="00774081">
      <w:pPr>
        <w:spacing w:line="360" w:lineRule="auto"/>
        <w:jc w:val="both"/>
        <w:rPr>
          <w:rFonts w:ascii="Arial" w:hAnsi="Arial" w:cs="Arial"/>
          <w:lang w:val="es-ES_tradnl"/>
        </w:rPr>
      </w:pPr>
      <w:r w:rsidRPr="002078F3">
        <w:rPr>
          <w:rFonts w:ascii="Arial" w:hAnsi="Arial" w:cs="Arial"/>
          <w:lang w:val="es-ES_tradnl"/>
        </w:rPr>
        <w:t>La necesidad de que las cuentas nacionales proporcionen una medición adecuada de la economía provoca que sea deseable una actualización periódica de las fuentes estadísticas y métodos de estimación empleados para su compilación. Para atender a esta necesidad el INE ha comenzado a difundir series revisadas de todas las operaciones de cuentas nacionales y regionales de cuya estimación es responsable, iniciándose por la Contabilidad Nacional Anual de España. Como consecuencia de esta tarea, y a lo que aquí interesa, el INE revisó a la baja el dato del crecimiento del PIB español de los últimos tres años.</w:t>
      </w:r>
    </w:p>
    <w:p w:rsidR="006E7F14" w:rsidRDefault="00774081" w:rsidP="00774081">
      <w:pPr>
        <w:spacing w:line="360" w:lineRule="auto"/>
        <w:jc w:val="both"/>
        <w:rPr>
          <w:rFonts w:ascii="Arial" w:hAnsi="Arial" w:cs="Arial"/>
          <w:lang w:val="es-ES_tradnl"/>
        </w:rPr>
      </w:pPr>
      <w:r w:rsidRPr="002078F3">
        <w:rPr>
          <w:rFonts w:ascii="Arial" w:hAnsi="Arial" w:cs="Arial"/>
          <w:lang w:val="es-ES_tradnl"/>
        </w:rPr>
        <w:t>Uno de los primeros en ajustarse a esta revisión fue el Banco de España, quien el mismo mes de septiembre actualizó sus proyecciones macroeconómicas respecto a las emitidas en junio y, como así consta en la nota emitida, atribuye la mitad del recorte en la previsión de 2019 a estas causas estadísticas: “</w:t>
      </w:r>
      <w:r w:rsidRPr="002078F3">
        <w:rPr>
          <w:rFonts w:ascii="Arial" w:hAnsi="Arial" w:cs="Arial"/>
          <w:i/>
          <w:lang w:val="es-ES_tradnl"/>
        </w:rPr>
        <w:t xml:space="preserve">la proyección de crecimiento del PIB en 2019 se ha revisado a la baja en cuatro décimas, con contribuciones aproximadamente de igual magnitud de la revisión de datos de Contabilidad Nacional y de la evolución económica menos favorable desde la pasada primavera y sus efectos sobre las perspectivas de corto plazo”. </w:t>
      </w:r>
    </w:p>
    <w:p w:rsidR="006E7F14" w:rsidRDefault="00774081" w:rsidP="00774081">
      <w:pPr>
        <w:spacing w:line="360" w:lineRule="auto"/>
        <w:jc w:val="both"/>
        <w:rPr>
          <w:rFonts w:ascii="Arial" w:hAnsi="Arial" w:cs="Arial"/>
          <w:lang w:val="es-ES_tradnl"/>
        </w:rPr>
      </w:pPr>
      <w:r w:rsidRPr="002078F3">
        <w:rPr>
          <w:rFonts w:ascii="Arial" w:hAnsi="Arial" w:cs="Arial"/>
          <w:lang w:val="es-ES_tradnl"/>
        </w:rPr>
        <w:lastRenderedPageBreak/>
        <w:t>Del mismo modo, el servicio de estudios de BBVA también redujo su pronóstico para la economía española en cuatro décimas para este año, del 2,3% al 1,9%, reconociendo que el grueso del recorte debía atribuirse a la revisión a la baja de la Contabilidad Nacional por parte del INE.</w:t>
      </w:r>
    </w:p>
    <w:p w:rsidR="006E7F14" w:rsidRDefault="00774081" w:rsidP="00774081">
      <w:pPr>
        <w:spacing w:line="360" w:lineRule="auto"/>
        <w:jc w:val="both"/>
        <w:rPr>
          <w:rFonts w:ascii="Arial" w:hAnsi="Arial" w:cs="Arial"/>
          <w:lang w:val="es-ES_tradnl"/>
        </w:rPr>
      </w:pPr>
      <w:r w:rsidRPr="002078F3">
        <w:rPr>
          <w:rFonts w:ascii="Arial" w:hAnsi="Arial" w:cs="Arial"/>
          <w:lang w:val="es-ES_tradnl"/>
        </w:rPr>
        <w:t>La pregunta pone el foco en la previsión de 2020 cuando la reducción en la tasa de crecimiento prevista de 2019 para la economía española ha sido igual de importante, o en algunos casos más, que la de 2020. Además de los casos de BBVA y Banco de España citados, otros organismos redujeron sus proyecciones económicas para España a la vuelta del verano. En la tabla 1 se comparan las previsiones que diferentes instituciones de reconocido prestigio tenían del crecimiento español “antes” y “después” del verano, y de las cifras se deduce que la rebaja en las proyecciones de crecimiento ha sido de una intensidad similar tanto en 2019 como en 2020.</w:t>
      </w:r>
    </w:p>
    <w:p w:rsidR="00774081" w:rsidRPr="006E7F14" w:rsidRDefault="00774081" w:rsidP="00774081">
      <w:pPr>
        <w:spacing w:line="360" w:lineRule="auto"/>
        <w:jc w:val="center"/>
        <w:rPr>
          <w:rFonts w:ascii="Arial" w:hAnsi="Arial" w:cs="Arial"/>
          <w:sz w:val="18"/>
          <w:szCs w:val="18"/>
          <w:lang w:val="es-ES_tradnl"/>
        </w:rPr>
      </w:pPr>
      <w:r w:rsidRPr="006E7F14">
        <w:rPr>
          <w:rFonts w:ascii="Arial" w:hAnsi="Arial" w:cs="Arial"/>
          <w:sz w:val="18"/>
          <w:szCs w:val="18"/>
          <w:lang w:val="es-ES_tradnl"/>
        </w:rPr>
        <w:t>Tabla 1. Previsiones de crecimiento para España 2019 y 2020</w:t>
      </w:r>
    </w:p>
    <w:tbl>
      <w:tblPr>
        <w:tblW w:w="8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903"/>
        <w:gridCol w:w="969"/>
        <w:gridCol w:w="1307"/>
        <w:gridCol w:w="903"/>
        <w:gridCol w:w="969"/>
        <w:gridCol w:w="1307"/>
      </w:tblGrid>
      <w:tr w:rsidR="00774081" w:rsidRPr="006E7F14" w:rsidTr="00F14771">
        <w:trPr>
          <w:jc w:val="center"/>
        </w:trPr>
        <w:tc>
          <w:tcPr>
            <w:tcW w:w="2076" w:type="dxa"/>
            <w:shd w:val="clear" w:color="auto" w:fill="auto"/>
            <w:vAlign w:val="center"/>
          </w:tcPr>
          <w:p w:rsidR="00774081" w:rsidRPr="006E7F14" w:rsidRDefault="00774081" w:rsidP="00F14771">
            <w:pPr>
              <w:jc w:val="both"/>
              <w:rPr>
                <w:rFonts w:ascii="Arial" w:hAnsi="Arial" w:cs="Arial"/>
                <w:sz w:val="18"/>
                <w:szCs w:val="18"/>
                <w:lang w:val="es-ES_tradnl"/>
              </w:rPr>
            </w:pPr>
            <w:r w:rsidRPr="006E7F14">
              <w:rPr>
                <w:rFonts w:ascii="Arial" w:hAnsi="Arial" w:cs="Arial"/>
                <w:sz w:val="18"/>
                <w:szCs w:val="18"/>
                <w:lang w:val="es-ES_tradnl"/>
              </w:rPr>
              <w:t>Institución</w:t>
            </w:r>
          </w:p>
        </w:tc>
        <w:tc>
          <w:tcPr>
            <w:tcW w:w="969" w:type="dxa"/>
            <w:shd w:val="clear" w:color="auto" w:fill="auto"/>
            <w:vAlign w:val="center"/>
          </w:tcPr>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 xml:space="preserve">2019 </w:t>
            </w:r>
          </w:p>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antes</w:t>
            </w:r>
          </w:p>
        </w:tc>
        <w:tc>
          <w:tcPr>
            <w:tcW w:w="997" w:type="dxa"/>
            <w:shd w:val="clear" w:color="auto" w:fill="auto"/>
            <w:vAlign w:val="center"/>
          </w:tcPr>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 xml:space="preserve">2019 </w:t>
            </w:r>
          </w:p>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después</w:t>
            </w:r>
          </w:p>
        </w:tc>
        <w:tc>
          <w:tcPr>
            <w:tcW w:w="1067" w:type="dxa"/>
            <w:shd w:val="clear" w:color="auto" w:fill="auto"/>
            <w:vAlign w:val="center"/>
          </w:tcPr>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 xml:space="preserve">Variación </w:t>
            </w:r>
          </w:p>
          <w:p w:rsidR="00774081" w:rsidRPr="006E7F14" w:rsidRDefault="00774081" w:rsidP="00F14771">
            <w:pPr>
              <w:spacing w:before="60"/>
              <w:jc w:val="center"/>
              <w:rPr>
                <w:rFonts w:ascii="Arial" w:hAnsi="Arial" w:cs="Arial"/>
                <w:sz w:val="18"/>
                <w:szCs w:val="18"/>
                <w:lang w:val="es-ES_tradnl"/>
              </w:rPr>
            </w:pPr>
            <w:r w:rsidRPr="006E7F14">
              <w:rPr>
                <w:rFonts w:ascii="Arial" w:hAnsi="Arial" w:cs="Arial"/>
                <w:sz w:val="18"/>
                <w:szCs w:val="18"/>
                <w:lang w:val="es-ES_tradnl"/>
              </w:rPr>
              <w:t>(en puntos porcentuales)</w:t>
            </w:r>
          </w:p>
        </w:tc>
        <w:tc>
          <w:tcPr>
            <w:tcW w:w="969" w:type="dxa"/>
            <w:shd w:val="clear" w:color="auto" w:fill="auto"/>
            <w:vAlign w:val="center"/>
          </w:tcPr>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 xml:space="preserve">2020 </w:t>
            </w:r>
          </w:p>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antes</w:t>
            </w:r>
          </w:p>
        </w:tc>
        <w:tc>
          <w:tcPr>
            <w:tcW w:w="997" w:type="dxa"/>
            <w:shd w:val="clear" w:color="auto" w:fill="auto"/>
            <w:vAlign w:val="center"/>
          </w:tcPr>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 xml:space="preserve">2020 </w:t>
            </w:r>
          </w:p>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después</w:t>
            </w:r>
          </w:p>
        </w:tc>
        <w:tc>
          <w:tcPr>
            <w:tcW w:w="1067" w:type="dxa"/>
            <w:shd w:val="clear" w:color="auto" w:fill="auto"/>
            <w:vAlign w:val="center"/>
          </w:tcPr>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 xml:space="preserve">Variación </w:t>
            </w:r>
          </w:p>
          <w:p w:rsidR="00774081" w:rsidRPr="006E7F14" w:rsidRDefault="00774081" w:rsidP="00F14771">
            <w:pPr>
              <w:spacing w:before="60"/>
              <w:jc w:val="center"/>
              <w:rPr>
                <w:rFonts w:ascii="Arial" w:hAnsi="Arial" w:cs="Arial"/>
                <w:sz w:val="18"/>
                <w:szCs w:val="18"/>
                <w:lang w:val="es-ES_tradnl"/>
              </w:rPr>
            </w:pPr>
            <w:r w:rsidRPr="006E7F14">
              <w:rPr>
                <w:rFonts w:ascii="Arial" w:hAnsi="Arial" w:cs="Arial"/>
                <w:sz w:val="18"/>
                <w:szCs w:val="18"/>
                <w:lang w:val="es-ES_tradnl"/>
              </w:rPr>
              <w:t>(en puntos porcentuales)</w:t>
            </w:r>
          </w:p>
        </w:tc>
      </w:tr>
      <w:tr w:rsidR="00774081" w:rsidRPr="006E7F14" w:rsidTr="00F14771">
        <w:trPr>
          <w:trHeight w:val="227"/>
          <w:jc w:val="center"/>
        </w:trPr>
        <w:tc>
          <w:tcPr>
            <w:tcW w:w="2076" w:type="dxa"/>
            <w:shd w:val="clear" w:color="auto" w:fill="auto"/>
            <w:vAlign w:val="bottom"/>
          </w:tcPr>
          <w:p w:rsidR="00774081" w:rsidRPr="006E7F14" w:rsidRDefault="00774081" w:rsidP="00F14771">
            <w:pPr>
              <w:jc w:val="both"/>
              <w:rPr>
                <w:rFonts w:ascii="Arial" w:hAnsi="Arial" w:cs="Arial"/>
                <w:sz w:val="18"/>
                <w:szCs w:val="18"/>
                <w:lang w:val="es-ES_tradnl"/>
              </w:rPr>
            </w:pPr>
            <w:r w:rsidRPr="006E7F14">
              <w:rPr>
                <w:rFonts w:ascii="Arial" w:hAnsi="Arial" w:cs="Arial"/>
                <w:sz w:val="18"/>
                <w:szCs w:val="18"/>
                <w:lang w:val="es-ES_tradnl"/>
              </w:rPr>
              <w:t>Banco de España</w:t>
            </w:r>
          </w:p>
        </w:tc>
        <w:tc>
          <w:tcPr>
            <w:tcW w:w="969" w:type="dxa"/>
            <w:shd w:val="clear" w:color="auto" w:fill="auto"/>
            <w:vAlign w:val="bottom"/>
          </w:tcPr>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+2,4%</w:t>
            </w:r>
          </w:p>
        </w:tc>
        <w:tc>
          <w:tcPr>
            <w:tcW w:w="997" w:type="dxa"/>
            <w:shd w:val="clear" w:color="auto" w:fill="auto"/>
            <w:vAlign w:val="bottom"/>
          </w:tcPr>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+2,0%</w:t>
            </w:r>
          </w:p>
        </w:tc>
        <w:tc>
          <w:tcPr>
            <w:tcW w:w="1067" w:type="dxa"/>
            <w:shd w:val="clear" w:color="auto" w:fill="auto"/>
            <w:vAlign w:val="bottom"/>
          </w:tcPr>
          <w:p w:rsidR="00774081" w:rsidRPr="006E7F14" w:rsidRDefault="00774081" w:rsidP="00F14771">
            <w:pPr>
              <w:jc w:val="center"/>
              <w:rPr>
                <w:rFonts w:ascii="Arial" w:hAnsi="Arial" w:cs="Arial"/>
                <w:color w:val="FF0000"/>
                <w:sz w:val="18"/>
                <w:szCs w:val="18"/>
                <w:lang w:val="es-ES_tradnl"/>
              </w:rPr>
            </w:pPr>
            <w:r w:rsidRPr="006E7F14">
              <w:rPr>
                <w:rFonts w:ascii="Arial" w:hAnsi="Arial" w:cs="Arial"/>
                <w:color w:val="FF0000"/>
                <w:sz w:val="18"/>
                <w:szCs w:val="18"/>
                <w:lang w:val="es-ES_tradnl"/>
              </w:rPr>
              <w:t>-0,4</w:t>
            </w:r>
          </w:p>
        </w:tc>
        <w:tc>
          <w:tcPr>
            <w:tcW w:w="969" w:type="dxa"/>
            <w:shd w:val="clear" w:color="auto" w:fill="auto"/>
            <w:vAlign w:val="bottom"/>
          </w:tcPr>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+1,9%</w:t>
            </w:r>
          </w:p>
        </w:tc>
        <w:tc>
          <w:tcPr>
            <w:tcW w:w="997" w:type="dxa"/>
            <w:shd w:val="clear" w:color="auto" w:fill="auto"/>
            <w:vAlign w:val="bottom"/>
          </w:tcPr>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+1,7%</w:t>
            </w:r>
          </w:p>
        </w:tc>
        <w:tc>
          <w:tcPr>
            <w:tcW w:w="1067" w:type="dxa"/>
            <w:shd w:val="clear" w:color="auto" w:fill="auto"/>
            <w:vAlign w:val="bottom"/>
          </w:tcPr>
          <w:p w:rsidR="00774081" w:rsidRPr="006E7F14" w:rsidRDefault="00774081" w:rsidP="00F14771">
            <w:pPr>
              <w:jc w:val="center"/>
              <w:rPr>
                <w:rFonts w:ascii="Arial" w:hAnsi="Arial" w:cs="Arial"/>
                <w:color w:val="FF0000"/>
                <w:sz w:val="18"/>
                <w:szCs w:val="18"/>
                <w:lang w:val="es-ES_tradnl"/>
              </w:rPr>
            </w:pPr>
            <w:r w:rsidRPr="006E7F14">
              <w:rPr>
                <w:rFonts w:ascii="Arial" w:hAnsi="Arial" w:cs="Arial"/>
                <w:color w:val="FF0000"/>
                <w:sz w:val="18"/>
                <w:szCs w:val="18"/>
                <w:lang w:val="es-ES_tradnl"/>
              </w:rPr>
              <w:t>-0,2</w:t>
            </w:r>
          </w:p>
        </w:tc>
      </w:tr>
      <w:tr w:rsidR="00774081" w:rsidRPr="006E7F14" w:rsidTr="00F14771">
        <w:trPr>
          <w:trHeight w:val="227"/>
          <w:jc w:val="center"/>
        </w:trPr>
        <w:tc>
          <w:tcPr>
            <w:tcW w:w="2076" w:type="dxa"/>
            <w:shd w:val="clear" w:color="auto" w:fill="auto"/>
            <w:vAlign w:val="bottom"/>
          </w:tcPr>
          <w:p w:rsidR="00774081" w:rsidRPr="006E7F14" w:rsidRDefault="00774081" w:rsidP="00F14771">
            <w:pPr>
              <w:jc w:val="both"/>
              <w:rPr>
                <w:rFonts w:ascii="Arial" w:hAnsi="Arial" w:cs="Arial"/>
                <w:sz w:val="18"/>
                <w:szCs w:val="18"/>
                <w:lang w:val="es-ES_tradnl"/>
              </w:rPr>
            </w:pPr>
            <w:r w:rsidRPr="006E7F14">
              <w:rPr>
                <w:rFonts w:ascii="Arial" w:hAnsi="Arial" w:cs="Arial"/>
                <w:sz w:val="18"/>
                <w:szCs w:val="18"/>
                <w:lang w:val="es-ES_tradnl"/>
              </w:rPr>
              <w:t>FUNCAS</w:t>
            </w:r>
          </w:p>
        </w:tc>
        <w:tc>
          <w:tcPr>
            <w:tcW w:w="969" w:type="dxa"/>
            <w:shd w:val="clear" w:color="auto" w:fill="auto"/>
            <w:vAlign w:val="bottom"/>
          </w:tcPr>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+2,2%</w:t>
            </w:r>
          </w:p>
        </w:tc>
        <w:tc>
          <w:tcPr>
            <w:tcW w:w="997" w:type="dxa"/>
            <w:shd w:val="clear" w:color="auto" w:fill="auto"/>
            <w:vAlign w:val="bottom"/>
          </w:tcPr>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+1,9%</w:t>
            </w:r>
          </w:p>
        </w:tc>
        <w:tc>
          <w:tcPr>
            <w:tcW w:w="1067" w:type="dxa"/>
            <w:shd w:val="clear" w:color="auto" w:fill="auto"/>
            <w:vAlign w:val="bottom"/>
          </w:tcPr>
          <w:p w:rsidR="00774081" w:rsidRPr="006E7F14" w:rsidRDefault="00774081" w:rsidP="00F14771">
            <w:pPr>
              <w:jc w:val="center"/>
              <w:rPr>
                <w:rFonts w:ascii="Arial" w:hAnsi="Arial" w:cs="Arial"/>
                <w:color w:val="FF0000"/>
                <w:sz w:val="18"/>
                <w:szCs w:val="18"/>
                <w:lang w:val="es-ES_tradnl"/>
              </w:rPr>
            </w:pPr>
            <w:r w:rsidRPr="006E7F14">
              <w:rPr>
                <w:rFonts w:ascii="Arial" w:hAnsi="Arial" w:cs="Arial"/>
                <w:color w:val="FF0000"/>
                <w:sz w:val="18"/>
                <w:szCs w:val="18"/>
                <w:lang w:val="es-ES_tradnl"/>
              </w:rPr>
              <w:t>-0,3</w:t>
            </w:r>
          </w:p>
        </w:tc>
        <w:tc>
          <w:tcPr>
            <w:tcW w:w="969" w:type="dxa"/>
            <w:shd w:val="clear" w:color="auto" w:fill="auto"/>
            <w:vAlign w:val="bottom"/>
          </w:tcPr>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+2,0%</w:t>
            </w:r>
          </w:p>
        </w:tc>
        <w:tc>
          <w:tcPr>
            <w:tcW w:w="997" w:type="dxa"/>
            <w:shd w:val="clear" w:color="auto" w:fill="auto"/>
            <w:vAlign w:val="bottom"/>
          </w:tcPr>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+1,5%</w:t>
            </w:r>
          </w:p>
        </w:tc>
        <w:tc>
          <w:tcPr>
            <w:tcW w:w="1067" w:type="dxa"/>
            <w:shd w:val="clear" w:color="auto" w:fill="auto"/>
            <w:vAlign w:val="bottom"/>
          </w:tcPr>
          <w:p w:rsidR="00774081" w:rsidRPr="006E7F14" w:rsidRDefault="00774081" w:rsidP="00F14771">
            <w:pPr>
              <w:jc w:val="center"/>
              <w:rPr>
                <w:rFonts w:ascii="Arial" w:hAnsi="Arial" w:cs="Arial"/>
                <w:color w:val="FF0000"/>
                <w:sz w:val="18"/>
                <w:szCs w:val="18"/>
                <w:lang w:val="es-ES_tradnl"/>
              </w:rPr>
            </w:pPr>
            <w:r w:rsidRPr="006E7F14">
              <w:rPr>
                <w:rFonts w:ascii="Arial" w:hAnsi="Arial" w:cs="Arial"/>
                <w:color w:val="FF0000"/>
                <w:sz w:val="18"/>
                <w:szCs w:val="18"/>
                <w:lang w:val="es-ES_tradnl"/>
              </w:rPr>
              <w:t>-0,5</w:t>
            </w:r>
          </w:p>
        </w:tc>
      </w:tr>
      <w:tr w:rsidR="00774081" w:rsidRPr="006E7F14" w:rsidTr="00F14771">
        <w:trPr>
          <w:trHeight w:val="227"/>
          <w:jc w:val="center"/>
        </w:trPr>
        <w:tc>
          <w:tcPr>
            <w:tcW w:w="2076" w:type="dxa"/>
            <w:shd w:val="clear" w:color="auto" w:fill="auto"/>
            <w:vAlign w:val="bottom"/>
          </w:tcPr>
          <w:p w:rsidR="00774081" w:rsidRPr="006E7F14" w:rsidRDefault="00774081" w:rsidP="00F14771">
            <w:pPr>
              <w:jc w:val="both"/>
              <w:rPr>
                <w:rFonts w:ascii="Arial" w:hAnsi="Arial" w:cs="Arial"/>
                <w:sz w:val="18"/>
                <w:szCs w:val="18"/>
                <w:lang w:val="es-ES_tradnl"/>
              </w:rPr>
            </w:pPr>
            <w:r w:rsidRPr="006E7F14">
              <w:rPr>
                <w:rFonts w:ascii="Arial" w:hAnsi="Arial" w:cs="Arial"/>
                <w:sz w:val="18"/>
                <w:szCs w:val="18"/>
                <w:lang w:val="es-ES_tradnl"/>
              </w:rPr>
              <w:t>BBVA</w:t>
            </w:r>
          </w:p>
        </w:tc>
        <w:tc>
          <w:tcPr>
            <w:tcW w:w="969" w:type="dxa"/>
            <w:shd w:val="clear" w:color="auto" w:fill="auto"/>
            <w:vAlign w:val="bottom"/>
          </w:tcPr>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+2,3%</w:t>
            </w:r>
          </w:p>
        </w:tc>
        <w:tc>
          <w:tcPr>
            <w:tcW w:w="997" w:type="dxa"/>
            <w:shd w:val="clear" w:color="auto" w:fill="auto"/>
            <w:vAlign w:val="bottom"/>
          </w:tcPr>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+1,9%</w:t>
            </w:r>
          </w:p>
        </w:tc>
        <w:tc>
          <w:tcPr>
            <w:tcW w:w="1067" w:type="dxa"/>
            <w:shd w:val="clear" w:color="auto" w:fill="auto"/>
            <w:vAlign w:val="bottom"/>
          </w:tcPr>
          <w:p w:rsidR="00774081" w:rsidRPr="006E7F14" w:rsidRDefault="00774081" w:rsidP="00F14771">
            <w:pPr>
              <w:jc w:val="center"/>
              <w:rPr>
                <w:rFonts w:ascii="Arial" w:hAnsi="Arial" w:cs="Arial"/>
                <w:color w:val="FF0000"/>
                <w:sz w:val="18"/>
                <w:szCs w:val="18"/>
                <w:lang w:val="es-ES_tradnl"/>
              </w:rPr>
            </w:pPr>
            <w:r w:rsidRPr="006E7F14">
              <w:rPr>
                <w:rFonts w:ascii="Arial" w:hAnsi="Arial" w:cs="Arial"/>
                <w:color w:val="FF0000"/>
                <w:sz w:val="18"/>
                <w:szCs w:val="18"/>
                <w:lang w:val="es-ES_tradnl"/>
              </w:rPr>
              <w:t>-0,4</w:t>
            </w:r>
          </w:p>
        </w:tc>
        <w:tc>
          <w:tcPr>
            <w:tcW w:w="969" w:type="dxa"/>
            <w:shd w:val="clear" w:color="auto" w:fill="auto"/>
            <w:vAlign w:val="bottom"/>
          </w:tcPr>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+1,9%</w:t>
            </w:r>
          </w:p>
        </w:tc>
        <w:tc>
          <w:tcPr>
            <w:tcW w:w="997" w:type="dxa"/>
            <w:shd w:val="clear" w:color="auto" w:fill="auto"/>
            <w:vAlign w:val="bottom"/>
          </w:tcPr>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+1,6%</w:t>
            </w:r>
          </w:p>
        </w:tc>
        <w:tc>
          <w:tcPr>
            <w:tcW w:w="1067" w:type="dxa"/>
            <w:shd w:val="clear" w:color="auto" w:fill="auto"/>
            <w:vAlign w:val="bottom"/>
          </w:tcPr>
          <w:p w:rsidR="00774081" w:rsidRPr="006E7F14" w:rsidRDefault="00774081" w:rsidP="00F14771">
            <w:pPr>
              <w:jc w:val="center"/>
              <w:rPr>
                <w:rFonts w:ascii="Arial" w:hAnsi="Arial" w:cs="Arial"/>
                <w:color w:val="FF0000"/>
                <w:sz w:val="18"/>
                <w:szCs w:val="18"/>
                <w:lang w:val="es-ES_tradnl"/>
              </w:rPr>
            </w:pPr>
            <w:r w:rsidRPr="006E7F14">
              <w:rPr>
                <w:rFonts w:ascii="Arial" w:hAnsi="Arial" w:cs="Arial"/>
                <w:color w:val="FF0000"/>
                <w:sz w:val="18"/>
                <w:szCs w:val="18"/>
                <w:lang w:val="es-ES_tradnl"/>
              </w:rPr>
              <w:t>-0,3</w:t>
            </w:r>
          </w:p>
        </w:tc>
      </w:tr>
      <w:tr w:rsidR="00774081" w:rsidRPr="006E7F14" w:rsidTr="00F14771">
        <w:trPr>
          <w:trHeight w:val="227"/>
          <w:jc w:val="center"/>
        </w:trPr>
        <w:tc>
          <w:tcPr>
            <w:tcW w:w="2076" w:type="dxa"/>
            <w:shd w:val="clear" w:color="auto" w:fill="auto"/>
            <w:vAlign w:val="bottom"/>
          </w:tcPr>
          <w:p w:rsidR="00774081" w:rsidRPr="006E7F14" w:rsidRDefault="00774081" w:rsidP="00F14771">
            <w:pPr>
              <w:jc w:val="both"/>
              <w:rPr>
                <w:rFonts w:ascii="Arial" w:hAnsi="Arial" w:cs="Arial"/>
                <w:sz w:val="18"/>
                <w:szCs w:val="18"/>
                <w:lang w:val="es-ES_tradnl"/>
              </w:rPr>
            </w:pPr>
            <w:r w:rsidRPr="006E7F14">
              <w:rPr>
                <w:rFonts w:ascii="Arial" w:hAnsi="Arial" w:cs="Arial"/>
                <w:sz w:val="18"/>
                <w:szCs w:val="18"/>
                <w:lang w:val="es-ES_tradnl"/>
              </w:rPr>
              <w:t>FMI</w:t>
            </w:r>
          </w:p>
        </w:tc>
        <w:tc>
          <w:tcPr>
            <w:tcW w:w="969" w:type="dxa"/>
            <w:shd w:val="clear" w:color="auto" w:fill="auto"/>
            <w:vAlign w:val="bottom"/>
          </w:tcPr>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+2,1%</w:t>
            </w:r>
          </w:p>
        </w:tc>
        <w:tc>
          <w:tcPr>
            <w:tcW w:w="997" w:type="dxa"/>
            <w:shd w:val="clear" w:color="auto" w:fill="auto"/>
            <w:vAlign w:val="bottom"/>
          </w:tcPr>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+2,2%</w:t>
            </w:r>
          </w:p>
        </w:tc>
        <w:tc>
          <w:tcPr>
            <w:tcW w:w="1067" w:type="dxa"/>
            <w:shd w:val="clear" w:color="auto" w:fill="auto"/>
            <w:vAlign w:val="bottom"/>
          </w:tcPr>
          <w:p w:rsidR="00774081" w:rsidRPr="006E7F14" w:rsidRDefault="00774081" w:rsidP="00F14771">
            <w:pPr>
              <w:jc w:val="center"/>
              <w:rPr>
                <w:rFonts w:ascii="Arial" w:hAnsi="Arial" w:cs="Arial"/>
                <w:color w:val="00B050"/>
                <w:sz w:val="18"/>
                <w:szCs w:val="18"/>
                <w:lang w:val="es-ES_tradnl"/>
              </w:rPr>
            </w:pPr>
            <w:r w:rsidRPr="006E7F14">
              <w:rPr>
                <w:rFonts w:ascii="Arial" w:hAnsi="Arial" w:cs="Arial"/>
                <w:color w:val="00B050"/>
                <w:sz w:val="18"/>
                <w:szCs w:val="18"/>
                <w:lang w:val="es-ES_tradnl"/>
              </w:rPr>
              <w:t>+0,1</w:t>
            </w:r>
          </w:p>
        </w:tc>
        <w:tc>
          <w:tcPr>
            <w:tcW w:w="969" w:type="dxa"/>
            <w:shd w:val="clear" w:color="auto" w:fill="auto"/>
            <w:vAlign w:val="bottom"/>
          </w:tcPr>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+1,9%</w:t>
            </w:r>
          </w:p>
        </w:tc>
        <w:tc>
          <w:tcPr>
            <w:tcW w:w="997" w:type="dxa"/>
            <w:shd w:val="clear" w:color="auto" w:fill="auto"/>
            <w:vAlign w:val="bottom"/>
          </w:tcPr>
          <w:p w:rsidR="00774081" w:rsidRPr="006E7F14" w:rsidRDefault="00774081" w:rsidP="00F14771">
            <w:pPr>
              <w:jc w:val="center"/>
              <w:rPr>
                <w:rFonts w:ascii="Arial" w:hAnsi="Arial" w:cs="Arial"/>
                <w:sz w:val="18"/>
                <w:szCs w:val="18"/>
                <w:lang w:val="es-ES_tradnl"/>
              </w:rPr>
            </w:pPr>
            <w:r w:rsidRPr="006E7F14">
              <w:rPr>
                <w:rFonts w:ascii="Arial" w:hAnsi="Arial" w:cs="Arial"/>
                <w:sz w:val="18"/>
                <w:szCs w:val="18"/>
                <w:lang w:val="es-ES_tradnl"/>
              </w:rPr>
              <w:t>+1,8%</w:t>
            </w:r>
          </w:p>
        </w:tc>
        <w:tc>
          <w:tcPr>
            <w:tcW w:w="1067" w:type="dxa"/>
            <w:shd w:val="clear" w:color="auto" w:fill="auto"/>
            <w:vAlign w:val="bottom"/>
          </w:tcPr>
          <w:p w:rsidR="00774081" w:rsidRPr="006E7F14" w:rsidRDefault="00774081" w:rsidP="00F14771">
            <w:pPr>
              <w:jc w:val="center"/>
              <w:rPr>
                <w:rFonts w:ascii="Arial" w:hAnsi="Arial" w:cs="Arial"/>
                <w:color w:val="FF0000"/>
                <w:sz w:val="18"/>
                <w:szCs w:val="18"/>
                <w:lang w:val="es-ES_tradnl"/>
              </w:rPr>
            </w:pPr>
            <w:r w:rsidRPr="006E7F14">
              <w:rPr>
                <w:rFonts w:ascii="Arial" w:hAnsi="Arial" w:cs="Arial"/>
                <w:color w:val="FF0000"/>
                <w:sz w:val="18"/>
                <w:szCs w:val="18"/>
                <w:lang w:val="es-ES_tradnl"/>
              </w:rPr>
              <w:t>-0,1</w:t>
            </w:r>
          </w:p>
        </w:tc>
      </w:tr>
    </w:tbl>
    <w:p w:rsidR="006E7F14" w:rsidRPr="006E7F14" w:rsidRDefault="006E7F14" w:rsidP="00774081">
      <w:pPr>
        <w:spacing w:line="360" w:lineRule="auto"/>
        <w:jc w:val="both"/>
        <w:rPr>
          <w:rFonts w:ascii="Arial" w:hAnsi="Arial" w:cs="Arial"/>
          <w:sz w:val="18"/>
          <w:szCs w:val="18"/>
          <w:lang w:val="es-ES_tradnl"/>
        </w:rPr>
      </w:pPr>
    </w:p>
    <w:p w:rsidR="006E7F14" w:rsidRDefault="00774081" w:rsidP="00774081">
      <w:pPr>
        <w:spacing w:line="360" w:lineRule="auto"/>
        <w:jc w:val="both"/>
        <w:rPr>
          <w:rFonts w:ascii="Arial" w:hAnsi="Arial" w:cs="Arial"/>
          <w:lang w:val="es-ES_tradnl"/>
        </w:rPr>
      </w:pPr>
      <w:r w:rsidRPr="002078F3">
        <w:rPr>
          <w:rFonts w:ascii="Arial" w:hAnsi="Arial" w:cs="Arial"/>
          <w:lang w:val="es-ES_tradnl"/>
        </w:rPr>
        <w:t>En el caso del Banco de España, por ejemplo, la revisión a la baja es de 4 y de 2 décimas en 2019 y 2020 respectivamente.</w:t>
      </w:r>
    </w:p>
    <w:p w:rsidR="006E7F14" w:rsidRDefault="00774081" w:rsidP="00774081">
      <w:pPr>
        <w:spacing w:line="360" w:lineRule="auto"/>
        <w:jc w:val="both"/>
        <w:rPr>
          <w:rFonts w:ascii="Arial" w:hAnsi="Arial" w:cs="Arial"/>
          <w:lang w:val="es-ES_tradnl"/>
        </w:rPr>
      </w:pPr>
      <w:r w:rsidRPr="002078F3">
        <w:rPr>
          <w:rFonts w:ascii="Arial" w:hAnsi="Arial" w:cs="Arial"/>
          <w:lang w:val="es-ES_tradnl"/>
        </w:rPr>
        <w:t xml:space="preserve">Rebajar la cifra de previsión de 2019 condiciona la estimación de 2020, que se ve </w:t>
      </w:r>
      <w:r w:rsidRPr="002078F3">
        <w:rPr>
          <w:rFonts w:ascii="Arial" w:hAnsi="Arial" w:cs="Arial"/>
          <w:i/>
          <w:lang w:val="es-ES_tradnl"/>
        </w:rPr>
        <w:t>arrastrada</w:t>
      </w:r>
      <w:r w:rsidRPr="002078F3">
        <w:rPr>
          <w:rFonts w:ascii="Arial" w:hAnsi="Arial" w:cs="Arial"/>
          <w:lang w:val="es-ES_tradnl"/>
        </w:rPr>
        <w:t xml:space="preserve"> estadísticamente a la baja, como a continuación se explica, porque para la misma senda trimestral, la media anual es inferior.</w:t>
      </w:r>
    </w:p>
    <w:p w:rsidR="006E7F14" w:rsidRDefault="00774081" w:rsidP="00774081">
      <w:pPr>
        <w:numPr>
          <w:ilvl w:val="0"/>
          <w:numId w:val="3"/>
        </w:numPr>
        <w:spacing w:line="360" w:lineRule="auto"/>
        <w:ind w:left="0" w:firstLine="0"/>
        <w:jc w:val="both"/>
        <w:rPr>
          <w:rFonts w:ascii="Arial" w:hAnsi="Arial" w:cs="Arial"/>
          <w:lang w:val="es-ES_tradnl"/>
        </w:rPr>
      </w:pPr>
      <w:r w:rsidRPr="002078F3">
        <w:rPr>
          <w:rFonts w:ascii="Arial" w:hAnsi="Arial" w:cs="Arial"/>
          <w:lang w:val="es-ES_tradnl"/>
        </w:rPr>
        <w:t xml:space="preserve">En este sentido, y como segundo bloque de argumentación, el perfil trimestral esperado para 2020 no se ha visto prácticamente alterado. </w:t>
      </w:r>
    </w:p>
    <w:p w:rsidR="006E7F14" w:rsidRDefault="00774081" w:rsidP="00774081">
      <w:pPr>
        <w:spacing w:line="360" w:lineRule="auto"/>
        <w:jc w:val="both"/>
        <w:rPr>
          <w:rFonts w:ascii="Arial" w:hAnsi="Arial" w:cs="Arial"/>
          <w:lang w:val="es-ES_tradnl"/>
        </w:rPr>
      </w:pPr>
      <w:r w:rsidRPr="002078F3">
        <w:rPr>
          <w:rFonts w:ascii="Arial" w:hAnsi="Arial" w:cs="Arial"/>
          <w:lang w:val="es-ES_tradnl"/>
        </w:rPr>
        <w:t xml:space="preserve">En torno a los meses de mayo y junio de este año, los organismos barajaban una previsión de crecimiento para España de aproximadamente el 2,0% para 2020, cifra que es compatible con avances trimestrales medios del 0,4%-0,5%. Y de hecho, este perfil trimestral no se ha visto casi modificado tras la rebaja de previsiones tras el verano, solo que para las mismas variaciones trimestrales, del 0,4%-0,5%, el PIB español de 2020 crecería ahora un 1,7%-1,8% que es el nivel donde se sitúan las previsiones actuales. </w:t>
      </w:r>
    </w:p>
    <w:p w:rsidR="006E7F14" w:rsidRDefault="00774081" w:rsidP="00774081">
      <w:pPr>
        <w:spacing w:line="360" w:lineRule="auto"/>
        <w:jc w:val="both"/>
        <w:rPr>
          <w:rFonts w:ascii="Arial" w:hAnsi="Arial" w:cs="Arial"/>
          <w:lang w:val="es-ES_tradnl"/>
        </w:rPr>
      </w:pPr>
      <w:r w:rsidRPr="002078F3">
        <w:rPr>
          <w:rFonts w:ascii="Arial" w:hAnsi="Arial" w:cs="Arial"/>
          <w:lang w:val="es-ES_tradnl"/>
        </w:rPr>
        <w:t xml:space="preserve">Por ello, y dado que la revisión de 2020 en el caso español es consecuencia, en gran parte, del efecto estadístico de 2019, no hay razón para cambiar las de Navarra </w:t>
      </w:r>
      <w:r w:rsidRPr="002078F3">
        <w:rPr>
          <w:rFonts w:ascii="Arial" w:hAnsi="Arial" w:cs="Arial"/>
          <w:lang w:val="es-ES_tradnl"/>
        </w:rPr>
        <w:lastRenderedPageBreak/>
        <w:t xml:space="preserve">por este motivo que, como a continuación se explica, están en camino de cumplir con el 2,7% previsto. </w:t>
      </w:r>
    </w:p>
    <w:p w:rsidR="006E7F14" w:rsidRDefault="00774081" w:rsidP="00774081">
      <w:pPr>
        <w:numPr>
          <w:ilvl w:val="0"/>
          <w:numId w:val="3"/>
        </w:numPr>
        <w:spacing w:line="360" w:lineRule="auto"/>
        <w:ind w:left="0" w:firstLine="0"/>
        <w:jc w:val="both"/>
        <w:rPr>
          <w:rFonts w:ascii="Arial" w:hAnsi="Arial" w:cs="Arial"/>
          <w:lang w:val="es-ES_tradnl"/>
        </w:rPr>
      </w:pPr>
      <w:r w:rsidRPr="002078F3">
        <w:rPr>
          <w:rFonts w:ascii="Arial" w:hAnsi="Arial" w:cs="Arial"/>
          <w:lang w:val="es-ES_tradnl"/>
        </w:rPr>
        <w:t>Por último, es factible que la economía regional alcance el crecimiento previsto del 2,7% para este año, y no hay cuestiones de peso para alterar el 2,2% proyectado para 2020 (tabla 2).</w:t>
      </w:r>
    </w:p>
    <w:p w:rsidR="006E7F14" w:rsidRDefault="00774081" w:rsidP="00774081">
      <w:pPr>
        <w:spacing w:line="360" w:lineRule="auto"/>
        <w:jc w:val="both"/>
        <w:rPr>
          <w:rFonts w:ascii="Arial" w:hAnsi="Arial" w:cs="Arial"/>
          <w:lang w:val="es-ES_tradnl"/>
        </w:rPr>
      </w:pPr>
      <w:r w:rsidRPr="002078F3">
        <w:rPr>
          <w:rFonts w:ascii="Arial" w:hAnsi="Arial" w:cs="Arial"/>
          <w:lang w:val="es-ES_tradnl"/>
        </w:rPr>
        <w:t xml:space="preserve">Es cierto que algunos indicadores coyunturales de la región comienzan a dar síntomas de agotamiento pero entran, hasta la fecha, dentro de los parámetros de suavización y de moderación en la actividad que desde hace trimestres se viene anticipando.  </w:t>
      </w:r>
    </w:p>
    <w:p w:rsidR="006E7F14" w:rsidRDefault="00774081" w:rsidP="00774081">
      <w:pPr>
        <w:spacing w:line="360" w:lineRule="auto"/>
        <w:jc w:val="both"/>
        <w:rPr>
          <w:rFonts w:ascii="Arial" w:hAnsi="Arial" w:cs="Arial"/>
          <w:lang w:val="es-ES_tradnl"/>
        </w:rPr>
      </w:pPr>
      <w:r w:rsidRPr="002078F3">
        <w:rPr>
          <w:rFonts w:ascii="Arial" w:hAnsi="Arial" w:cs="Arial"/>
          <w:lang w:val="es-ES_tradnl"/>
        </w:rPr>
        <w:t>El pasado 31 de octubre el Instituto de Estadística de Navarra NASTAT difundió el avance del PIB de Navarra relativo al tercer trimestre, que crece en un 2,5% interanual. Pues bien, la desaceleración que supone respecto al primer y segundo trimestre de 2019 está en línea con el 2,7% esperado para el conjunto del año porque, a falta de conocer el dato del cuarto trimestre, el PIB acumula un crecimiento medio del 2,7% entre los meses de enero y septiembre.</w:t>
      </w:r>
    </w:p>
    <w:p w:rsidR="006E7F14" w:rsidRDefault="00774081" w:rsidP="00774081">
      <w:pPr>
        <w:spacing w:line="360" w:lineRule="auto"/>
        <w:jc w:val="both"/>
        <w:rPr>
          <w:rFonts w:ascii="Arial" w:hAnsi="Arial" w:cs="Arial"/>
          <w:lang w:val="es-ES_tradnl"/>
        </w:rPr>
      </w:pPr>
      <w:r w:rsidRPr="002078F3">
        <w:rPr>
          <w:rFonts w:ascii="Arial" w:hAnsi="Arial" w:cs="Arial"/>
          <w:lang w:val="es-ES_tradnl"/>
        </w:rPr>
        <w:t>Asimismo, los primeros datos económicos conocidos en el cuatro trimestre no apuntan a un mayor deterioro de la actividad. Las afiliaciones a la Seguridad Social crecieron en octubre un 2,7%, la misma tasa que en septiembre, y la producción de coches ha repuntado un 46,9% en octubre, un aumento que repercutirá en el índice de producción industrial de ese mes. Además, está previsto que en noviembre y diciembre  se fabriquen casi un 14,0% de coches más que en el mismo periodo de 2018, lo que sin duda constituye un contrafuerte del crecimiento en el último trimestre.</w:t>
      </w:r>
    </w:p>
    <w:p w:rsidR="00774081" w:rsidRPr="006E7F14" w:rsidRDefault="00774081" w:rsidP="00774081">
      <w:pPr>
        <w:spacing w:line="360" w:lineRule="auto"/>
        <w:jc w:val="center"/>
        <w:rPr>
          <w:rFonts w:ascii="Arial" w:hAnsi="Arial" w:cs="Arial"/>
          <w:sz w:val="18"/>
          <w:szCs w:val="18"/>
          <w:lang w:val="es-ES_tradnl"/>
        </w:rPr>
      </w:pPr>
      <w:r w:rsidRPr="006E7F14">
        <w:rPr>
          <w:rFonts w:ascii="Arial" w:hAnsi="Arial" w:cs="Arial"/>
          <w:sz w:val="18"/>
          <w:szCs w:val="18"/>
          <w:lang w:val="es-ES_tradnl"/>
        </w:rPr>
        <w:t>Tabla 2. Escenario macroeconómico de Navarra 2019-2020</w:t>
      </w:r>
    </w:p>
    <w:p w:rsidR="00774081" w:rsidRPr="006E7F14" w:rsidRDefault="00774081" w:rsidP="00774081">
      <w:pPr>
        <w:spacing w:line="360" w:lineRule="auto"/>
        <w:jc w:val="center"/>
        <w:rPr>
          <w:rFonts w:ascii="Arial" w:hAnsi="Arial" w:cs="Arial"/>
          <w:sz w:val="18"/>
          <w:szCs w:val="18"/>
          <w:lang w:val="es-ES_tradnl"/>
        </w:rPr>
      </w:pPr>
      <w:r w:rsidRPr="006E7F14">
        <w:rPr>
          <w:rFonts w:ascii="Arial" w:hAnsi="Arial" w:cs="Arial"/>
          <w:sz w:val="18"/>
          <w:szCs w:val="18"/>
          <w:lang w:val="es-ES_tradnl"/>
        </w:rPr>
        <w:t>Tasas de variación anual, en %</w:t>
      </w:r>
    </w:p>
    <w:tbl>
      <w:tblPr>
        <w:tblW w:w="5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1215"/>
        <w:gridCol w:w="1215"/>
      </w:tblGrid>
      <w:tr w:rsidR="00774081" w:rsidRPr="006E7F14" w:rsidTr="00F14771">
        <w:trPr>
          <w:trHeight w:val="674"/>
          <w:jc w:val="center"/>
        </w:trPr>
        <w:tc>
          <w:tcPr>
            <w:tcW w:w="2700" w:type="dxa"/>
            <w:shd w:val="clear" w:color="auto" w:fill="auto"/>
            <w:vAlign w:val="center"/>
          </w:tcPr>
          <w:p w:rsidR="00774081" w:rsidRPr="006E7F14" w:rsidRDefault="00774081" w:rsidP="00F14771">
            <w:pPr>
              <w:jc w:val="both"/>
              <w:rPr>
                <w:rFonts w:ascii="Arial" w:hAnsi="Arial" w:cs="Arial"/>
                <w:b/>
                <w:bCs/>
                <w:sz w:val="18"/>
                <w:szCs w:val="18"/>
              </w:rPr>
            </w:pPr>
            <w:r w:rsidRPr="006E7F14">
              <w:rPr>
                <w:rFonts w:ascii="Arial" w:hAnsi="Arial" w:cs="Arial"/>
                <w:b/>
                <w:sz w:val="18"/>
                <w:szCs w:val="18"/>
              </w:rPr>
              <w:t> </w:t>
            </w:r>
          </w:p>
        </w:tc>
        <w:tc>
          <w:tcPr>
            <w:tcW w:w="1215" w:type="dxa"/>
            <w:shd w:val="clear" w:color="auto" w:fill="auto"/>
            <w:vAlign w:val="center"/>
          </w:tcPr>
          <w:p w:rsidR="00774081" w:rsidRPr="006E7F14" w:rsidRDefault="00774081" w:rsidP="00F14771">
            <w:pPr>
              <w:jc w:val="center"/>
              <w:rPr>
                <w:rFonts w:ascii="Arial" w:hAnsi="Arial" w:cs="Arial"/>
                <w:bCs/>
                <w:sz w:val="18"/>
                <w:szCs w:val="18"/>
              </w:rPr>
            </w:pPr>
            <w:r w:rsidRPr="006E7F14">
              <w:rPr>
                <w:rFonts w:ascii="Arial" w:hAnsi="Arial" w:cs="Arial"/>
                <w:sz w:val="18"/>
                <w:szCs w:val="18"/>
              </w:rPr>
              <w:t>2019(p)</w:t>
            </w:r>
          </w:p>
        </w:tc>
        <w:tc>
          <w:tcPr>
            <w:tcW w:w="1215" w:type="dxa"/>
            <w:shd w:val="clear" w:color="auto" w:fill="auto"/>
            <w:vAlign w:val="center"/>
          </w:tcPr>
          <w:p w:rsidR="00774081" w:rsidRPr="006E7F14" w:rsidRDefault="00774081" w:rsidP="00F14771">
            <w:pPr>
              <w:jc w:val="center"/>
              <w:rPr>
                <w:rFonts w:ascii="Arial" w:hAnsi="Arial" w:cs="Arial"/>
                <w:bCs/>
                <w:sz w:val="18"/>
                <w:szCs w:val="18"/>
              </w:rPr>
            </w:pPr>
            <w:r w:rsidRPr="006E7F14">
              <w:rPr>
                <w:rFonts w:ascii="Arial" w:hAnsi="Arial" w:cs="Arial"/>
                <w:sz w:val="18"/>
                <w:szCs w:val="18"/>
              </w:rPr>
              <w:t>2020(p)</w:t>
            </w:r>
          </w:p>
        </w:tc>
      </w:tr>
      <w:tr w:rsidR="00774081" w:rsidRPr="006E7F14" w:rsidTr="00F14771">
        <w:trPr>
          <w:trHeight w:val="376"/>
          <w:jc w:val="center"/>
        </w:trPr>
        <w:tc>
          <w:tcPr>
            <w:tcW w:w="2700" w:type="dxa"/>
            <w:shd w:val="clear" w:color="auto" w:fill="auto"/>
            <w:vAlign w:val="center"/>
          </w:tcPr>
          <w:p w:rsidR="00774081" w:rsidRPr="006E7F14" w:rsidRDefault="00774081" w:rsidP="00F14771">
            <w:pPr>
              <w:rPr>
                <w:rFonts w:ascii="Arial" w:hAnsi="Arial" w:cs="Arial"/>
                <w:b/>
                <w:bCs/>
                <w:sz w:val="18"/>
                <w:szCs w:val="18"/>
              </w:rPr>
            </w:pPr>
            <w:r w:rsidRPr="006E7F14">
              <w:rPr>
                <w:rFonts w:ascii="Arial" w:hAnsi="Arial" w:cs="Arial"/>
                <w:sz w:val="18"/>
                <w:szCs w:val="18"/>
              </w:rPr>
              <w:t xml:space="preserve">PIB real </w:t>
            </w:r>
          </w:p>
        </w:tc>
        <w:tc>
          <w:tcPr>
            <w:tcW w:w="1215" w:type="dxa"/>
            <w:shd w:val="clear" w:color="auto" w:fill="auto"/>
            <w:vAlign w:val="center"/>
          </w:tcPr>
          <w:p w:rsidR="00774081" w:rsidRPr="006E7F14" w:rsidRDefault="00774081" w:rsidP="00F14771">
            <w:pPr>
              <w:jc w:val="center"/>
              <w:rPr>
                <w:rFonts w:ascii="Arial" w:hAnsi="Arial" w:cs="Arial"/>
                <w:sz w:val="18"/>
                <w:szCs w:val="18"/>
              </w:rPr>
            </w:pPr>
            <w:r w:rsidRPr="006E7F14">
              <w:rPr>
                <w:rFonts w:ascii="Arial" w:hAnsi="Arial" w:cs="Arial"/>
                <w:sz w:val="18"/>
                <w:szCs w:val="18"/>
              </w:rPr>
              <w:t>2,7</w:t>
            </w:r>
          </w:p>
        </w:tc>
        <w:tc>
          <w:tcPr>
            <w:tcW w:w="1215" w:type="dxa"/>
            <w:shd w:val="clear" w:color="auto" w:fill="auto"/>
            <w:vAlign w:val="center"/>
          </w:tcPr>
          <w:p w:rsidR="00774081" w:rsidRPr="006E7F14" w:rsidRDefault="00774081" w:rsidP="00F14771">
            <w:pPr>
              <w:jc w:val="center"/>
              <w:rPr>
                <w:rFonts w:ascii="Arial" w:hAnsi="Arial" w:cs="Arial"/>
                <w:sz w:val="18"/>
                <w:szCs w:val="18"/>
              </w:rPr>
            </w:pPr>
            <w:r w:rsidRPr="006E7F14">
              <w:rPr>
                <w:rFonts w:ascii="Arial" w:hAnsi="Arial" w:cs="Arial"/>
                <w:sz w:val="18"/>
                <w:szCs w:val="18"/>
              </w:rPr>
              <w:t>2,2</w:t>
            </w:r>
          </w:p>
        </w:tc>
      </w:tr>
    </w:tbl>
    <w:p w:rsidR="006E7F14" w:rsidRPr="006E7F14" w:rsidRDefault="00774081" w:rsidP="00774081">
      <w:pPr>
        <w:spacing w:before="120" w:line="300" w:lineRule="exact"/>
        <w:ind w:left="1416" w:firstLine="708"/>
        <w:rPr>
          <w:rFonts w:ascii="Arial" w:hAnsi="Arial" w:cs="Arial"/>
          <w:i/>
          <w:sz w:val="18"/>
          <w:szCs w:val="18"/>
        </w:rPr>
      </w:pPr>
      <w:r w:rsidRPr="006E7F14">
        <w:rPr>
          <w:rFonts w:ascii="Arial" w:hAnsi="Arial" w:cs="Arial"/>
          <w:i/>
          <w:sz w:val="18"/>
          <w:szCs w:val="18"/>
        </w:rPr>
        <w:t xml:space="preserve">(p) Previsión.          </w:t>
      </w:r>
    </w:p>
    <w:p w:rsidR="00774081" w:rsidRPr="002078F3" w:rsidRDefault="00774081" w:rsidP="00774081">
      <w:pPr>
        <w:spacing w:line="360" w:lineRule="auto"/>
        <w:jc w:val="both"/>
        <w:rPr>
          <w:rFonts w:ascii="Arial" w:hAnsi="Arial" w:cs="Arial"/>
          <w:lang w:val="es-ES_tradnl"/>
        </w:rPr>
      </w:pPr>
    </w:p>
    <w:p w:rsidR="006E7F14" w:rsidRDefault="00774081" w:rsidP="00774081">
      <w:pPr>
        <w:spacing w:line="360" w:lineRule="auto"/>
        <w:jc w:val="both"/>
        <w:rPr>
          <w:rFonts w:ascii="Arial" w:hAnsi="Arial" w:cs="Arial"/>
          <w:lang w:val="es-ES_tradnl"/>
        </w:rPr>
      </w:pPr>
      <w:r w:rsidRPr="002078F3">
        <w:rPr>
          <w:rFonts w:ascii="Arial" w:hAnsi="Arial" w:cs="Arial"/>
          <w:lang w:val="es-ES_tradnl"/>
        </w:rPr>
        <w:t xml:space="preserve">Confiamos, por tanto, que el crecimiento económico de 2019 en Navarra se sitúe cerca del 2,7% objetivo. </w:t>
      </w:r>
    </w:p>
    <w:p w:rsidR="00774081" w:rsidRPr="002078F3" w:rsidRDefault="00774081" w:rsidP="006E7F14">
      <w:pPr>
        <w:spacing w:line="360" w:lineRule="auto"/>
        <w:jc w:val="both"/>
        <w:rPr>
          <w:rFonts w:ascii="Arial" w:hAnsi="Arial" w:cs="Arial"/>
          <w:lang w:val="es-ES_tradnl"/>
        </w:rPr>
      </w:pPr>
      <w:r w:rsidRPr="002078F3">
        <w:rPr>
          <w:rFonts w:ascii="Arial" w:hAnsi="Arial" w:cs="Arial"/>
          <w:lang w:val="es-ES_tradnl"/>
        </w:rPr>
        <w:t xml:space="preserve">Para 2020, la previsión se mantiene. Téngase en cuenta que para recoger el impacto que la contienda arancelaria, el </w:t>
      </w:r>
      <w:proofErr w:type="spellStart"/>
      <w:r w:rsidRPr="002078F3">
        <w:rPr>
          <w:rFonts w:ascii="Arial" w:hAnsi="Arial" w:cs="Arial"/>
          <w:lang w:val="es-ES_tradnl"/>
        </w:rPr>
        <w:t>brexit</w:t>
      </w:r>
      <w:proofErr w:type="spellEnd"/>
      <w:r w:rsidRPr="002078F3">
        <w:rPr>
          <w:rFonts w:ascii="Arial" w:hAnsi="Arial" w:cs="Arial"/>
          <w:lang w:val="es-ES_tradnl"/>
        </w:rPr>
        <w:t xml:space="preserve"> y la debilidad de Alemania van a producir en la economía de Navarra, ya se está cuantificando una desaceleración en </w:t>
      </w:r>
      <w:r w:rsidRPr="002078F3">
        <w:rPr>
          <w:rFonts w:ascii="Arial" w:hAnsi="Arial" w:cs="Arial"/>
          <w:lang w:val="es-ES_tradnl"/>
        </w:rPr>
        <w:lastRenderedPageBreak/>
        <w:t xml:space="preserve">el crecimiento de la actividad de cinco décimas entre 2019 y 2020, desde un 2,7% a un 2,2%; es una moderación más cauta que las tres décimas, en promedio, que se proyectan para España (tabla 1). Además, no parece que el deterioro externo vaya a ir a más. Los organismos están proyectando un menor crecimiento para España el próximo año, pero para otros territorios, como el europeo, se espera que registre </w:t>
      </w:r>
      <w:r w:rsidRPr="002078F3">
        <w:rPr>
          <w:rFonts w:ascii="Arial" w:hAnsi="Arial" w:cs="Arial"/>
          <w:i/>
          <w:lang w:val="es-ES_tradnl"/>
        </w:rPr>
        <w:t>una recuperación tenue y modesta en 2020</w:t>
      </w:r>
      <w:r w:rsidRPr="002078F3">
        <w:rPr>
          <w:rFonts w:ascii="Arial" w:hAnsi="Arial" w:cs="Arial"/>
          <w:lang w:val="es-ES_tradnl"/>
        </w:rPr>
        <w:t>, en palabras del FMI.</w:t>
      </w:r>
    </w:p>
    <w:p w:rsidR="006E7F14" w:rsidRDefault="00774081" w:rsidP="00774081">
      <w:pPr>
        <w:spacing w:line="360" w:lineRule="auto"/>
        <w:jc w:val="both"/>
        <w:rPr>
          <w:rFonts w:ascii="Arial" w:hAnsi="Arial" w:cs="Arial"/>
          <w:color w:val="FF0000"/>
        </w:rPr>
      </w:pPr>
      <w:r w:rsidRPr="002078F3">
        <w:rPr>
          <w:rFonts w:ascii="Arial" w:hAnsi="Arial" w:cs="Arial"/>
          <w:lang w:val="es-ES_tradnl"/>
        </w:rPr>
        <w:t xml:space="preserve">Conviene igualmente recordar que nuestras previsiones están avaladas por la </w:t>
      </w:r>
      <w:proofErr w:type="spellStart"/>
      <w:r w:rsidRPr="002078F3">
        <w:rPr>
          <w:rFonts w:ascii="Arial" w:hAnsi="Arial" w:cs="Arial"/>
          <w:lang w:val="es-ES_tradnl"/>
        </w:rPr>
        <w:t>Airef</w:t>
      </w:r>
      <w:proofErr w:type="spellEnd"/>
      <w:r w:rsidRPr="002078F3">
        <w:rPr>
          <w:rFonts w:ascii="Arial" w:hAnsi="Arial" w:cs="Arial"/>
          <w:lang w:val="es-ES_tradnl"/>
        </w:rPr>
        <w:t xml:space="preserve">, quien en su INFORME 55/19 emitido el pasado 6 de septiembre las califica como prudentes al encontrarse en la zona media o baja del intervalo de confianza de la variable, incluyendo la posibilidad de que existan sesgos a la baja. </w:t>
      </w:r>
    </w:p>
    <w:p w:rsidR="006E7F14" w:rsidRDefault="00774081" w:rsidP="00774081">
      <w:pPr>
        <w:spacing w:line="360" w:lineRule="auto"/>
        <w:jc w:val="both"/>
        <w:rPr>
          <w:rFonts w:ascii="Arial" w:hAnsi="Arial" w:cs="Arial"/>
          <w:color w:val="FF0000"/>
          <w:lang w:val="es-ES_tradnl"/>
        </w:rPr>
      </w:pPr>
      <w:r w:rsidRPr="002078F3">
        <w:rPr>
          <w:rFonts w:ascii="Arial" w:hAnsi="Arial" w:cs="Arial"/>
          <w:lang w:val="es-ES_tradnl"/>
        </w:rPr>
        <w:t xml:space="preserve">En definitiva, si bien es cierto que el entorno económico de Navarra se está ralentizando, esta moderación ya estaba contemplada en el escenario macro al proyectar unas tasas de crecimiento más bajas cada año. La intensidad o velocidad con la que se está produciendo esta desaceleración entra dentro, como decimos, de los parámetros e intervalos de proyección utilizados.  Asimismo, en los últimos días se han ido conociendo mejores datos económicos en Europa, como la confianza empresarial de la industria manufacturera, y se ha rebajado el tono apocalíptico de las previsiones, lo que refuerza el mantenimiento de nuestro escenario macro actual. </w:t>
      </w:r>
    </w:p>
    <w:p w:rsidR="006E7F14" w:rsidRDefault="00774081" w:rsidP="00774081">
      <w:pPr>
        <w:pStyle w:val="ANUEVO"/>
        <w:spacing w:line="360" w:lineRule="auto"/>
        <w:rPr>
          <w:rFonts w:cs="Arial"/>
          <w:i w:val="0"/>
          <w:color w:val="auto"/>
          <w:sz w:val="24"/>
          <w:szCs w:val="24"/>
        </w:rPr>
      </w:pPr>
      <w:r w:rsidRPr="002078F3">
        <w:rPr>
          <w:rFonts w:cs="Arial"/>
          <w:i w:val="0"/>
          <w:color w:val="auto"/>
          <w:sz w:val="24"/>
          <w:szCs w:val="24"/>
        </w:rPr>
        <w:t>Es cuanto tengo el honor de informar en cumplimiento de lo dispuesto en el artículo 194 del Reglamento del Parlamento de Navarra.</w:t>
      </w:r>
    </w:p>
    <w:p w:rsidR="006E7F14" w:rsidRDefault="00774081" w:rsidP="00774081">
      <w:pPr>
        <w:ind w:firstLine="708"/>
        <w:rPr>
          <w:rFonts w:ascii="Arial" w:hAnsi="Arial" w:cs="Arial"/>
        </w:rPr>
      </w:pPr>
      <w:r w:rsidRPr="002078F3">
        <w:rPr>
          <w:rFonts w:ascii="Arial" w:hAnsi="Arial" w:cs="Arial"/>
        </w:rPr>
        <w:t xml:space="preserve">Pamplona, </w:t>
      </w:r>
      <w:r>
        <w:rPr>
          <w:rFonts w:ascii="Arial" w:hAnsi="Arial" w:cs="Arial"/>
        </w:rPr>
        <w:t>22</w:t>
      </w:r>
      <w:r w:rsidRPr="002078F3">
        <w:rPr>
          <w:rFonts w:ascii="Arial" w:hAnsi="Arial" w:cs="Arial"/>
        </w:rPr>
        <w:t xml:space="preserve"> de noviembre de 2019</w:t>
      </w:r>
    </w:p>
    <w:p w:rsidR="00774081" w:rsidRPr="002078F3" w:rsidRDefault="00774081" w:rsidP="00774081">
      <w:pPr>
        <w:spacing w:before="240" w:line="360" w:lineRule="auto"/>
        <w:ind w:firstLine="709"/>
        <w:jc w:val="center"/>
        <w:rPr>
          <w:rFonts w:ascii="Arial" w:hAnsi="Arial" w:cs="Arial"/>
          <w:bCs/>
        </w:rPr>
      </w:pPr>
      <w:r w:rsidRPr="002078F3">
        <w:rPr>
          <w:rFonts w:ascii="Arial" w:hAnsi="Arial" w:cs="Arial"/>
          <w:bCs/>
        </w:rPr>
        <w:t xml:space="preserve">La Consejera de </w:t>
      </w:r>
      <w:r w:rsidR="006E7F14" w:rsidRPr="002078F3">
        <w:rPr>
          <w:rFonts w:ascii="Arial" w:hAnsi="Arial" w:cs="Arial"/>
          <w:bCs/>
        </w:rPr>
        <w:t>Economía</w:t>
      </w:r>
      <w:r w:rsidRPr="002078F3">
        <w:rPr>
          <w:rFonts w:ascii="Arial" w:hAnsi="Arial" w:cs="Arial"/>
          <w:bCs/>
        </w:rPr>
        <w:t xml:space="preserve"> y Hacienda</w:t>
      </w:r>
      <w:r w:rsidR="006E7F14">
        <w:rPr>
          <w:rFonts w:ascii="Arial" w:hAnsi="Arial" w:cs="Arial"/>
          <w:bCs/>
        </w:rPr>
        <w:t xml:space="preserve">: </w:t>
      </w:r>
      <w:proofErr w:type="spellStart"/>
      <w:r w:rsidR="00FE626B">
        <w:rPr>
          <w:rFonts w:ascii="Arial" w:hAnsi="Arial" w:cs="Arial"/>
          <w:bCs/>
        </w:rPr>
        <w:t>Elma</w:t>
      </w:r>
      <w:proofErr w:type="spellEnd"/>
      <w:r w:rsidR="00FE626B">
        <w:rPr>
          <w:rFonts w:ascii="Arial" w:hAnsi="Arial" w:cs="Arial"/>
          <w:bCs/>
        </w:rPr>
        <w:t xml:space="preserve"> Sai</w:t>
      </w:r>
      <w:r w:rsidRPr="002078F3">
        <w:rPr>
          <w:rFonts w:ascii="Arial" w:hAnsi="Arial" w:cs="Arial"/>
          <w:bCs/>
        </w:rPr>
        <w:t>z Delgado</w:t>
      </w:r>
    </w:p>
    <w:sectPr w:rsidR="00774081" w:rsidRPr="002078F3" w:rsidSect="006E7F14">
      <w:headerReference w:type="first" r:id="rId8"/>
      <w:pgSz w:w="11906" w:h="16838" w:code="9"/>
      <w:pgMar w:top="1560" w:right="1418" w:bottom="993"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873" w:rsidRDefault="00BA5873">
      <w:r>
        <w:separator/>
      </w:r>
    </w:p>
  </w:endnote>
  <w:endnote w:type="continuationSeparator" w:id="0">
    <w:p w:rsidR="00BA5873" w:rsidRDefault="00BA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Liberation Mon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873" w:rsidRDefault="00BA5873">
      <w:r>
        <w:separator/>
      </w:r>
    </w:p>
  </w:footnote>
  <w:footnote w:type="continuationSeparator" w:id="0">
    <w:p w:rsidR="00BA5873" w:rsidRDefault="00BA5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783" w:rsidRDefault="00287783" w:rsidP="008F42F9">
    <w:pPr>
      <w:pStyle w:val="Encabezado"/>
      <w:ind w:left="-7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5222"/>
    <w:multiLevelType w:val="hybridMultilevel"/>
    <w:tmpl w:val="4F722936"/>
    <w:lvl w:ilvl="0" w:tplc="6F86F6D0">
      <w:start w:val="1"/>
      <w:numFmt w:val="bullet"/>
      <w:lvlText w:val="-"/>
      <w:lvlJc w:val="left"/>
      <w:pPr>
        <w:ind w:left="720" w:hanging="360"/>
      </w:pPr>
      <w:rPr>
        <w:rFonts w:ascii="Arial" w:hAnsi="Aria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0C4CBD"/>
    <w:multiLevelType w:val="hybridMultilevel"/>
    <w:tmpl w:val="9C028A2C"/>
    <w:lvl w:ilvl="0" w:tplc="F88257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65A6539"/>
    <w:multiLevelType w:val="hybridMultilevel"/>
    <w:tmpl w:val="34E80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34604"/>
    <w:rsid w:val="000E4A33"/>
    <w:rsid w:val="00114D0A"/>
    <w:rsid w:val="001356D8"/>
    <w:rsid w:val="001861B5"/>
    <w:rsid w:val="001D0436"/>
    <w:rsid w:val="001E3FB5"/>
    <w:rsid w:val="001E7275"/>
    <w:rsid w:val="00205437"/>
    <w:rsid w:val="00287783"/>
    <w:rsid w:val="002D1038"/>
    <w:rsid w:val="002E36EF"/>
    <w:rsid w:val="003326DB"/>
    <w:rsid w:val="00355E3F"/>
    <w:rsid w:val="003737A4"/>
    <w:rsid w:val="00377B13"/>
    <w:rsid w:val="003B6B5E"/>
    <w:rsid w:val="003C04F6"/>
    <w:rsid w:val="00437DEA"/>
    <w:rsid w:val="0047106E"/>
    <w:rsid w:val="005332E5"/>
    <w:rsid w:val="00556C67"/>
    <w:rsid w:val="006D16AF"/>
    <w:rsid w:val="006E7F14"/>
    <w:rsid w:val="00774081"/>
    <w:rsid w:val="008B423E"/>
    <w:rsid w:val="008F42F9"/>
    <w:rsid w:val="009C012B"/>
    <w:rsid w:val="009C19CF"/>
    <w:rsid w:val="00A2166B"/>
    <w:rsid w:val="00A91ABD"/>
    <w:rsid w:val="00A95C02"/>
    <w:rsid w:val="00B819BB"/>
    <w:rsid w:val="00BA45A1"/>
    <w:rsid w:val="00BA5873"/>
    <w:rsid w:val="00BC6038"/>
    <w:rsid w:val="00DF6784"/>
    <w:rsid w:val="00F14771"/>
    <w:rsid w:val="00F44D88"/>
    <w:rsid w:val="00F65F6B"/>
    <w:rsid w:val="00FE62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 w:type="paragraph" w:customStyle="1" w:styleId="ANUEVO">
    <w:name w:val="A.NUEVO"/>
    <w:basedOn w:val="Normal"/>
    <w:link w:val="ANUEVOCar"/>
    <w:rsid w:val="000E4A33"/>
    <w:pPr>
      <w:widowControl w:val="0"/>
      <w:overflowPunct w:val="0"/>
      <w:autoSpaceDE w:val="0"/>
      <w:autoSpaceDN w:val="0"/>
      <w:adjustRightInd w:val="0"/>
      <w:jc w:val="both"/>
      <w:textAlignment w:val="baseline"/>
    </w:pPr>
    <w:rPr>
      <w:rFonts w:ascii="Arial" w:hAnsi="Arial"/>
      <w:i/>
      <w:color w:val="0000FF"/>
      <w:sz w:val="17"/>
      <w:szCs w:val="20"/>
    </w:rPr>
  </w:style>
  <w:style w:type="character" w:customStyle="1" w:styleId="ANUEVOCar">
    <w:name w:val="A.NUEVO Car"/>
    <w:link w:val="ANUEVO"/>
    <w:rsid w:val="000E4A33"/>
    <w:rPr>
      <w:rFonts w:ascii="Arial" w:hAnsi="Arial"/>
      <w:i/>
      <w:color w:val="0000FF"/>
      <w:sz w:val="17"/>
    </w:rPr>
  </w:style>
  <w:style w:type="paragraph" w:styleId="Prrafodelista">
    <w:name w:val="List Paragraph"/>
    <w:basedOn w:val="Normal"/>
    <w:uiPriority w:val="34"/>
    <w:qFormat/>
    <w:rsid w:val="000E4A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 w:type="paragraph" w:customStyle="1" w:styleId="ANUEVO">
    <w:name w:val="A.NUEVO"/>
    <w:basedOn w:val="Normal"/>
    <w:link w:val="ANUEVOCar"/>
    <w:rsid w:val="000E4A33"/>
    <w:pPr>
      <w:widowControl w:val="0"/>
      <w:overflowPunct w:val="0"/>
      <w:autoSpaceDE w:val="0"/>
      <w:autoSpaceDN w:val="0"/>
      <w:adjustRightInd w:val="0"/>
      <w:jc w:val="both"/>
      <w:textAlignment w:val="baseline"/>
    </w:pPr>
    <w:rPr>
      <w:rFonts w:ascii="Arial" w:hAnsi="Arial"/>
      <w:i/>
      <w:color w:val="0000FF"/>
      <w:sz w:val="17"/>
      <w:szCs w:val="20"/>
    </w:rPr>
  </w:style>
  <w:style w:type="character" w:customStyle="1" w:styleId="ANUEVOCar">
    <w:name w:val="A.NUEVO Car"/>
    <w:link w:val="ANUEVO"/>
    <w:rsid w:val="000E4A33"/>
    <w:rPr>
      <w:rFonts w:ascii="Arial" w:hAnsi="Arial"/>
      <w:i/>
      <w:color w:val="0000FF"/>
      <w:sz w:val="17"/>
    </w:rPr>
  </w:style>
  <w:style w:type="paragraph" w:styleId="Prrafodelista">
    <w:name w:val="List Paragraph"/>
    <w:basedOn w:val="Normal"/>
    <w:uiPriority w:val="34"/>
    <w:qFormat/>
    <w:rsid w:val="000E4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1422</Words>
  <Characters>7233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4</cp:revision>
  <cp:lastPrinted>2006-05-15T11:01:00Z</cp:lastPrinted>
  <dcterms:created xsi:type="dcterms:W3CDTF">2019-11-28T10:43:00Z</dcterms:created>
  <dcterms:modified xsi:type="dcterms:W3CDTF">2020-01-27T09:12:00Z</dcterms:modified>
</cp:coreProperties>
</file>