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19" w:rsidRDefault="00757A19" w:rsidP="00236189">
      <w:pPr>
        <w:tabs>
          <w:tab w:val="left" w:pos="3780"/>
        </w:tabs>
        <w:spacing w:after="0" w:line="288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Azaroak 22</w:t>
      </w:r>
    </w:p>
    <w:p w:rsidR="00757A19" w:rsidRDefault="00236189" w:rsidP="00236189">
      <w:pPr>
        <w:tabs>
          <w:tab w:val="left" w:pos="3780"/>
        </w:tabs>
        <w:spacing w:after="0" w:line="288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EH BILDU talde parlamentarioari atxikitako foru parlamentari </w:t>
      </w:r>
      <w:proofErr w:type="spellStart"/>
      <w:r>
        <w:rPr>
          <w:rFonts w:ascii="Century Gothic" w:hAnsi="Century Gothic"/>
          <w:sz w:val="24"/>
          <w:szCs w:val="24"/>
        </w:rPr>
        <w:t>Maiorga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Ramírez</w:t>
      </w:r>
      <w:proofErr w:type="spellEnd"/>
      <w:r>
        <w:rPr>
          <w:rFonts w:ascii="Century Gothic" w:hAnsi="Century Gothic"/>
          <w:sz w:val="24"/>
          <w:szCs w:val="24"/>
        </w:rPr>
        <w:t xml:space="preserve"> Erro jaunak idatziz erantzuteko galdera egin du (10-19-PES-00141) zeinean “informazioa eskatzen baitu amiantozko eraikinetatik hura erretiratzeko eta tratatzeko prozesuari buruz”. Hona Nafarroako Gobernuko Osasuneko kontseilariaren informazioa:</w:t>
      </w:r>
    </w:p>
    <w:p w:rsidR="00CC302F" w:rsidRPr="00236189" w:rsidRDefault="00CC302F" w:rsidP="00236189">
      <w:pPr>
        <w:spacing w:line="288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Amiantozko eraikuntzak, materialak eta egiturak erretiratzeko eta trat</w:t>
      </w:r>
      <w:r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>tzeko prozesuaren egungo egoerari dagokionez:</w:t>
      </w:r>
    </w:p>
    <w:p w:rsidR="00CC302F" w:rsidRPr="00236189" w:rsidRDefault="00CC302F" w:rsidP="00236189">
      <w:pPr>
        <w:spacing w:line="288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1.- Orain arte ezarritako neurrien eraginkortasunaren eta efizientziaren balorazioa.</w:t>
      </w:r>
    </w:p>
    <w:p w:rsidR="00CC302F" w:rsidRPr="00236189" w:rsidRDefault="00B16A9B" w:rsidP="00236189">
      <w:pPr>
        <w:spacing w:line="288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Neurriren bat ezarri al da, eta haren eraginkortasuna eta efizientzia bal</w:t>
      </w:r>
      <w:r>
        <w:rPr>
          <w:rFonts w:ascii="Century Gothic" w:hAnsi="Century Gothic"/>
          <w:b/>
          <w:sz w:val="24"/>
          <w:szCs w:val="24"/>
        </w:rPr>
        <w:t>o</w:t>
      </w:r>
      <w:r>
        <w:rPr>
          <w:rFonts w:ascii="Century Gothic" w:hAnsi="Century Gothic"/>
          <w:b/>
          <w:sz w:val="24"/>
          <w:szCs w:val="24"/>
        </w:rPr>
        <w:t>ratu al dira?</w:t>
      </w:r>
    </w:p>
    <w:p w:rsidR="00B24324" w:rsidRPr="00236189" w:rsidRDefault="00B24324" w:rsidP="00236189">
      <w:p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Gobernu berria eratu eta Administrazioaren egituraren arduradunak izendatu ondoren, uztailetik urrira bitartean ekintza-planaren beharra aztertzen jardun da.</w:t>
      </w:r>
    </w:p>
    <w:p w:rsidR="00B24324" w:rsidRPr="00236189" w:rsidRDefault="00236189" w:rsidP="00236189">
      <w:pPr>
        <w:spacing w:line="288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Honako hauek dira administrazio publikoko hainbat instantziatatik amiantoaren gainean egiten diren jarduketa historikoak:  </w:t>
      </w:r>
    </w:p>
    <w:p w:rsidR="00B24324" w:rsidRPr="007B10BD" w:rsidRDefault="00B24324" w:rsidP="00236189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 xml:space="preserve">NOPLOI: </w:t>
      </w:r>
    </w:p>
    <w:p w:rsidR="00757A19" w:rsidRDefault="00B24324" w:rsidP="00236189">
      <w:pPr>
        <w:pStyle w:val="Prrafodelista"/>
        <w:numPr>
          <w:ilvl w:val="1"/>
          <w:numId w:val="1"/>
        </w:num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Amiantoaren eraginpean dauden langileen erregistroa eguneratzea, Laneko Osasuna Zaintzeko Atalaren parte-hartzearekin, kontingentzia zehazteari buruzko informazioa emateko Gizarte Segurantzako Institutu Nazionalarekin os</w:t>
      </w:r>
      <w:r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>tutako batzorde mistoan. Lanean amianto-zuntzen eragi</w:t>
      </w:r>
      <w:r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pean egoteari buruzko zalantzazko kasuak ebatzi nahi ditu batzordeak, </w:t>
      </w:r>
      <w:proofErr w:type="spellStart"/>
      <w:r>
        <w:rPr>
          <w:rFonts w:ascii="Century Gothic" w:hAnsi="Century Gothic"/>
          <w:sz w:val="24"/>
          <w:szCs w:val="24"/>
        </w:rPr>
        <w:t>judizializatzea</w:t>
      </w:r>
      <w:proofErr w:type="spellEnd"/>
      <w:r>
        <w:rPr>
          <w:rFonts w:ascii="Century Gothic" w:hAnsi="Century Gothic"/>
          <w:sz w:val="24"/>
          <w:szCs w:val="24"/>
        </w:rPr>
        <w:t xml:space="preserve"> saihesteko.</w:t>
      </w:r>
    </w:p>
    <w:p w:rsidR="00757A19" w:rsidRDefault="00B24324" w:rsidP="00236189">
      <w:pPr>
        <w:pStyle w:val="Prrafodelista"/>
        <w:numPr>
          <w:ilvl w:val="1"/>
          <w:numId w:val="1"/>
        </w:num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Osasun Ministerioarekin lankidetzan aritzea PIVISTEA urteko txostenak egiteko. (</w:t>
      </w:r>
      <w:hyperlink r:id="rId6" w:history="1">
        <w:r>
          <w:rPr>
            <w:rStyle w:val="Hipervnculo"/>
            <w:rFonts w:ascii="Century Gothic" w:hAnsi="Century Gothic"/>
            <w:sz w:val="24"/>
            <w:szCs w:val="24"/>
          </w:rPr>
          <w:t>https://www.mscbs.gob.es/ciudadanos/saludAmbLaboral/docs/PIVISTEA2016.pdf</w:t>
        </w:r>
      </w:hyperlink>
      <w:r>
        <w:rPr>
          <w:rFonts w:ascii="Century Gothic" w:hAnsi="Century Gothic"/>
          <w:sz w:val="24"/>
          <w:szCs w:val="24"/>
        </w:rPr>
        <w:t>)</w:t>
      </w:r>
    </w:p>
    <w:p w:rsidR="00236189" w:rsidRPr="001C3655" w:rsidRDefault="00236189" w:rsidP="00236189">
      <w:pPr>
        <w:spacing w:line="288" w:lineRule="auto"/>
        <w:ind w:left="1080"/>
        <w:jc w:val="both"/>
        <w:rPr>
          <w:rFonts w:ascii="Century Gothic" w:hAnsi="Century Gothic"/>
          <w:sz w:val="24"/>
          <w:szCs w:val="24"/>
        </w:rPr>
      </w:pPr>
    </w:p>
    <w:p w:rsidR="00B24324" w:rsidRPr="00236189" w:rsidRDefault="00B24324" w:rsidP="00236189">
      <w:pPr>
        <w:pStyle w:val="Prrafodelista"/>
        <w:numPr>
          <w:ilvl w:val="1"/>
          <w:numId w:val="1"/>
        </w:num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Eraikuntzako enpresek amiantoa kentzeko planen bete</w:t>
      </w:r>
      <w:r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>razpenari buruz aurkeztutako txostenak eta kontrola egitea. Enpresa horiek LSO/</w:t>
      </w:r>
      <w:proofErr w:type="spellStart"/>
      <w:r>
        <w:rPr>
          <w:rFonts w:ascii="Century Gothic" w:hAnsi="Century Gothic"/>
          <w:sz w:val="24"/>
          <w:szCs w:val="24"/>
        </w:rPr>
        <w:t>NOPLOIko</w:t>
      </w:r>
      <w:proofErr w:type="spellEnd"/>
      <w:r>
        <w:rPr>
          <w:rFonts w:ascii="Century Gothic" w:hAnsi="Century Gothic"/>
          <w:sz w:val="24"/>
          <w:szCs w:val="24"/>
        </w:rPr>
        <w:t xml:space="preserve"> Laneko Arriskuen Prebentzi</w:t>
      </w:r>
      <w:r>
        <w:rPr>
          <w:rFonts w:ascii="Century Gothic" w:hAnsi="Century Gothic"/>
          <w:sz w:val="24"/>
          <w:szCs w:val="24"/>
        </w:rPr>
        <w:t>o</w:t>
      </w:r>
      <w:r>
        <w:rPr>
          <w:rFonts w:ascii="Century Gothic" w:hAnsi="Century Gothic"/>
          <w:sz w:val="24"/>
          <w:szCs w:val="24"/>
        </w:rPr>
        <w:t xml:space="preserve">rako Atalak </w:t>
      </w:r>
      <w:proofErr w:type="spellStart"/>
      <w:r>
        <w:rPr>
          <w:rFonts w:ascii="Century Gothic" w:hAnsi="Century Gothic"/>
          <w:sz w:val="24"/>
          <w:szCs w:val="24"/>
        </w:rPr>
        <w:t>RERA-Amianto</w:t>
      </w:r>
      <w:proofErr w:type="spellEnd"/>
      <w:r>
        <w:rPr>
          <w:rFonts w:ascii="Century Gothic" w:hAnsi="Century Gothic"/>
          <w:sz w:val="24"/>
          <w:szCs w:val="24"/>
        </w:rPr>
        <w:t>-arriskuagatiko Enpresen Erregi</w:t>
      </w:r>
      <w:r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>troan inskribatutakoak izan beharko dute.</w:t>
      </w:r>
    </w:p>
    <w:p w:rsidR="00B24324" w:rsidRPr="00236189" w:rsidRDefault="00B24324" w:rsidP="00236189">
      <w:pPr>
        <w:spacing w:line="288" w:lineRule="auto"/>
        <w:ind w:left="141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Txosten horien kopurua bikoiztu egin da aurten, aurreko u</w:t>
      </w:r>
      <w:r>
        <w:rPr>
          <w:rFonts w:ascii="Century Gothic" w:hAnsi="Century Gothic"/>
          <w:sz w:val="24"/>
          <w:szCs w:val="24"/>
        </w:rPr>
        <w:t>r</w:t>
      </w:r>
      <w:r>
        <w:rPr>
          <w:rFonts w:ascii="Century Gothic" w:hAnsi="Century Gothic"/>
          <w:sz w:val="24"/>
          <w:szCs w:val="24"/>
        </w:rPr>
        <w:t>teko aldi berarekin alderatuta (n=90).</w:t>
      </w:r>
    </w:p>
    <w:p w:rsidR="00757A19" w:rsidRDefault="000A1FF8" w:rsidP="00236189">
      <w:pPr>
        <w:pStyle w:val="Prrafodelista"/>
        <w:numPr>
          <w:ilvl w:val="1"/>
          <w:numId w:val="1"/>
        </w:num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MCA identifikatzeko ikastaro bat antolatu da eraikuntzako teknikarientzat, agente eta erakunde prebentiboentzat eta profesionalentzat.</w:t>
      </w:r>
    </w:p>
    <w:p w:rsidR="00757A19" w:rsidRDefault="006A4123" w:rsidP="00236189">
      <w:pPr>
        <w:pStyle w:val="Prrafodelista"/>
        <w:numPr>
          <w:ilvl w:val="1"/>
          <w:numId w:val="1"/>
        </w:num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Uztailaren 18an Nafarroako Erdialdean izandako </w:t>
      </w:r>
      <w:proofErr w:type="spellStart"/>
      <w:r>
        <w:rPr>
          <w:rFonts w:ascii="Century Gothic" w:hAnsi="Century Gothic"/>
          <w:sz w:val="24"/>
          <w:szCs w:val="24"/>
        </w:rPr>
        <w:t>Cidacos</w:t>
      </w:r>
      <w:proofErr w:type="spellEnd"/>
      <w:r>
        <w:rPr>
          <w:rFonts w:ascii="Century Gothic" w:hAnsi="Century Gothic"/>
          <w:sz w:val="24"/>
          <w:szCs w:val="24"/>
        </w:rPr>
        <w:t xml:space="preserve"> ibaiaren uholdeen ondorioz, Nafarroako Gobernuak jarra</w:t>
      </w:r>
      <w:r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>bideak eman zizkien kaltetutako udalei, baratzeetan eta ibaiaren ibilguan amiantoa duten materialen hondakinak biltzeko. Era berean, eskaini zuen ordaintzea enpresa esp</w:t>
      </w:r>
      <w:r>
        <w:rPr>
          <w:rFonts w:ascii="Century Gothic" w:hAnsi="Century Gothic"/>
          <w:sz w:val="24"/>
          <w:szCs w:val="24"/>
        </w:rPr>
        <w:t>e</w:t>
      </w:r>
      <w:r>
        <w:rPr>
          <w:rFonts w:ascii="Century Gothic" w:hAnsi="Century Gothic"/>
          <w:sz w:val="24"/>
          <w:szCs w:val="24"/>
        </w:rPr>
        <w:t>zializatu batek hondakin horien pilak kentzeko lanak egin z</w:t>
      </w:r>
      <w:r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>tzala, baina toki-erakundeak ez dira eskaintza horretaz b</w:t>
      </w:r>
      <w:r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 xml:space="preserve">liatu. </w:t>
      </w:r>
    </w:p>
    <w:p w:rsidR="00757A19" w:rsidRDefault="006A4123" w:rsidP="00236189">
      <w:pPr>
        <w:pStyle w:val="Prrafodelista"/>
        <w:spacing w:line="288" w:lineRule="auto"/>
        <w:ind w:left="144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Testuinguru horretan, uholdeen ondoren, </w:t>
      </w:r>
      <w:proofErr w:type="spellStart"/>
      <w:r>
        <w:rPr>
          <w:rFonts w:ascii="Century Gothic" w:hAnsi="Century Gothic"/>
          <w:sz w:val="24"/>
          <w:szCs w:val="24"/>
        </w:rPr>
        <w:t>NOPLOIko</w:t>
      </w:r>
      <w:proofErr w:type="spellEnd"/>
      <w:r>
        <w:rPr>
          <w:rFonts w:ascii="Century Gothic" w:hAnsi="Century Gothic"/>
          <w:sz w:val="24"/>
          <w:szCs w:val="24"/>
        </w:rPr>
        <w:t xml:space="preserve"> Ingur</w:t>
      </w:r>
      <w:r>
        <w:rPr>
          <w:rFonts w:ascii="Century Gothic" w:hAnsi="Century Gothic"/>
          <w:sz w:val="24"/>
          <w:szCs w:val="24"/>
        </w:rPr>
        <w:t>u</w:t>
      </w:r>
      <w:r>
        <w:rPr>
          <w:rFonts w:ascii="Century Gothic" w:hAnsi="Century Gothic"/>
          <w:sz w:val="24"/>
          <w:szCs w:val="24"/>
        </w:rPr>
        <w:t>men Osasuneko Atalak txosten bat egin zuen Tafallako biz</w:t>
      </w:r>
      <w:r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>lagunek ibaiaren ertzak garbitzeko antolatutako auzolan</w:t>
      </w:r>
      <w:r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>ren aurreko egoerari buruz.</w:t>
      </w:r>
    </w:p>
    <w:p w:rsidR="00B24324" w:rsidRPr="007B10BD" w:rsidRDefault="00B24324" w:rsidP="00236189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entury Gothic" w:hAnsi="Century Gothic"/>
          <w:sz w:val="24"/>
          <w:szCs w:val="24"/>
          <w:u w:val="single"/>
        </w:rPr>
      </w:pPr>
      <w:proofErr w:type="spellStart"/>
      <w:r>
        <w:rPr>
          <w:rFonts w:ascii="Century Gothic" w:hAnsi="Century Gothic"/>
          <w:sz w:val="24"/>
          <w:szCs w:val="24"/>
          <w:u w:val="single"/>
        </w:rPr>
        <w:t>O-NOZeko</w:t>
      </w:r>
      <w:proofErr w:type="spellEnd"/>
      <w:r>
        <w:rPr>
          <w:rFonts w:ascii="Century Gothic" w:hAnsi="Century Gothic"/>
          <w:sz w:val="24"/>
          <w:szCs w:val="24"/>
          <w:u w:val="single"/>
        </w:rPr>
        <w:t xml:space="preserve"> Nafarroako </w:t>
      </w:r>
      <w:proofErr w:type="spellStart"/>
      <w:r>
        <w:rPr>
          <w:rFonts w:ascii="Century Gothic" w:hAnsi="Century Gothic"/>
          <w:sz w:val="24"/>
          <w:szCs w:val="24"/>
          <w:u w:val="single"/>
        </w:rPr>
        <w:t>Ospitaleguneko</w:t>
      </w:r>
      <w:proofErr w:type="spellEnd"/>
      <w:r>
        <w:rPr>
          <w:rFonts w:ascii="Century Gothic" w:hAnsi="Century Gothic"/>
          <w:sz w:val="24"/>
          <w:szCs w:val="24"/>
          <w:u w:val="single"/>
        </w:rPr>
        <w:t xml:space="preserve"> Pneumologia Zerbitzua</w:t>
      </w:r>
    </w:p>
    <w:p w:rsidR="00757A19" w:rsidRDefault="00B24324" w:rsidP="00236189">
      <w:pPr>
        <w:pStyle w:val="Prrafodelista"/>
        <w:spacing w:line="288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LSOko</w:t>
      </w:r>
      <w:proofErr w:type="spellEnd"/>
      <w:r>
        <w:rPr>
          <w:rFonts w:ascii="Century Gothic" w:hAnsi="Century Gothic"/>
          <w:sz w:val="24"/>
          <w:szCs w:val="24"/>
        </w:rPr>
        <w:t xml:space="preserve"> (NOPLOI) Osasunaren Zaintza Atalean erregistratutako amiantoaren eraginpeko langileen okupazio osteko osasunaren zaintza egiten da.</w:t>
      </w:r>
    </w:p>
    <w:p w:rsidR="00B24324" w:rsidRPr="007B10BD" w:rsidRDefault="00B24324" w:rsidP="00236189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 xml:space="preserve">Garapen Ekonomikorako Departamentua </w:t>
      </w:r>
    </w:p>
    <w:p w:rsidR="00B24324" w:rsidRPr="00236189" w:rsidRDefault="00B24324" w:rsidP="00236189">
      <w:pPr>
        <w:pStyle w:val="Prrafodelista"/>
        <w:numPr>
          <w:ilvl w:val="1"/>
          <w:numId w:val="1"/>
        </w:num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Departamentu horretan kokatuta dago </w:t>
      </w:r>
      <w:proofErr w:type="spellStart"/>
      <w:r>
        <w:rPr>
          <w:rFonts w:ascii="Century Gothic" w:hAnsi="Century Gothic"/>
          <w:sz w:val="24"/>
          <w:szCs w:val="24"/>
        </w:rPr>
        <w:t>RERA-Amianto</w:t>
      </w:r>
      <w:proofErr w:type="spellEnd"/>
      <w:r>
        <w:rPr>
          <w:rFonts w:ascii="Century Gothic" w:hAnsi="Century Gothic"/>
          <w:sz w:val="24"/>
          <w:szCs w:val="24"/>
        </w:rPr>
        <w:t xml:space="preserve">-arriskuagatiko Enpresen Erregistroa. </w:t>
      </w:r>
    </w:p>
    <w:p w:rsidR="00B24324" w:rsidRPr="00236189" w:rsidRDefault="00B24324" w:rsidP="00236189">
      <w:pPr>
        <w:pStyle w:val="Prrafodelista"/>
        <w:numPr>
          <w:ilvl w:val="1"/>
          <w:numId w:val="1"/>
        </w:num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Amiantoa kentzeko lan-planak onesten dira, </w:t>
      </w:r>
      <w:proofErr w:type="spellStart"/>
      <w:r>
        <w:rPr>
          <w:rFonts w:ascii="Century Gothic" w:hAnsi="Century Gothic"/>
          <w:sz w:val="24"/>
          <w:szCs w:val="24"/>
        </w:rPr>
        <w:t>NOPLOIko</w:t>
      </w:r>
      <w:proofErr w:type="spellEnd"/>
      <w:r>
        <w:rPr>
          <w:rFonts w:ascii="Century Gothic" w:hAnsi="Century Gothic"/>
          <w:sz w:val="24"/>
          <w:szCs w:val="24"/>
        </w:rPr>
        <w:t xml:space="preserve"> L</w:t>
      </w:r>
      <w:r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>neko Arriskuen Prebentziorako Atalak eta Lan Ikuskaritzak a</w:t>
      </w:r>
      <w:r>
        <w:rPr>
          <w:rFonts w:ascii="Century Gothic" w:hAnsi="Century Gothic"/>
          <w:sz w:val="24"/>
          <w:szCs w:val="24"/>
        </w:rPr>
        <w:t>l</w:t>
      </w:r>
      <w:r>
        <w:rPr>
          <w:rFonts w:ascii="Century Gothic" w:hAnsi="Century Gothic"/>
          <w:sz w:val="24"/>
          <w:szCs w:val="24"/>
        </w:rPr>
        <w:t>deko txostena emanda.</w:t>
      </w:r>
    </w:p>
    <w:p w:rsidR="00757A19" w:rsidRDefault="00B24324" w:rsidP="00236189">
      <w:pPr>
        <w:pStyle w:val="Prrafodelista"/>
        <w:numPr>
          <w:ilvl w:val="1"/>
          <w:numId w:val="1"/>
        </w:num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Urtero, zuntz-zementuzko estalki hauskorrak ordezteko lagu</w:t>
      </w:r>
      <w:r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>tza ekonomikoak ematen dira.</w:t>
      </w:r>
    </w:p>
    <w:p w:rsidR="00B24324" w:rsidRPr="007B10BD" w:rsidRDefault="00B24324" w:rsidP="00236189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Ingurumen-osasunaren arloan eskuduna den departamentua</w:t>
      </w:r>
    </w:p>
    <w:p w:rsidR="00757A19" w:rsidRDefault="00B24324" w:rsidP="00236189">
      <w:pPr>
        <w:pStyle w:val="Prrafodelista"/>
        <w:numPr>
          <w:ilvl w:val="1"/>
          <w:numId w:val="1"/>
        </w:num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MCA hondakinen kudeaketa</w:t>
      </w:r>
    </w:p>
    <w:p w:rsidR="00B24324" w:rsidRPr="007B10BD" w:rsidRDefault="00B24324" w:rsidP="00236189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Etxebizitza arloan eskuduna den departamentua</w:t>
      </w:r>
    </w:p>
    <w:p w:rsidR="00757A19" w:rsidRDefault="00B24324" w:rsidP="00236189">
      <w:pPr>
        <w:pStyle w:val="Prrafodelista"/>
        <w:numPr>
          <w:ilvl w:val="1"/>
          <w:numId w:val="1"/>
        </w:numPr>
        <w:spacing w:line="288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MCAren</w:t>
      </w:r>
      <w:proofErr w:type="spellEnd"/>
      <w:r>
        <w:rPr>
          <w:rFonts w:ascii="Century Gothic" w:hAnsi="Century Gothic"/>
          <w:sz w:val="24"/>
          <w:szCs w:val="24"/>
        </w:rPr>
        <w:t xml:space="preserve"> kokapenen erregistroa, 50 urtetik gorako etxebiz</w:t>
      </w:r>
      <w:r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>tzetan eta 75 urtetik gorako familia bakarreko etxebizitzetan, 2018tik aurrera.</w:t>
      </w:r>
    </w:p>
    <w:p w:rsidR="00B24324" w:rsidRPr="007B10BD" w:rsidRDefault="00B24324" w:rsidP="00236189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Lan eta Gizarte Segurantzako Ikuskatzailetza (Estatuko Administr</w:t>
      </w:r>
      <w:r>
        <w:rPr>
          <w:rFonts w:ascii="Century Gothic" w:hAnsi="Century Gothic"/>
          <w:sz w:val="24"/>
          <w:szCs w:val="24"/>
          <w:u w:val="single"/>
        </w:rPr>
        <w:t>a</w:t>
      </w:r>
      <w:r>
        <w:rPr>
          <w:rFonts w:ascii="Century Gothic" w:hAnsi="Century Gothic"/>
          <w:sz w:val="24"/>
          <w:szCs w:val="24"/>
          <w:u w:val="single"/>
        </w:rPr>
        <w:t>zio Orokorra)</w:t>
      </w:r>
    </w:p>
    <w:p w:rsidR="00B24324" w:rsidRPr="00236189" w:rsidRDefault="00B24324" w:rsidP="00236189">
      <w:pPr>
        <w:pStyle w:val="Prrafodelista"/>
        <w:numPr>
          <w:ilvl w:val="1"/>
          <w:numId w:val="1"/>
        </w:num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Amiantoa kentzeko enpresek aurkeztutako planen bete</w:t>
      </w:r>
      <w:r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>razpenari buruzko txostenak eta kontrola egitea.</w:t>
      </w:r>
    </w:p>
    <w:p w:rsidR="00B16A9B" w:rsidRPr="00236189" w:rsidRDefault="000A1FF8" w:rsidP="00236189">
      <w:pPr>
        <w:spacing w:line="288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2.- Nafarroako Gobernuak ezarriko dituen neurri berriak, neurri gehiago ezartzen badu.</w:t>
      </w:r>
    </w:p>
    <w:p w:rsidR="00D26EF4" w:rsidRPr="00236189" w:rsidRDefault="00D26EF4" w:rsidP="00236189">
      <w:p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2019ko apirilean, Osasun Departamentuak, Nafarroako Gobernua o</w:t>
      </w:r>
      <w:r>
        <w:rPr>
          <w:rFonts w:ascii="Century Gothic" w:hAnsi="Century Gothic"/>
          <w:sz w:val="24"/>
          <w:szCs w:val="24"/>
        </w:rPr>
        <w:t>r</w:t>
      </w:r>
      <w:r>
        <w:rPr>
          <w:rFonts w:ascii="Century Gothic" w:hAnsi="Century Gothic"/>
          <w:sz w:val="24"/>
          <w:szCs w:val="24"/>
        </w:rPr>
        <w:t>dezkatuz, Nafarroako Parlamentuko Osasun Batzordean aurkeztu zuen Nafarroan Amiantoa kentzeko Plan Zuzendaria, zeina parlamentu horrek 2017ko irailean eskatua baitzuen.</w:t>
      </w:r>
    </w:p>
    <w:p w:rsidR="00757A19" w:rsidRDefault="00D26EF4" w:rsidP="00236189">
      <w:p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Testuinguru estrategiko horretan, hurrengo urratsa da Nafarroako erreal</w:t>
      </w:r>
      <w:r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>tatera eta baldintzetara egokitutako ekintza-plana egitea.</w:t>
      </w:r>
    </w:p>
    <w:p w:rsidR="00CC302F" w:rsidRPr="00236189" w:rsidRDefault="00CC302F" w:rsidP="00236189">
      <w:pPr>
        <w:spacing w:line="288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3.- Nafarroan amiantoa zertan den adierazten duen dokumentazioa igortzea eskatzen dut.</w:t>
      </w:r>
    </w:p>
    <w:p w:rsidR="00987732" w:rsidRPr="00236189" w:rsidRDefault="00D26EF4" w:rsidP="00236189">
      <w:pPr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Nafarroan amiantoa kentzeko plan zuzendaria, arestian aipatutakoa, kontsultatu beharra dago. Laster Nafarroako Gobernuaren webgune</w:t>
      </w:r>
      <w:r>
        <w:rPr>
          <w:rFonts w:ascii="Century Gothic" w:hAnsi="Century Gothic"/>
          <w:sz w:val="24"/>
          <w:szCs w:val="24"/>
        </w:rPr>
        <w:t>e</w:t>
      </w:r>
      <w:r>
        <w:rPr>
          <w:rFonts w:ascii="Century Gothic" w:hAnsi="Century Gothic"/>
          <w:sz w:val="24"/>
          <w:szCs w:val="24"/>
        </w:rPr>
        <w:t>tan izanen da berriz, hasierako bertsioan atzemandako akats batzuk z</w:t>
      </w:r>
      <w:r>
        <w:rPr>
          <w:rFonts w:ascii="Century Gothic" w:hAnsi="Century Gothic"/>
          <w:sz w:val="24"/>
          <w:szCs w:val="24"/>
        </w:rPr>
        <w:t>u</w:t>
      </w:r>
      <w:r>
        <w:rPr>
          <w:rFonts w:ascii="Century Gothic" w:hAnsi="Century Gothic"/>
          <w:sz w:val="24"/>
          <w:szCs w:val="24"/>
        </w:rPr>
        <w:t>zendu ondoren.</w:t>
      </w:r>
    </w:p>
    <w:p w:rsidR="00757A19" w:rsidRDefault="00987732" w:rsidP="00236189">
      <w:pPr>
        <w:pStyle w:val="Prrafodelista"/>
        <w:numPr>
          <w:ilvl w:val="0"/>
          <w:numId w:val="5"/>
        </w:numPr>
        <w:spacing w:line="288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Amiantoa ikusgai duten materialak (MCA</w:t>
      </w:r>
      <w:proofErr w:type="spellStart"/>
      <w:r>
        <w:rPr>
          <w:rFonts w:ascii="Century Gothic" w:hAnsi="Century Gothic"/>
          <w:b/>
          <w:sz w:val="24"/>
          <w:szCs w:val="24"/>
        </w:rPr>
        <w:t>):</w:t>
      </w:r>
      <w:proofErr w:type="spellEnd"/>
    </w:p>
    <w:p w:rsidR="00987732" w:rsidRPr="00236189" w:rsidRDefault="00987732" w:rsidP="00236189">
      <w:pPr>
        <w:pStyle w:val="Prrafodelista"/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Estalkien prospekzioaren aurretiazko azterketa. </w:t>
      </w:r>
      <w:r>
        <w:rPr>
          <w:rFonts w:ascii="Century Gothic" w:hAnsi="Century Gothic"/>
          <w:sz w:val="24"/>
          <w:szCs w:val="24"/>
        </w:rPr>
        <w:t xml:space="preserve">Datu-iturria: SITNA. </w:t>
      </w:r>
      <w:proofErr w:type="spellStart"/>
      <w:r>
        <w:rPr>
          <w:rFonts w:ascii="Century Gothic" w:hAnsi="Century Gothic"/>
          <w:sz w:val="24"/>
          <w:szCs w:val="24"/>
        </w:rPr>
        <w:t>NUPeko</w:t>
      </w:r>
      <w:proofErr w:type="spellEnd"/>
      <w:r>
        <w:rPr>
          <w:rFonts w:ascii="Century Gothic" w:hAnsi="Century Gothic"/>
          <w:sz w:val="24"/>
          <w:szCs w:val="24"/>
        </w:rPr>
        <w:t xml:space="preserve"> THERRAE ikerketa-taldearen </w:t>
      </w:r>
      <w:proofErr w:type="spellStart"/>
      <w:r>
        <w:rPr>
          <w:rFonts w:ascii="Century Gothic" w:hAnsi="Century Gothic"/>
          <w:sz w:val="24"/>
          <w:szCs w:val="24"/>
        </w:rPr>
        <w:t>teledetekzio</w:t>
      </w:r>
      <w:proofErr w:type="spellEnd"/>
      <w:r>
        <w:rPr>
          <w:rFonts w:ascii="Century Gothic" w:hAnsi="Century Gothic"/>
          <w:sz w:val="24"/>
          <w:szCs w:val="24"/>
        </w:rPr>
        <w:t xml:space="preserve"> atalaren azte</w:t>
      </w:r>
      <w:r>
        <w:rPr>
          <w:rFonts w:ascii="Century Gothic" w:hAnsi="Century Gothic"/>
          <w:sz w:val="24"/>
          <w:szCs w:val="24"/>
        </w:rPr>
        <w:t>r</w:t>
      </w:r>
      <w:r>
        <w:rPr>
          <w:rFonts w:ascii="Century Gothic" w:hAnsi="Century Gothic"/>
          <w:sz w:val="24"/>
          <w:szCs w:val="24"/>
        </w:rPr>
        <w:t>keta.</w:t>
      </w:r>
    </w:p>
    <w:p w:rsidR="00987732" w:rsidRPr="00D64116" w:rsidRDefault="00987732" w:rsidP="00A757B3">
      <w:pPr>
        <w:spacing w:line="288" w:lineRule="auto"/>
        <w:jc w:val="center"/>
        <w:rPr>
          <w:rFonts w:ascii="Century Gothic" w:hAnsi="Century Gothic"/>
        </w:rPr>
      </w:pPr>
      <w:r w:rsidRPr="00D64116">
        <w:rPr>
          <w:rFonts w:ascii="Century Gothic" w:hAnsi="Century Gothic"/>
          <w:bCs/>
        </w:rPr>
        <w:t>Ziurgabetasun txikiarekin edo ertainarekin zuntz-zementua duten eraiki</w:t>
      </w:r>
      <w:r w:rsidR="00A757B3" w:rsidRPr="00D64116">
        <w:rPr>
          <w:rFonts w:ascii="Century Gothic" w:hAnsi="Century Gothic"/>
          <w:bCs/>
        </w:rPr>
        <w:t>nen k</w:t>
      </w:r>
      <w:r w:rsidR="00A757B3" w:rsidRPr="00D64116">
        <w:rPr>
          <w:rFonts w:ascii="Century Gothic" w:hAnsi="Century Gothic"/>
          <w:bCs/>
        </w:rPr>
        <w:t>o</w:t>
      </w:r>
      <w:r w:rsidR="00A757B3" w:rsidRPr="00D64116">
        <w:rPr>
          <w:rFonts w:ascii="Century Gothic" w:hAnsi="Century Gothic"/>
          <w:bCs/>
        </w:rPr>
        <w:t>purua</w:t>
      </w:r>
      <w:r w:rsidR="00D64116">
        <w:rPr>
          <w:rFonts w:ascii="Century Gothic" w:hAnsi="Century Gothic"/>
          <w:bCs/>
        </w:rPr>
        <w:t xml:space="preserve"> </w:t>
      </w:r>
      <w:bookmarkStart w:id="0" w:name="_GoBack"/>
      <w:bookmarkEnd w:id="0"/>
      <w:r w:rsidRPr="00D64116">
        <w:rPr>
          <w:rFonts w:ascii="Century Gothic" w:hAnsi="Century Gothic"/>
          <w:bCs/>
        </w:rPr>
        <w:t>eta zuntz-zementuaren azalera. Nafarroa 2018</w:t>
      </w:r>
    </w:p>
    <w:p w:rsidR="00757A19" w:rsidRDefault="00987732" w:rsidP="00236189">
      <w:pPr>
        <w:spacing w:line="288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val="es-ES" w:eastAsia="es-ES"/>
        </w:rPr>
        <w:drawing>
          <wp:inline distT="0" distB="0" distL="0" distR="0" wp14:anchorId="3B39766D" wp14:editId="26810EA3">
            <wp:extent cx="5419725" cy="307134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720" cy="3072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052E" w:rsidRPr="00236189" w:rsidRDefault="00987732" w:rsidP="00236189">
      <w:pPr>
        <w:pStyle w:val="Prrafodelista"/>
        <w:spacing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Hoditeriak.</w:t>
      </w:r>
      <w:r>
        <w:rPr>
          <w:rFonts w:ascii="Century Gothic" w:hAnsi="Century Gothic"/>
          <w:sz w:val="24"/>
          <w:szCs w:val="24"/>
        </w:rPr>
        <w:t xml:space="preserve"> Iturria: Hornidurako eta saneamenduko mankomunit</w:t>
      </w:r>
      <w:r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>teak</w:t>
      </w:r>
    </w:p>
    <w:p w:rsidR="00987732" w:rsidRPr="00236189" w:rsidRDefault="00987732" w:rsidP="00236189">
      <w:pPr>
        <w:spacing w:line="288" w:lineRule="auto"/>
        <w:ind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382 km (10.285 tona)</w:t>
      </w:r>
    </w:p>
    <w:p w:rsidR="00C7052E" w:rsidRPr="00236189" w:rsidRDefault="001676D6" w:rsidP="00236189">
      <w:pPr>
        <w:numPr>
          <w:ilvl w:val="0"/>
          <w:numId w:val="2"/>
        </w:numPr>
        <w:spacing w:line="288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234 km zerbitzuan, (5.773 t) –  % 61</w:t>
      </w:r>
    </w:p>
    <w:p w:rsidR="00C7052E" w:rsidRPr="00236189" w:rsidRDefault="001676D6" w:rsidP="00236189">
      <w:pPr>
        <w:numPr>
          <w:ilvl w:val="0"/>
          <w:numId w:val="2"/>
        </w:numPr>
        <w:tabs>
          <w:tab w:val="num" w:pos="720"/>
        </w:tabs>
        <w:spacing w:line="288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46 km zerbitzutik kanpo (776 t) - % 12 </w:t>
      </w:r>
    </w:p>
    <w:p w:rsidR="00757A19" w:rsidRDefault="001676D6" w:rsidP="00236189">
      <w:pPr>
        <w:numPr>
          <w:ilvl w:val="0"/>
          <w:numId w:val="2"/>
        </w:numPr>
        <w:spacing w:line="288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102 km (3.736 t) ezezaguna – % 27</w:t>
      </w:r>
    </w:p>
    <w:p w:rsidR="00757A19" w:rsidRDefault="00987732" w:rsidP="00236189">
      <w:pPr>
        <w:spacing w:line="288" w:lineRule="auto"/>
        <w:ind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Ureztalurrak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Iturria: INTIA 10.188 hektarea, 286 km.</w:t>
      </w:r>
    </w:p>
    <w:p w:rsidR="00C57574" w:rsidRPr="00236189" w:rsidRDefault="00C57574" w:rsidP="00236189">
      <w:pPr>
        <w:pStyle w:val="Prrafodelista"/>
        <w:numPr>
          <w:ilvl w:val="0"/>
          <w:numId w:val="5"/>
        </w:numPr>
        <w:spacing w:line="288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Isuriak</w:t>
      </w:r>
    </w:p>
    <w:p w:rsidR="00C57574" w:rsidRPr="00236189" w:rsidRDefault="00C57574" w:rsidP="00236189">
      <w:pPr>
        <w:spacing w:line="288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Datu-iturria: Nafarroako Gobernuan hondakinak kudeatzeko eskumena duen departamentuaren datu-basea. </w:t>
      </w:r>
    </w:p>
    <w:p w:rsidR="00757A19" w:rsidRDefault="00C57574" w:rsidP="00236189">
      <w:pPr>
        <w:spacing w:line="288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Indarrean dagoen araudiaren aurretik (1481/2001 Errege Dekretua) isu</w:t>
      </w:r>
      <w:r>
        <w:rPr>
          <w:rFonts w:ascii="Century Gothic" w:hAnsi="Century Gothic"/>
          <w:sz w:val="24"/>
          <w:szCs w:val="24"/>
        </w:rPr>
        <w:t>r</w:t>
      </w:r>
      <w:r>
        <w:rPr>
          <w:rFonts w:ascii="Century Gothic" w:hAnsi="Century Gothic"/>
          <w:sz w:val="24"/>
          <w:szCs w:val="24"/>
        </w:rPr>
        <w:t xml:space="preserve">ketak kantitate handiagoan edo txikiagoan izan zituzten 1360 kokaleku, itxita edo giltza emanda daudenak, lurrazalean hondakinik ez dutenak eta ingurunean nahiko naturalizatuta daudenak. </w:t>
      </w:r>
      <w:proofErr w:type="spellStart"/>
      <w:r>
        <w:rPr>
          <w:rFonts w:ascii="Century Gothic" w:hAnsi="Century Gothic"/>
          <w:sz w:val="24"/>
          <w:szCs w:val="24"/>
        </w:rPr>
        <w:t>MCAren</w:t>
      </w:r>
      <w:proofErr w:type="spellEnd"/>
      <w:r>
        <w:rPr>
          <w:rFonts w:ascii="Century Gothic" w:hAnsi="Century Gothic"/>
          <w:sz w:val="24"/>
          <w:szCs w:val="24"/>
        </w:rPr>
        <w:t xml:space="preserve"> presentziari buruzko daturik ez dago. </w:t>
      </w:r>
    </w:p>
    <w:p w:rsidR="00987732" w:rsidRPr="00236189" w:rsidRDefault="00987732" w:rsidP="00236189">
      <w:pPr>
        <w:pStyle w:val="Prrafodelista"/>
        <w:numPr>
          <w:ilvl w:val="0"/>
          <w:numId w:val="5"/>
        </w:numPr>
        <w:spacing w:line="288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Ezkutuko </w:t>
      </w:r>
      <w:proofErr w:type="spellStart"/>
      <w:r>
        <w:rPr>
          <w:rFonts w:ascii="Century Gothic" w:hAnsi="Century Gothic"/>
          <w:b/>
          <w:sz w:val="24"/>
          <w:szCs w:val="24"/>
        </w:rPr>
        <w:t>MCAren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presentziari buruzko zenbatespenak</w:t>
      </w:r>
    </w:p>
    <w:tbl>
      <w:tblPr>
        <w:tblStyle w:val="Tablaconcuadrcula"/>
        <w:tblW w:w="0" w:type="auto"/>
        <w:tblInd w:w="1086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4322"/>
        <w:gridCol w:w="2023"/>
      </w:tblGrid>
      <w:tr w:rsidR="003D05DE" w:rsidTr="003D05DE">
        <w:trPr>
          <w:trHeight w:val="20"/>
        </w:trPr>
        <w:tc>
          <w:tcPr>
            <w:tcW w:w="6345" w:type="dxa"/>
            <w:gridSpan w:val="2"/>
          </w:tcPr>
          <w:p w:rsidR="003D05DE" w:rsidRDefault="003D05DE" w:rsidP="00281E76">
            <w:pPr>
              <w:spacing w:before="40" w:after="40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1960tik 1990era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bitarteko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urteetan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eraikitako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eraikinen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instalazioak</w:t>
            </w:r>
            <w:proofErr w:type="spellEnd"/>
            <w:r w:rsidRPr="00681779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zk</w:t>
            </w:r>
            <w:proofErr w:type="spellEnd"/>
            <w:r w:rsidRPr="00681779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):</w:t>
            </w:r>
          </w:p>
        </w:tc>
      </w:tr>
      <w:tr w:rsidR="003D05DE" w:rsidTr="003D05DE">
        <w:trPr>
          <w:trHeight w:val="20"/>
        </w:trPr>
        <w:tc>
          <w:tcPr>
            <w:tcW w:w="4322" w:type="dxa"/>
            <w:vAlign w:val="center"/>
          </w:tcPr>
          <w:p w:rsidR="003D05DE" w:rsidRPr="00681779" w:rsidRDefault="003D05DE" w:rsidP="00281E76">
            <w:pPr>
              <w:pStyle w:val="Estilo"/>
              <w:spacing w:before="40" w:after="40"/>
              <w:ind w:left="100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sz w:val="18"/>
                <w:szCs w:val="18"/>
                <w:lang w:val="es-ES_tradnl"/>
              </w:rPr>
              <w:t>Garajeak</w:t>
            </w:r>
            <w:proofErr w:type="spellEnd"/>
          </w:p>
        </w:tc>
        <w:tc>
          <w:tcPr>
            <w:tcW w:w="2023" w:type="dxa"/>
            <w:vAlign w:val="center"/>
          </w:tcPr>
          <w:p w:rsidR="003D05DE" w:rsidRPr="00681779" w:rsidRDefault="003D05DE" w:rsidP="00281E76">
            <w:pPr>
              <w:pStyle w:val="Estilo"/>
              <w:spacing w:before="40" w:after="40"/>
              <w:ind w:left="19"/>
              <w:jc w:val="center"/>
              <w:rPr>
                <w:b/>
                <w:bCs/>
                <w:w w:val="110"/>
                <w:sz w:val="18"/>
                <w:szCs w:val="18"/>
                <w:lang w:val="es-ES_tradnl"/>
              </w:rPr>
            </w:pPr>
            <w:r w:rsidRPr="00681779">
              <w:rPr>
                <w:b/>
                <w:bCs/>
                <w:w w:val="110"/>
                <w:sz w:val="18"/>
                <w:szCs w:val="18"/>
                <w:lang w:val="es-ES_tradnl"/>
              </w:rPr>
              <w:t xml:space="preserve">425-908 </w:t>
            </w:r>
          </w:p>
        </w:tc>
      </w:tr>
      <w:tr w:rsidR="003D05DE" w:rsidTr="003D05DE">
        <w:trPr>
          <w:trHeight w:val="20"/>
        </w:trPr>
        <w:tc>
          <w:tcPr>
            <w:tcW w:w="4322" w:type="dxa"/>
            <w:vAlign w:val="center"/>
          </w:tcPr>
          <w:p w:rsidR="003D05DE" w:rsidRPr="00681779" w:rsidRDefault="003D05DE" w:rsidP="00281E76">
            <w:pPr>
              <w:pStyle w:val="Estilo"/>
              <w:spacing w:before="40" w:after="40"/>
              <w:ind w:left="100"/>
              <w:rPr>
                <w:sz w:val="18"/>
                <w:szCs w:val="18"/>
                <w:lang w:val="es-ES_tradnl"/>
              </w:rPr>
            </w:pPr>
            <w:proofErr w:type="spellStart"/>
            <w:r w:rsidRPr="00E65E00">
              <w:rPr>
                <w:sz w:val="18"/>
                <w:szCs w:val="18"/>
                <w:lang w:val="es-ES_tradnl"/>
              </w:rPr>
              <w:t>Ur</w:t>
            </w:r>
            <w:proofErr w:type="spellEnd"/>
            <w:r w:rsidRPr="00E65E0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E65E00">
              <w:rPr>
                <w:sz w:val="18"/>
                <w:szCs w:val="18"/>
                <w:lang w:val="es-ES_tradnl"/>
              </w:rPr>
              <w:t>bero</w:t>
            </w:r>
            <w:proofErr w:type="spellEnd"/>
            <w:r w:rsidRPr="00E65E0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E65E00">
              <w:rPr>
                <w:sz w:val="18"/>
                <w:szCs w:val="18"/>
                <w:lang w:val="es-ES_tradnl"/>
              </w:rPr>
              <w:t>sanitarioa</w:t>
            </w:r>
            <w:proofErr w:type="spellEnd"/>
            <w:r w:rsidRPr="00681779">
              <w:rPr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023" w:type="dxa"/>
            <w:vAlign w:val="center"/>
          </w:tcPr>
          <w:p w:rsidR="003D05DE" w:rsidRPr="00681779" w:rsidRDefault="003D05DE" w:rsidP="00281E76">
            <w:pPr>
              <w:pStyle w:val="Estilo"/>
              <w:spacing w:before="40" w:after="40"/>
              <w:ind w:left="19"/>
              <w:jc w:val="center"/>
              <w:rPr>
                <w:b/>
                <w:bCs/>
                <w:w w:val="110"/>
                <w:sz w:val="18"/>
                <w:szCs w:val="18"/>
                <w:lang w:val="es-ES_tradnl"/>
              </w:rPr>
            </w:pPr>
            <w:r w:rsidRPr="00681779">
              <w:rPr>
                <w:b/>
                <w:bCs/>
                <w:w w:val="110"/>
                <w:sz w:val="18"/>
                <w:szCs w:val="18"/>
                <w:lang w:val="es-ES_tradnl"/>
              </w:rPr>
              <w:t xml:space="preserve">380-949 </w:t>
            </w:r>
          </w:p>
        </w:tc>
      </w:tr>
      <w:tr w:rsidR="003D05DE" w:rsidTr="003D05DE">
        <w:trPr>
          <w:trHeight w:val="20"/>
        </w:trPr>
        <w:tc>
          <w:tcPr>
            <w:tcW w:w="4322" w:type="dxa"/>
            <w:vAlign w:val="center"/>
          </w:tcPr>
          <w:p w:rsidR="003D05DE" w:rsidRPr="00681779" w:rsidRDefault="003D05DE" w:rsidP="00281E76">
            <w:pPr>
              <w:pStyle w:val="Estilo"/>
              <w:spacing w:before="40" w:after="40"/>
              <w:ind w:left="100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sz w:val="18"/>
                <w:szCs w:val="18"/>
                <w:lang w:val="es-ES_tradnl"/>
              </w:rPr>
              <w:t>Igogailuak</w:t>
            </w:r>
            <w:proofErr w:type="spellEnd"/>
            <w:r w:rsidRPr="00681779">
              <w:rPr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023" w:type="dxa"/>
            <w:vAlign w:val="center"/>
          </w:tcPr>
          <w:p w:rsidR="003D05DE" w:rsidRPr="00681779" w:rsidRDefault="003D05DE" w:rsidP="00281E76">
            <w:pPr>
              <w:pStyle w:val="Estilo"/>
              <w:spacing w:before="40" w:after="40"/>
              <w:ind w:left="19"/>
              <w:jc w:val="center"/>
              <w:rPr>
                <w:w w:val="115"/>
                <w:sz w:val="20"/>
                <w:szCs w:val="20"/>
                <w:lang w:val="es-ES_tradnl"/>
              </w:rPr>
            </w:pPr>
            <w:r w:rsidRPr="00681779">
              <w:rPr>
                <w:w w:val="88"/>
                <w:sz w:val="20"/>
                <w:szCs w:val="20"/>
                <w:lang w:val="es-ES_tradnl"/>
              </w:rPr>
              <w:t>¿?</w:t>
            </w:r>
          </w:p>
        </w:tc>
      </w:tr>
      <w:tr w:rsidR="003D05DE" w:rsidTr="003D05DE">
        <w:trPr>
          <w:trHeight w:val="20"/>
        </w:trPr>
        <w:tc>
          <w:tcPr>
            <w:tcW w:w="4322" w:type="dxa"/>
            <w:vAlign w:val="center"/>
          </w:tcPr>
          <w:p w:rsidR="003D05DE" w:rsidRPr="00681779" w:rsidRDefault="003D05DE" w:rsidP="00281E76">
            <w:pPr>
              <w:pStyle w:val="Estilo"/>
              <w:spacing w:before="40" w:after="40"/>
              <w:ind w:left="100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sz w:val="18"/>
                <w:szCs w:val="18"/>
                <w:lang w:val="es-ES_tradnl"/>
              </w:rPr>
              <w:t>Zorrotenak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 eta </w:t>
            </w:r>
            <w:proofErr w:type="spellStart"/>
            <w:r>
              <w:rPr>
                <w:sz w:val="18"/>
                <w:szCs w:val="18"/>
                <w:lang w:val="es-ES_tradnl"/>
              </w:rPr>
              <w:t>bestelako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s-ES_tradnl"/>
              </w:rPr>
              <w:t>elementuak</w:t>
            </w:r>
            <w:proofErr w:type="spellEnd"/>
            <w:r w:rsidRPr="00681779">
              <w:rPr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023" w:type="dxa"/>
            <w:vAlign w:val="center"/>
          </w:tcPr>
          <w:p w:rsidR="003D05DE" w:rsidRPr="00681779" w:rsidRDefault="003D05DE" w:rsidP="00281E76">
            <w:pPr>
              <w:pStyle w:val="Estilo"/>
              <w:spacing w:before="40" w:after="40"/>
              <w:ind w:left="19"/>
              <w:jc w:val="center"/>
              <w:rPr>
                <w:w w:val="115"/>
                <w:sz w:val="18"/>
                <w:szCs w:val="18"/>
                <w:lang w:val="es-ES_tradnl"/>
              </w:rPr>
            </w:pPr>
            <w:r w:rsidRPr="00681779">
              <w:rPr>
                <w:w w:val="88"/>
                <w:sz w:val="20"/>
                <w:szCs w:val="20"/>
                <w:lang w:val="es-ES_tradnl"/>
              </w:rPr>
              <w:t>¿?</w:t>
            </w:r>
          </w:p>
        </w:tc>
      </w:tr>
    </w:tbl>
    <w:p w:rsidR="00757A19" w:rsidRDefault="00757A19" w:rsidP="00236189">
      <w:pPr>
        <w:spacing w:line="288" w:lineRule="auto"/>
        <w:rPr>
          <w:rFonts w:ascii="Century Gothic" w:hAnsi="Century Gothic"/>
          <w:sz w:val="24"/>
          <w:szCs w:val="24"/>
        </w:rPr>
      </w:pPr>
    </w:p>
    <w:p w:rsidR="00757A19" w:rsidRDefault="00236189" w:rsidP="00236189">
      <w:pPr>
        <w:tabs>
          <w:tab w:val="left" w:pos="720"/>
        </w:tabs>
        <w:spacing w:after="0" w:line="288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Hori guztia jakinarazten dizut Nafarroako Parlamentuko Erregelamendu</w:t>
      </w:r>
      <w:r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>ren 194. artikulua betetzeko.</w:t>
      </w:r>
    </w:p>
    <w:p w:rsidR="00236189" w:rsidRPr="001360A6" w:rsidRDefault="00236189" w:rsidP="00236189">
      <w:pPr>
        <w:spacing w:after="0" w:line="288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757A19" w:rsidRDefault="00236189" w:rsidP="00236189">
      <w:pPr>
        <w:tabs>
          <w:tab w:val="left" w:pos="3780"/>
        </w:tabs>
        <w:spacing w:after="0" w:line="288" w:lineRule="auto"/>
        <w:jc w:val="center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Iruñean, 2019ko azaroaren 21ean</w:t>
      </w:r>
    </w:p>
    <w:p w:rsidR="00757A19" w:rsidRDefault="00757A19" w:rsidP="00236189">
      <w:pPr>
        <w:spacing w:after="0" w:line="288" w:lineRule="auto"/>
        <w:ind w:left="567" w:right="567"/>
        <w:jc w:val="center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Osasuneko kontseilaria: Santos Indurain Orduna</w:t>
      </w:r>
    </w:p>
    <w:p w:rsidR="00236189" w:rsidRPr="00236189" w:rsidRDefault="00236189" w:rsidP="00236189">
      <w:pPr>
        <w:spacing w:line="288" w:lineRule="auto"/>
        <w:rPr>
          <w:rFonts w:ascii="Century Gothic" w:hAnsi="Century Gothic"/>
          <w:b/>
          <w:sz w:val="24"/>
          <w:szCs w:val="24"/>
          <w:lang w:val="es-ES_tradnl"/>
        </w:rPr>
      </w:pPr>
    </w:p>
    <w:sectPr w:rsidR="00236189" w:rsidRPr="002361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571"/>
    <w:multiLevelType w:val="hybridMultilevel"/>
    <w:tmpl w:val="B8CE6D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35EC6"/>
    <w:multiLevelType w:val="hybridMultilevel"/>
    <w:tmpl w:val="1EA610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554F6"/>
    <w:multiLevelType w:val="hybridMultilevel"/>
    <w:tmpl w:val="5CD6FB34"/>
    <w:lvl w:ilvl="0" w:tplc="B7944D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E6E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A8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3AAD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68C3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08C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A9D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B09A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8A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B03FE8"/>
    <w:multiLevelType w:val="hybridMultilevel"/>
    <w:tmpl w:val="B72467CC"/>
    <w:lvl w:ilvl="0" w:tplc="92CC314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A3C8BDFA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ADFAF49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78803BB4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FCD6509A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BEAED03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1081974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FF3E7F96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3346925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7DE041AB"/>
    <w:multiLevelType w:val="hybridMultilevel"/>
    <w:tmpl w:val="1D5E24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2F"/>
    <w:rsid w:val="000A1FF8"/>
    <w:rsid w:val="001676D6"/>
    <w:rsid w:val="001C3655"/>
    <w:rsid w:val="00236189"/>
    <w:rsid w:val="002A2597"/>
    <w:rsid w:val="003949A4"/>
    <w:rsid w:val="003D05DE"/>
    <w:rsid w:val="006A4123"/>
    <w:rsid w:val="0074791E"/>
    <w:rsid w:val="00757A19"/>
    <w:rsid w:val="007B10BD"/>
    <w:rsid w:val="00987732"/>
    <w:rsid w:val="00A757B3"/>
    <w:rsid w:val="00B16A9B"/>
    <w:rsid w:val="00B24324"/>
    <w:rsid w:val="00C15B51"/>
    <w:rsid w:val="00C57574"/>
    <w:rsid w:val="00C7052E"/>
    <w:rsid w:val="00CC302F"/>
    <w:rsid w:val="00D26EF4"/>
    <w:rsid w:val="00D64116"/>
    <w:rsid w:val="00DD5082"/>
    <w:rsid w:val="00EF5F63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43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41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7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D05D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">
    <w:name w:val="Estilo"/>
    <w:rsid w:val="003D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43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41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7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D05D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">
    <w:name w:val="Estilo"/>
    <w:rsid w:val="003D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7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5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cbs.gob.es/ciudadanos/saludAmbLaboral/docs/PIVISTEA201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884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Nuin Villanueva, Mª Ángeles (ISP)</dc:creator>
  <cp:lastModifiedBy>Iñaki De Santiago</cp:lastModifiedBy>
  <cp:revision>4</cp:revision>
  <cp:lastPrinted>2019-11-21T12:47:00Z</cp:lastPrinted>
  <dcterms:created xsi:type="dcterms:W3CDTF">2020-02-04T12:46:00Z</dcterms:created>
  <dcterms:modified xsi:type="dcterms:W3CDTF">2020-02-04T13:09:00Z</dcterms:modified>
</cp:coreProperties>
</file>