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viviendas en manos de fondos buitre,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A.P.F. de Podemos-Ahal Dugu, al amparo de lo dispuesto en el Reglamento de esta Cámara, presenta para su respuesta por escrito las siguientes preguntas al Departamento de Ordenación del Territorio, Vivienda, Paisaje y Proyectos Estratégicos.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¿Cuántas viviendas le consta al Gobierno que, tras caducar su calificación de VPO, hayan sido adquiridas por empresas de capital riesgo u otras entidades conocidas coloquialmente como “fondos buitre”?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empresas constructoras han llevado a cabo este tipo de operaciones de venta de vivienda social a empresas de capital riesgo u otras entidades conocidas coloquialmente como “fondos buitre”?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Relación de promociones que se prevé se descalifiquen a lo largo de la legislatura, titularidad actual de dichas promociones y plazos de descalificación.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13 febrero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