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9 de marzo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eliminación en plantilla de la vacante número 4598 de médico rehabilitador,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marzo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Suma, al amparo de lo dispuesto en los artículos 188 y siguientes del Reglamento de la Cámara, realiza la siguiente pregunta escrita: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¿Cuál es la razón por la que han eliminado de la plantilla orgánica la vacante de médico rehabilitador identificada en la plantilla orgánica con el número 4598?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¿Con cuántos médicos rehabilitadores cuenta ahora el Departamento de Derechos Sociales? ¿En qué unidades?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febrero de 2020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