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para gestionar la desescalada en Navarra,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del próximo 30 de abril por la Presidenta del Gobierno de Navarra.</w:t>
      </w:r>
    </w:p>
    <w:p>
      <w:pPr>
        <w:pStyle w:val="0"/>
        <w:suppressAutoHyphens w:val="false"/>
        <w:rPr>
          <w:rStyle w:val="1"/>
        </w:rPr>
      </w:pPr>
      <w:r>
        <w:rPr>
          <w:rStyle w:val="1"/>
        </w:rPr>
        <w:t xml:space="preserve">Conocido el anuncio del Gobierno central de iniciar el proceso de desescalada el próximo 2 de mayo, ¿cuáles son las medidas para gestionar esta decisión en nuestra comunidad?</w:t>
      </w:r>
    </w:p>
    <w:p>
      <w:pPr>
        <w:pStyle w:val="0"/>
        <w:suppressAutoHyphens w:val="false"/>
        <w:rPr>
          <w:rStyle w:val="1"/>
        </w:rPr>
      </w:pPr>
      <w:r>
        <w:rPr>
          <w:rStyle w:val="1"/>
        </w:rPr>
        <w:t xml:space="preserve">Pamplona-lruña a 26 de abril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