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mayo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 de máxima actualidad sobre las medidas previstas para reactivar los expedientes de contratación a fin de contribuir a la recuperación de la actividad comercial y económica de las entidades locales, formulada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mayo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Foral adscrito a la Agrupación Parlamentaria Foral Podemos-Ahal Dugu Navarra, al amparo de lo dispuesto en el Reglamento de esta Cámara, presenta la siguiente pregunta oral, a fin de que sea respondida en el próximo Pleno de la Cámara por parte del Consejero de Cohesión Territorial de Gobierno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Una de las consecuencias de la crisis sanitaria es la repercusión social y económica en nuestras entidades locales.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tiene previstas el Gobierno de Navarra para reactivar los expedientes de contratación a fin de contribuir a la recuperación de la actividad comercial y económica de las entidades locales?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3 de mayo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