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mayo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 de máxima actualidad sobre las medidas previstas para reactivar los expedientes de contratación a fin de contribuir a la recuperación de la actividad comercial y económica de las entidades locales,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mayo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Cámara, presenta la siguiente pregunta oral, a fin de que sea respondida en el próximo Pleno de la Cámara por parte del Consejero de Cohesión Territorial de Gobierno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Una de las consecuencias de la crisis sanitaria es la repercusión social y económica en nuestras entidades locales.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tiene previstas el Gobierno de Navarra para reactivar los expedientes de contratación a fin de contribuir a la recuperación de la actividad comercial y económica de las entidades locales?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3 de mayo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