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dar certeza y facilitar la labor a las entidades locales en relación con competencias municipales,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dirigida a la Presidenta del Gobierno de Navarra para su contestación en el Pleno.</w:t>
      </w:r>
    </w:p>
    <w:p>
      <w:pPr>
        <w:pStyle w:val="0"/>
        <w:suppressAutoHyphens w:val="false"/>
        <w:rPr>
          <w:rStyle w:val="1"/>
        </w:rPr>
      </w:pPr>
      <w:r>
        <w:rPr>
          <w:rStyle w:val="1"/>
        </w:rPr>
        <w:t xml:space="preserve">¿Qué medidas va a tomar el Gobierno de Navarra para dar certezas y facilitar la labor de las entidades locales en relación con competencias municipales entre las que se encuentran la apertura de piscinas municipales, las fiestas patronales y otras cuestiones de ámbito local?</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