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los vertederos de residuos industriales no peligrosos y los depósitos de residuos de amianto, publicada en el Boletín Oficial del Parlamento de Navarra núm. 28 de 28 de febrero de 2020.</w:t>
      </w:r>
    </w:p>
    <w:p>
      <w:pPr>
        <w:pStyle w:val="0"/>
        <w:suppressAutoHyphens w:val="false"/>
        <w:rPr>
          <w:rStyle w:val="1"/>
        </w:rPr>
      </w:pPr>
      <w:r>
        <w:rPr>
          <w:rStyle w:val="1"/>
        </w:rPr>
        <w:t xml:space="preserve">Pamplona, 20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para su contestación por escrito formulada por el Parlamentario Foral limo. Sr. D. Adolfo Araiz Flamarique, adscrito al Grupo Parlamentario EH Bildu Nafarroa, sobre los vertederos de residuos industriales no peligrosos y los depósitos de residuos de amianto (10-20-PES-00035), tiene el honor de remitirle la siguiente contestación: </w:t>
      </w:r>
    </w:p>
    <w:p>
      <w:pPr>
        <w:pStyle w:val="0"/>
        <w:suppressAutoHyphens w:val="false"/>
        <w:rPr>
          <w:rStyle w:val="1"/>
        </w:rPr>
      </w:pPr>
      <w:r>
        <w:rPr>
          <w:rStyle w:val="1"/>
        </w:rPr>
        <w:t xml:space="preserve">¿Cuántos vertederos, con autorización ambiental integrada, existen en la Comunidad Foral en los cuáles se puede recibir para su depósito residuos industriales no peligrosos? </w:t>
      </w:r>
    </w:p>
    <w:p>
      <w:pPr>
        <w:pStyle w:val="0"/>
        <w:suppressAutoHyphens w:val="false"/>
        <w:rPr>
          <w:rStyle w:val="1"/>
        </w:rPr>
      </w:pPr>
      <w:r>
        <w:rPr>
          <w:rStyle w:val="1"/>
        </w:rPr>
        <w:t xml:space="preserve">En la actualidad son 7 los vertederos con Autorización Ambiental Integrada (AAI) que pueden recibir residuos industriales no peligrosos, aunque dos de ellos únicamente recepcionan residuos de producción propia. </w:t>
      </w:r>
    </w:p>
    <w:p>
      <w:pPr>
        <w:pStyle w:val="0"/>
        <w:suppressAutoHyphens w:val="false"/>
        <w:rPr>
          <w:rStyle w:val="1"/>
        </w:rPr>
      </w:pPr>
      <w:r>
        <w:rPr>
          <w:rStyle w:val="1"/>
        </w:rPr>
        <w:t xml:space="preserve">Dionisio Ruiz, S.L. </w:t>
      </w:r>
    </w:p>
    <w:p>
      <w:pPr>
        <w:pStyle w:val="0"/>
        <w:suppressAutoHyphens w:val="false"/>
        <w:rPr>
          <w:rStyle w:val="1"/>
        </w:rPr>
      </w:pPr>
      <w:r>
        <w:rPr>
          <w:rStyle w:val="1"/>
        </w:rPr>
        <w:t xml:space="preserve">Essity Hygiene Spain, S.L (depósito de residuos de producción propia) </w:t>
      </w:r>
    </w:p>
    <w:p>
      <w:pPr>
        <w:pStyle w:val="0"/>
        <w:suppressAutoHyphens w:val="false"/>
        <w:rPr>
          <w:rStyle w:val="1"/>
        </w:rPr>
      </w:pPr>
      <w:r>
        <w:rPr>
          <w:rStyle w:val="1"/>
        </w:rPr>
        <w:t xml:space="preserve">Fagor Ederlan Tafalla, S.Coop. (Vertedero) (depósito de residuos de producción propia) </w:t>
      </w:r>
    </w:p>
    <w:p>
      <w:pPr>
        <w:pStyle w:val="0"/>
        <w:suppressAutoHyphens w:val="false"/>
        <w:rPr>
          <w:rStyle w:val="1"/>
        </w:rPr>
      </w:pPr>
      <w:r>
        <w:rPr>
          <w:rStyle w:val="1"/>
        </w:rPr>
        <w:t xml:space="preserve">CTRU Gongora </w:t>
      </w:r>
    </w:p>
    <w:p>
      <w:pPr>
        <w:pStyle w:val="0"/>
        <w:suppressAutoHyphens w:val="false"/>
        <w:rPr>
          <w:rStyle w:val="1"/>
        </w:rPr>
      </w:pPr>
      <w:r>
        <w:rPr>
          <w:rStyle w:val="1"/>
        </w:rPr>
        <w:t xml:space="preserve">Mancomunidad de la Ribera </w:t>
      </w:r>
    </w:p>
    <w:p>
      <w:pPr>
        <w:pStyle w:val="0"/>
        <w:suppressAutoHyphens w:val="false"/>
        <w:rPr>
          <w:rStyle w:val="1"/>
        </w:rPr>
      </w:pPr>
      <w:r>
        <w:rPr>
          <w:rStyle w:val="1"/>
        </w:rPr>
        <w:t xml:space="preserve">Mancomunidad de Sakana </w:t>
      </w:r>
    </w:p>
    <w:p>
      <w:pPr>
        <w:pStyle w:val="0"/>
        <w:suppressAutoHyphens w:val="false"/>
        <w:rPr>
          <w:rStyle w:val="1"/>
        </w:rPr>
      </w:pPr>
      <w:r>
        <w:rPr>
          <w:rStyle w:val="1"/>
        </w:rPr>
        <w:t xml:space="preserve">Servicios de Montejurra, S.A.- Cargar </w:t>
      </w:r>
    </w:p>
    <w:p>
      <w:pPr>
        <w:pStyle w:val="0"/>
        <w:suppressAutoHyphens w:val="false"/>
        <w:rPr>
          <w:rStyle w:val="1"/>
        </w:rPr>
      </w:pPr>
      <w:r>
        <w:rPr>
          <w:rStyle w:val="1"/>
        </w:rPr>
        <w:t xml:space="preserve">¿Qué cantidad total de residuos industriales no peligrosos se depositan en los vertederos de Navarra, tanto de gestión pública como privada? </w:t>
      </w:r>
    </w:p>
    <w:p>
      <w:pPr>
        <w:pStyle w:val="0"/>
        <w:suppressAutoHyphens w:val="false"/>
        <w:rPr>
          <w:rStyle w:val="1"/>
        </w:rPr>
      </w:pPr>
      <w:r>
        <w:rPr>
          <w:rStyle w:val="1"/>
        </w:rPr>
        <w:t xml:space="preserve">En 2018 se depositaron un total de 221.866 t de residuos industriales no peligrosos en los vertederos de Navarra. Queda incluido el Vertedero de residuos inertes de Contenedores Iruña, S.L. (Carrascal), que también está autorizado para recibir algunos residuos industriales minerales no peligrosos de baja lixiviación (arenas de fundición, ... ), pero que no requiere de AAI. </w:t>
      </w:r>
    </w:p>
    <w:p>
      <w:pPr>
        <w:pStyle w:val="0"/>
        <w:suppressAutoHyphens w:val="false"/>
        <w:rPr>
          <w:rStyle w:val="1"/>
        </w:rPr>
      </w:pPr>
      <w:r>
        <w:rPr>
          <w:rStyle w:val="1"/>
        </w:rPr>
        <w:t xml:space="preserve">¿En algún vertedero, de gestión pública o privada, se pueden depositar residuos de materiales que contengan amianto o amianto? </w:t>
      </w:r>
    </w:p>
    <w:p>
      <w:pPr>
        <w:pStyle w:val="0"/>
        <w:suppressAutoHyphens w:val="false"/>
        <w:rPr>
          <w:rStyle w:val="1"/>
        </w:rPr>
      </w:pPr>
      <w:r>
        <w:rPr>
          <w:rStyle w:val="1"/>
        </w:rPr>
        <w:t xml:space="preserve">El único vertedero ha tenido autorización para el depósito de amianto es Dionisio Ruiz, S.L., sin embargo, desde año 2018 se procedió a la clausura de la celda destinada a recibir este tipo de residuo. </w:t>
      </w:r>
    </w:p>
    <w:p>
      <w:pPr>
        <w:pStyle w:val="0"/>
        <w:suppressAutoHyphens w:val="false"/>
        <w:rPr>
          <w:rStyle w:val="1"/>
        </w:rPr>
      </w:pPr>
      <w:r>
        <w:rPr>
          <w:rStyle w:val="1"/>
        </w:rPr>
        <w:t xml:space="preserve">Qué número de toneladas de residuos de amianto se han vertido o depositado en vertederos localizados en Navarra desde el año 2004? ¿Qué cantidad en cada año? ¿En qué vertederos se han depositado en cada año? </w:t>
      </w:r>
    </w:p>
    <w:p>
      <w:pPr>
        <w:pStyle w:val="0"/>
        <w:suppressAutoHyphens w:val="false"/>
        <w:rPr>
          <w:rStyle w:val="1"/>
        </w:rPr>
      </w:pPr>
      <w:r>
        <w:rPr>
          <w:rStyle w:val="1"/>
        </w:rPr>
        <w:t xml:space="preserve">La cantidad total de residuos de amianto o fibrocemento depositados en el vertedero de Dionisio Ruiz, S.L desde el año 2009 es de 5.316 t. </w:t>
      </w:r>
    </w:p>
    <w:p>
      <w:pPr>
        <w:pStyle w:val="3"/>
        <w:suppressAutoHyphens w:val="false"/>
        <w:tabs>
          <w:tab w:leader="none" w:pos="3640" w:val="center"/>
        </w:tabs>
        <w:rPr/>
      </w:pPr>
      <w:r>
        <w:rPr/>
        <w:t xml:space="preserve">Año</w:t>
        <w:tab/>
        <w:t xml:space="preserve">Cantidad (t)</w:t>
      </w:r>
    </w:p>
    <w:p>
      <w:pPr>
        <w:pStyle w:val="4"/>
        <w:suppressAutoHyphens w:val="false"/>
        <w:tabs>
          <w:tab w:leader="none" w:pos="3640" w:val="center"/>
        </w:tabs>
        <w:rPr/>
      </w:pPr>
      <w:r>
        <w:rPr/>
        <w:t xml:space="preserve">2009</w:t>
        <w:tab/>
        <w:t xml:space="preserve">31</w:t>
      </w:r>
    </w:p>
    <w:p>
      <w:pPr>
        <w:pStyle w:val="4"/>
        <w:suppressAutoHyphens w:val="false"/>
        <w:tabs>
          <w:tab w:leader="none" w:pos="3640" w:val="center"/>
        </w:tabs>
        <w:rPr/>
      </w:pPr>
      <w:r>
        <w:rPr/>
        <w:t xml:space="preserve">2010</w:t>
        <w:tab/>
        <w:t xml:space="preserve">372</w:t>
      </w:r>
    </w:p>
    <w:p>
      <w:pPr>
        <w:pStyle w:val="4"/>
        <w:suppressAutoHyphens w:val="false"/>
        <w:tabs>
          <w:tab w:leader="none" w:pos="3640" w:val="center"/>
        </w:tabs>
        <w:rPr/>
      </w:pPr>
      <w:r>
        <w:rPr/>
        <w:t xml:space="preserve">2011</w:t>
        <w:tab/>
        <w:t xml:space="preserve">843</w:t>
      </w:r>
    </w:p>
    <w:p>
      <w:pPr>
        <w:pStyle w:val="4"/>
        <w:suppressAutoHyphens w:val="false"/>
        <w:tabs>
          <w:tab w:leader="none" w:pos="3640" w:val="center"/>
        </w:tabs>
        <w:rPr/>
      </w:pPr>
      <w:r>
        <w:rPr/>
        <w:t xml:space="preserve">2012</w:t>
        <w:tab/>
        <w:t xml:space="preserve">539</w:t>
      </w:r>
    </w:p>
    <w:p>
      <w:pPr>
        <w:pStyle w:val="4"/>
        <w:suppressAutoHyphens w:val="false"/>
        <w:tabs>
          <w:tab w:leader="none" w:pos="3640" w:val="center"/>
        </w:tabs>
        <w:rPr/>
      </w:pPr>
      <w:r>
        <w:rPr/>
        <w:t xml:space="preserve">2013</w:t>
        <w:tab/>
        <w:t xml:space="preserve">501</w:t>
      </w:r>
    </w:p>
    <w:p>
      <w:pPr>
        <w:pStyle w:val="4"/>
        <w:suppressAutoHyphens w:val="false"/>
        <w:tabs>
          <w:tab w:leader="none" w:pos="3640" w:val="center"/>
        </w:tabs>
        <w:rPr/>
      </w:pPr>
      <w:r>
        <w:rPr/>
        <w:t xml:space="preserve">2014</w:t>
        <w:tab/>
        <w:t xml:space="preserve">743</w:t>
      </w:r>
    </w:p>
    <w:p>
      <w:pPr>
        <w:pStyle w:val="4"/>
        <w:suppressAutoHyphens w:val="false"/>
        <w:tabs>
          <w:tab w:leader="none" w:pos="3640" w:val="center"/>
        </w:tabs>
        <w:rPr/>
      </w:pPr>
      <w:r>
        <w:rPr/>
        <w:t xml:space="preserve">2015</w:t>
        <w:tab/>
        <w:t xml:space="preserve">1.080</w:t>
      </w:r>
    </w:p>
    <w:p>
      <w:pPr>
        <w:pStyle w:val="4"/>
        <w:suppressAutoHyphens w:val="false"/>
        <w:tabs>
          <w:tab w:leader="none" w:pos="3640" w:val="center"/>
        </w:tabs>
        <w:rPr/>
      </w:pPr>
      <w:r>
        <w:rPr/>
        <w:t xml:space="preserve">2016</w:t>
        <w:tab/>
        <w:t xml:space="preserve">1.163</w:t>
      </w:r>
    </w:p>
    <w:p>
      <w:pPr>
        <w:pStyle w:val="4"/>
        <w:suppressAutoHyphens w:val="false"/>
        <w:tabs>
          <w:tab w:leader="none" w:pos="3640" w:val="center"/>
        </w:tabs>
        <w:rPr/>
      </w:pPr>
      <w:r>
        <w:rPr/>
        <w:t xml:space="preserve">2017</w:t>
        <w:tab/>
        <w:t xml:space="preserve">44</w:t>
      </w:r>
    </w:p>
    <w:p>
      <w:pPr>
        <w:pStyle w:val="5"/>
        <w:suppressAutoHyphens w:val="false"/>
        <w:tabs>
          <w:tab w:leader="none" w:pos="3640" w:val="center"/>
        </w:tabs>
        <w:rPr/>
      </w:pPr>
      <w:r>
        <w:rPr/>
        <w:t xml:space="preserve">2018</w:t>
        <w:tab/>
        <w:t xml:space="preserve">0</w:t>
      </w:r>
    </w:p>
    <w:p>
      <w:pPr>
        <w:pStyle w:val="5"/>
        <w:suppressAutoHyphens w:val="false"/>
        <w:tabs>
          <w:tab w:leader="none" w:pos="3640" w:val="center"/>
        </w:tabs>
        <w:rPr/>
      </w:pPr>
      <w:r>
        <w:rPr/>
        <w:t xml:space="preserve">TOTAL</w:t>
        <w:tab/>
        <w:t xml:space="preserve">5.316</w:t>
      </w:r>
    </w:p>
    <w:p>
      <w:pPr>
        <w:pStyle w:val="6"/>
        <w:suppressAutoHyphens w:val="false"/>
        <w:rPr/>
      </w:pPr>
      <w:r>
        <w:rPr/>
        <w:t xml:space="preserve">Pamplona, 20 de mayo de 2020 </w:t>
      </w:r>
    </w:p>
    <w:p>
      <w:pPr>
        <w:pStyle w:val="0"/>
        <w:suppressAutoHyphens w:val="false"/>
        <w:rPr>
          <w:rStyle w:val="1"/>
        </w:rPr>
      </w:pPr>
      <w:r>
        <w:rPr>
          <w:rStyle w:val="1"/>
        </w:rPr>
        <w:t xml:space="preserve">La Consejera de Desarrollo Rural Y Medio Ambiente: Itziar Gópez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6" w:type="paragraph">
    <w:name w:val="Tab6"/>
    <w:basedOn w:val="0"/>
    <w:next w:val="6"/>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7"/>
    <w:basedOn w:val="3"/>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
    <w:basedOn w:val="0"/>
    <w:next w:val="3"/>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