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 de junio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hace un llamamiento para que sea la palabra y la cortesía parlamentaria la que presida los debates políticos frente a la descalificación y la violencia observadas en las últimas semanas en el ámbito nacional.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se reafirma en la defensa de la pluralidad de las diferentes visiones políticas de nuestra comunidad y las considera enriquecedoras desde todos los puntos de vista.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Que los llamamientos a la criminalización sobre diferentes identidades políticas suponen un evidente riesgo para la convivencia pacífica a nivel nacional, autonómico y municipal y deberían desterrarse del debate político” (10-20/DEC-00036).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 de junio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