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compensación económica de personas afectadas por expedientes de regulación de empleo de suspensión o reducción que no lleguen a percibir el SMI,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E.H. Bildu Nafarroa, ante la Mesa de la Cámara, presenta para su tramitación las siguientes preguntas para su respuesta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Ayer, en el seno del Consejo Económico y Social, se adoptó un acuerdo que contó con el visto bueno del Gobierno –la propia Presidenta firmó el documento con los representantes de la asociación de empresarios, CEN, y los sindicatos UGT y CCOO– en el que se indica lo siguiente: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“Compensación económica a aquellas personas afectadas por expedientes de regulación de empleo de suspensión o reducción y que no vean completado por parte de la empresa su salario al 100 % y como consecuencia de ello no lleguen a percibir el SMI: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 – Las partes se comprometen a evaluar una actuación en ese terreno con efectos a partir de 1 de julio de 2020 y con el compromiso de llegar a un acuerdo antes del 31 de julio, que deberá aprobarse en una reunión del Consejo del Diálogo Social convocada al efecto”.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 lo anterior se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¿De qué información dispone el Gobierno sobre el número de personas que pudieran estar afectadas por la posible implantación de esta medida?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coste ha calculado el Gobierno que podría tener la aprobación de esta medida?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¿De qué medios dispone el Gobierno para financiar la posible implantación de esta medida? ¿De dónde pretende financiar el Gobierno esa medida?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el Gobierno que la implantación de esta medida comportaría la modificación de los vigentes presupuestos y sería precisa la aprobación de esa modificación por el Parlamento?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Iruñea/Pamplona a 17 de junio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