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en la que han quedado los ayuntamientos que no finalizaron las inversiones financieramente sostenibles,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Ibáñez Pérez, miembro de las Cortes de Navarra, adscrita al Grupo Parlamentario de Navarra Suma, al amparo de lo dispuesto en el Reglamento de la Cámara, realiza la siguiente pregunta escrita. </w:t>
      </w:r>
    </w:p>
    <w:p>
      <w:pPr>
        <w:pStyle w:val="0"/>
        <w:suppressAutoHyphens w:val="false"/>
        <w:rPr>
          <w:rStyle w:val="1"/>
        </w:rPr>
      </w:pPr>
      <w:r>
        <w:rPr>
          <w:rStyle w:val="1"/>
        </w:rPr>
        <w:t xml:space="preserve">Situación en la que han quedado ayuntamientos, como es el caso de Marcilla, Villafranca y Cabanillas, que con fecha de 31 de diciembre de 2019 no finalizaron las inversiones financieramente sostenibles. </w:t>
      </w:r>
    </w:p>
    <w:p>
      <w:pPr>
        <w:pStyle w:val="0"/>
        <w:suppressAutoHyphens w:val="false"/>
        <w:rPr>
          <w:rStyle w:val="1"/>
        </w:rPr>
      </w:pPr>
      <w:r>
        <w:rPr>
          <w:rStyle w:val="1"/>
        </w:rPr>
        <w:t xml:space="preserve">Pamplona, 12 de agosto de 2020 </w:t>
      </w:r>
    </w:p>
    <w:p>
      <w:pPr>
        <w:pStyle w:val="0"/>
        <w:suppressAutoHyphens w:val="false"/>
        <w:rPr>
          <w:rStyle w:val="1"/>
        </w:rPr>
      </w:pPr>
      <w:r>
        <w:rPr>
          <w:rStyle w:val="1"/>
        </w:rPr>
        <w:t xml:space="preserve">La Parlamentaria Foral: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