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presencia institucional en las visitas a entidades locales,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Ibáñez Pérez, miembro de las Cortes de Navarra, adscrita al Grupo Parlamentario de Navarra Suma, al amparo de lo dispuesto en el Reglamento de la Cámara, realiza la siguiente pregunta escrita dirigida al consejero de Cohesión Territorial.</w:t>
      </w:r>
    </w:p>
    <w:p>
      <w:pPr>
        <w:pStyle w:val="0"/>
        <w:suppressAutoHyphens w:val="false"/>
        <w:rPr>
          <w:rStyle w:val="1"/>
        </w:rPr>
      </w:pPr>
      <w:r>
        <w:rPr>
          <w:rStyle w:val="1"/>
        </w:rPr>
        <w:t xml:space="preserve">Con motivo de la firma del convenio entre el Ayuntamiento de Olite y el Gobierno de Navarra para el acondicionamiento de las calles Molinacho y Ujué, los medios de comunicación han recogido la visita de autoridades forales y municipales entre las que se encuentra el parlamentario foral don Pablo Azcona. Por reiteración en la presencia del citado parlamentario en visitas a entidades locales por parte de la Dirección General de Administración Local, ¿cuál es la motivación que ha llevado a esta dirección general a invitar exclusivamente al citado parlamentario? ¿Va a continuar el Departamento con esta discriminación hacia el resto de grupos parlamentarios, y en particular hacia Navarra Suma?</w:t>
      </w:r>
    </w:p>
    <w:p>
      <w:pPr>
        <w:pStyle w:val="0"/>
        <w:suppressAutoHyphens w:val="false"/>
        <w:rPr>
          <w:rStyle w:val="1"/>
        </w:rPr>
      </w:pPr>
      <w:r>
        <w:rPr>
          <w:rStyle w:val="1"/>
        </w:rPr>
        <w:t xml:space="preserve">Pamplona, 20 de agosto de 2020</w:t>
      </w:r>
    </w:p>
    <w:p>
      <w:pPr>
        <w:pStyle w:val="0"/>
        <w:suppressAutoHyphens w:val="false"/>
        <w:rPr>
          <w:rStyle w:val="1"/>
        </w:rPr>
      </w:pPr>
      <w:r>
        <w:rPr>
          <w:rStyle w:val="1"/>
        </w:rPr>
        <w:t xml:space="preserve">La Parlamentaria Foral: Yolanda Ibáñez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