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B6" w:rsidRDefault="00520F6D" w:rsidP="007A14AD">
      <w:pPr>
        <w:ind w:firstLine="540"/>
        <w:rPr>
          <w:rFonts w:cs="Arial"/>
        </w:rPr>
      </w:pPr>
      <w:bookmarkStart w:id="0" w:name="_GoBack"/>
      <w:bookmarkEnd w:id="0"/>
      <w:r>
        <w:t>EH Bildu Nafarroa talde parlamentarioari atxikitako foru parlamentari Maiorga Ramírez Erro jaunak 10-20/PES-00097 zenbakiko galdera egin du, idatziz erantzutekoa. Hori dela-eta, Lurraldearen Antolamenduko, Etxebizitzako, Paisaiako eta Proiektu Estrategikoe</w:t>
      </w:r>
      <w:r>
        <w:t>tako kontseilariak honako hau jakinarazten dizu:</w:t>
      </w:r>
    </w:p>
    <w:p w:rsidR="00E32CB6" w:rsidRDefault="00520F6D" w:rsidP="00954D1C">
      <w:pPr>
        <w:numPr>
          <w:ilvl w:val="0"/>
          <w:numId w:val="18"/>
        </w:numPr>
        <w:rPr>
          <w:rFonts w:cs="Arial"/>
        </w:rPr>
      </w:pPr>
      <w:r>
        <w:t>Jarduketak:</w:t>
      </w:r>
    </w:p>
    <w:p w:rsidR="00A56CCF" w:rsidRDefault="00520F6D" w:rsidP="00BC3A3A">
      <w:pPr>
        <w:ind w:firstLine="709"/>
        <w:rPr>
          <w:rFonts w:cs="Arial"/>
          <w:color w:val="000000"/>
          <w:szCs w:val="24"/>
        </w:rPr>
      </w:pPr>
      <w:r>
        <w:rPr>
          <w:color w:val="000000"/>
          <w:szCs w:val="24"/>
        </w:rPr>
        <w:t>1.- Abenduaren 21eko 22/2016 Foru Legeak, zeinaren bidez herritarrentzako laguntza-neurriak ezartzen baitira etxebizitzaren alorrean, aldatu egin zuen Etxebizitzaren arloko jarduketa babesgarriak</w:t>
      </w:r>
      <w:r>
        <w:rPr>
          <w:color w:val="000000"/>
          <w:szCs w:val="24"/>
        </w:rPr>
        <w:t xml:space="preserve"> arautzen dituen irailaren 18ko 61/2013 Foru Dekretuaren bigarren xedapen iragankorra, babestutako erregimenaren pareko erregimenean errentamendu-sustapenak malgutzeko eta luzatzeko.</w:t>
      </w:r>
    </w:p>
    <w:p w:rsidR="009B3F4B" w:rsidRDefault="00520F6D" w:rsidP="00BC3A3A">
      <w:pPr>
        <w:ind w:firstLine="709"/>
        <w:rPr>
          <w:rFonts w:cs="Arial"/>
          <w:color w:val="000000"/>
          <w:szCs w:val="24"/>
        </w:rPr>
      </w:pPr>
      <w:r>
        <w:rPr>
          <w:color w:val="000000"/>
          <w:szCs w:val="24"/>
        </w:rPr>
        <w:t>2. xedapen iragankor horrek honako testu hau du orain:</w:t>
      </w:r>
    </w:p>
    <w:p w:rsidR="009B3F4B" w:rsidRPr="009B3F4B" w:rsidRDefault="00520F6D" w:rsidP="009B3F4B">
      <w:pPr>
        <w:spacing w:line="300" w:lineRule="atLeast"/>
        <w:ind w:left="482"/>
        <w:rPr>
          <w:rFonts w:cs="Arial"/>
          <w:i/>
          <w:color w:val="333333"/>
          <w:szCs w:val="24"/>
        </w:rPr>
      </w:pPr>
      <w:r>
        <w:rPr>
          <w:i/>
          <w:color w:val="333333"/>
          <w:szCs w:val="24"/>
        </w:rPr>
        <w:t xml:space="preserve">“Bigarren xedapen </w:t>
      </w:r>
      <w:r>
        <w:rPr>
          <w:i/>
          <w:color w:val="333333"/>
          <w:szCs w:val="24"/>
        </w:rPr>
        <w:t>iragankorra. Kalifikazio epea bukatutakoan errentamendurakoak izaten segitzen duten etxebizitzetako maizterrentzako diru-laguntza.</w:t>
      </w:r>
    </w:p>
    <w:p w:rsidR="009B3F4B" w:rsidRPr="009B3F4B" w:rsidRDefault="00520F6D" w:rsidP="009B3F4B">
      <w:pPr>
        <w:spacing w:line="300" w:lineRule="atLeast"/>
        <w:ind w:left="482"/>
        <w:rPr>
          <w:rFonts w:cs="Arial"/>
          <w:i/>
          <w:color w:val="333333"/>
          <w:szCs w:val="24"/>
        </w:rPr>
      </w:pPr>
      <w:r>
        <w:rPr>
          <w:i/>
          <w:color w:val="333333"/>
          <w:szCs w:val="24"/>
        </w:rPr>
        <w:t>Etxebizitzaren arloan eskumena duen departamentuak diru-laguntzak ematen ahalko dizkie errentamendura zuzendutako etxebizitze</w:t>
      </w:r>
      <w:r>
        <w:rPr>
          <w:i/>
          <w:color w:val="333333"/>
          <w:szCs w:val="24"/>
        </w:rPr>
        <w:t>tako maizterrei kalifikazio epea eta babes araubidearen indarraldia bukatuta ere, honako baldintza hauek ematen badira:</w:t>
      </w:r>
      <w:r>
        <w:rPr>
          <w:i/>
          <w:color w:val="333333"/>
          <w:szCs w:val="24"/>
        </w:rPr>
        <w:tab/>
      </w:r>
    </w:p>
    <w:p w:rsidR="009B3F4B" w:rsidRPr="009B3F4B" w:rsidRDefault="00520F6D" w:rsidP="009B3F4B">
      <w:pPr>
        <w:spacing w:line="300" w:lineRule="atLeast"/>
        <w:ind w:left="482"/>
        <w:rPr>
          <w:rFonts w:cs="Arial"/>
          <w:i/>
          <w:color w:val="333333"/>
          <w:szCs w:val="24"/>
        </w:rPr>
      </w:pPr>
      <w:r>
        <w:rPr>
          <w:i/>
          <w:color w:val="333333"/>
          <w:szCs w:val="24"/>
        </w:rPr>
        <w:t>a) Sustatzaileak konpromisoa hartzen badu etxebizitza babestuetarako ezarritako baldintzetan etxebizitzak errentamendurako erabiltzeko,</w:t>
      </w:r>
      <w:r>
        <w:rPr>
          <w:i/>
          <w:color w:val="333333"/>
          <w:szCs w:val="24"/>
        </w:rPr>
        <w:t xml:space="preserve"> kasuko kontratu-urtealdia amaitu arte. Epe hori sustatzailearen eskariz luzatu ahalko da, errentamendu-urtealdi osoetarako, gehieneko mugarik gabe.</w:t>
      </w:r>
    </w:p>
    <w:p w:rsidR="009B3F4B" w:rsidRPr="009B3F4B" w:rsidRDefault="00520F6D" w:rsidP="009B3F4B">
      <w:pPr>
        <w:spacing w:line="300" w:lineRule="atLeast"/>
        <w:ind w:left="482"/>
        <w:rPr>
          <w:rFonts w:cs="Arial"/>
          <w:i/>
          <w:color w:val="333333"/>
          <w:szCs w:val="24"/>
        </w:rPr>
      </w:pPr>
      <w:r>
        <w:rPr>
          <w:i/>
          <w:color w:val="333333"/>
          <w:szCs w:val="24"/>
        </w:rPr>
        <w:t>b) Sustatzaileak egina izan dadila xedapen honetan ezarritakora biltzeko eskaera:</w:t>
      </w:r>
    </w:p>
    <w:p w:rsidR="009B3F4B" w:rsidRPr="009B3F4B" w:rsidRDefault="00520F6D" w:rsidP="009B3F4B">
      <w:pPr>
        <w:spacing w:line="300" w:lineRule="atLeast"/>
        <w:ind w:left="482"/>
        <w:rPr>
          <w:rFonts w:cs="Arial"/>
          <w:i/>
          <w:color w:val="333333"/>
          <w:szCs w:val="24"/>
        </w:rPr>
      </w:pPr>
      <w:r>
        <w:rPr>
          <w:i/>
          <w:color w:val="333333"/>
          <w:szCs w:val="24"/>
        </w:rPr>
        <w:tab/>
        <w:t>- edonoiz, kalifikazio-e</w:t>
      </w:r>
      <w:r>
        <w:rPr>
          <w:i/>
          <w:color w:val="333333"/>
          <w:szCs w:val="24"/>
        </w:rPr>
        <w:t>pea amaitzen denetik sei hilabete igaro arte, eta amaiera horretatik aurrera izanen du eragina.</w:t>
      </w:r>
    </w:p>
    <w:p w:rsidR="00E32CB6" w:rsidRDefault="00520F6D" w:rsidP="009B3F4B">
      <w:pPr>
        <w:ind w:firstLine="709"/>
        <w:rPr>
          <w:rFonts w:cs="Arial"/>
          <w:i/>
          <w:color w:val="000000"/>
          <w:szCs w:val="24"/>
        </w:rPr>
      </w:pPr>
      <w:r>
        <w:rPr>
          <w:i/>
          <w:color w:val="333333"/>
          <w:szCs w:val="24"/>
        </w:rPr>
        <w:t>- edo hurrengo urtealdi osoak amaitu baino hilabete lehenago arte".</w:t>
      </w:r>
    </w:p>
    <w:p w:rsidR="009B3F4B" w:rsidRDefault="00520F6D" w:rsidP="00A56CCF">
      <w:pPr>
        <w:ind w:firstLine="540"/>
        <w:rPr>
          <w:rFonts w:cs="Arial"/>
          <w:color w:val="000000"/>
          <w:szCs w:val="24"/>
        </w:rPr>
      </w:pPr>
      <w:r>
        <w:rPr>
          <w:color w:val="000000"/>
          <w:szCs w:val="24"/>
        </w:rPr>
        <w:t>Horrela, etxebizitzek ahalik eta malgutasun handienarekin diruz laguntzen jarraitu ahal izat</w:t>
      </w:r>
      <w:r>
        <w:rPr>
          <w:color w:val="000000"/>
          <w:szCs w:val="24"/>
        </w:rPr>
        <w:t>ea eska zitekeen: sustapeneko etxebizitza bakoitzeko etxebizitza, urterokotasuna, babes-araubidea amaitu aurretik eta amaitu ondoren eskatzea.</w:t>
      </w:r>
    </w:p>
    <w:p w:rsidR="00E32CB6" w:rsidRDefault="00520F6D" w:rsidP="00A56CCF">
      <w:pPr>
        <w:ind w:firstLine="540"/>
        <w:rPr>
          <w:rFonts w:cs="Arial"/>
          <w:color w:val="000000"/>
          <w:szCs w:val="24"/>
        </w:rPr>
      </w:pPr>
      <w:r>
        <w:rPr>
          <w:color w:val="000000"/>
          <w:szCs w:val="24"/>
        </w:rPr>
        <w:t>Aukera horren berri ematen da, eta enpresa sustatzaile ia guztiek dute horren berri.</w:t>
      </w:r>
    </w:p>
    <w:p w:rsidR="002B5385" w:rsidRPr="002B5385" w:rsidRDefault="00520F6D" w:rsidP="002B5385">
      <w:pPr>
        <w:ind w:firstLine="540"/>
        <w:rPr>
          <w:rFonts w:cs="Arial"/>
          <w:color w:val="000000"/>
          <w:szCs w:val="24"/>
        </w:rPr>
      </w:pPr>
      <w:r>
        <w:rPr>
          <w:color w:val="000000"/>
          <w:szCs w:val="24"/>
        </w:rPr>
        <w:lastRenderedPageBreak/>
        <w:t>2.- Publikoa eta nabarmena d</w:t>
      </w:r>
      <w:r>
        <w:rPr>
          <w:color w:val="000000"/>
          <w:szCs w:val="24"/>
        </w:rPr>
        <w:t>enez, 2020rako Aurrekontuei buruzko Foru Legearen bidez xedapen gehigarri berri bat erantsi zitzaion Nafarroan Etxebizitza Izateko Eskubideari buruzko maiatzaren 10eko 10/2010 Foru Legeari; hona testua:</w:t>
      </w:r>
    </w:p>
    <w:p w:rsidR="002B5385" w:rsidRPr="002B5385" w:rsidRDefault="00520F6D" w:rsidP="002B5385">
      <w:pPr>
        <w:ind w:firstLine="540"/>
        <w:rPr>
          <w:rFonts w:cs="Arial"/>
          <w:i/>
          <w:color w:val="000000"/>
          <w:szCs w:val="24"/>
        </w:rPr>
      </w:pPr>
      <w:r>
        <w:rPr>
          <w:i/>
          <w:color w:val="000000"/>
          <w:szCs w:val="24"/>
        </w:rPr>
        <w:t>"Hogeita batgarren xedapen gehigarria. Kalifikazio ep</w:t>
      </w:r>
      <w:r>
        <w:rPr>
          <w:i/>
          <w:color w:val="000000"/>
          <w:szCs w:val="24"/>
        </w:rPr>
        <w:t>ea bukatuta daukaten etxebizitza babestuetako maizterrentzako dirulaguntza.”</w:t>
      </w:r>
    </w:p>
    <w:p w:rsidR="002B5385" w:rsidRPr="002B5385" w:rsidRDefault="00520F6D" w:rsidP="002B5385">
      <w:pPr>
        <w:ind w:firstLine="540"/>
        <w:rPr>
          <w:rFonts w:cs="Arial"/>
          <w:i/>
          <w:color w:val="000000"/>
          <w:szCs w:val="24"/>
        </w:rPr>
      </w:pPr>
      <w:r>
        <w:rPr>
          <w:i/>
          <w:color w:val="000000"/>
          <w:szCs w:val="24"/>
        </w:rPr>
        <w:t>Errentamendurakoak diren babes ofizialeko etxebizitzen sustapen batean babes-araubidea bukatu baldin bada, lehenik maizter ziren pertsonekin errentamendu-kontratu berriak sinatzea</w:t>
      </w:r>
      <w:r>
        <w:rPr>
          <w:i/>
          <w:color w:val="000000"/>
          <w:szCs w:val="24"/>
        </w:rPr>
        <w:t>k horiei modua emanen die errentamendurako babes ofizialeko etxebizitzetarako aurreikusitako dirulaguntzak izaten segitzeko, betekizun, baldintza eta portzentaje berekin, baldin eta honako bi baldintza hauek ere betetzen badira:</w:t>
      </w:r>
    </w:p>
    <w:p w:rsidR="002B5385" w:rsidRPr="002B5385" w:rsidRDefault="00520F6D" w:rsidP="002B5385">
      <w:pPr>
        <w:ind w:firstLine="540"/>
        <w:rPr>
          <w:rFonts w:cs="Arial"/>
          <w:i/>
          <w:color w:val="000000"/>
          <w:szCs w:val="24"/>
        </w:rPr>
      </w:pPr>
      <w:r>
        <w:rPr>
          <w:i/>
          <w:color w:val="000000"/>
          <w:szCs w:val="24"/>
        </w:rPr>
        <w:t>Etxebizitzaren hileko erren</w:t>
      </w:r>
      <w:r>
        <w:rPr>
          <w:i/>
          <w:color w:val="000000"/>
          <w:szCs w:val="24"/>
        </w:rPr>
        <w:t>taren prezioa ez dadila handiagoa izan ekainaren 2ko 4/2008 Legegintzako Foru Dekretuaren bidez onetsi zen Pertsona Fisikoen Errentaren gaineko Zergari buruzko Foru Legearen testu bateginaren 68 quinquies artikuluko C letran aurreikusitakoa baino.</w:t>
      </w:r>
    </w:p>
    <w:p w:rsidR="00E32CB6" w:rsidRDefault="00520F6D" w:rsidP="002B5385">
      <w:pPr>
        <w:ind w:firstLine="540"/>
        <w:rPr>
          <w:rFonts w:cs="Arial"/>
          <w:i/>
          <w:color w:val="000000"/>
          <w:szCs w:val="24"/>
        </w:rPr>
      </w:pPr>
      <w:r>
        <w:rPr>
          <w:i/>
          <w:color w:val="000000"/>
          <w:szCs w:val="24"/>
        </w:rPr>
        <w:t>Etxebizi</w:t>
      </w:r>
      <w:r>
        <w:rPr>
          <w:i/>
          <w:color w:val="000000"/>
          <w:szCs w:val="24"/>
        </w:rPr>
        <w:t>tzak Tuteran kokatuta egotea, edo Nafarroako Lurralde Estrategiaren 10. esparruko 10.4 azpiesparruaren –Iruñeko metropolialdearen– aplikazio-eremuan.”</w:t>
      </w:r>
    </w:p>
    <w:p w:rsidR="002B5385" w:rsidRDefault="00520F6D" w:rsidP="00A56CCF">
      <w:pPr>
        <w:ind w:firstLine="540"/>
        <w:rPr>
          <w:rFonts w:cs="Arial"/>
          <w:color w:val="000000"/>
          <w:szCs w:val="24"/>
        </w:rPr>
      </w:pPr>
      <w:r>
        <w:rPr>
          <w:color w:val="000000"/>
          <w:szCs w:val="24"/>
        </w:rPr>
        <w:t>Gainera, egoera horrek ukituta egon daitezkeen familiei errenta ordaintzea errazteko, bi arau-aldaketa eg</w:t>
      </w:r>
      <w:r>
        <w:rPr>
          <w:color w:val="000000"/>
          <w:szCs w:val="24"/>
        </w:rPr>
        <w:t>in dira:</w:t>
      </w:r>
    </w:p>
    <w:p w:rsidR="00E32CB6" w:rsidRDefault="00520F6D" w:rsidP="00A56CCF">
      <w:pPr>
        <w:ind w:firstLine="540"/>
        <w:rPr>
          <w:rFonts w:cs="Arial"/>
          <w:color w:val="000000"/>
          <w:szCs w:val="24"/>
        </w:rPr>
      </w:pPr>
      <w:r>
        <w:rPr>
          <w:color w:val="000000"/>
          <w:szCs w:val="24"/>
        </w:rPr>
        <w:t>1.a Aurrekontuei buruzko Foru Legea onetsi aurretik, eta 2020. urterako, aldatu egiten da Pertsona Fisikoen Errentaren gaineko Zergari buruzko Foru Legearen Testu Bategineko 68.quinquies A.1) eta B) .1.a) eta b) artikuluaren lehen paragrafoa, 2020</w:t>
      </w:r>
      <w:r>
        <w:rPr>
          <w:color w:val="000000"/>
          <w:szCs w:val="24"/>
        </w:rPr>
        <w:t>ko urtarrilaren 1etik aurrerako ondorioekin (testu bategin hori ekainaren 2ko 4/2008 Legegintzako Foru Dekretuaren bidez onetsi zen). Horrela, DaVid eskuratzeko aukera izanen dute 2020ko urtarrilaren 1ean alokairuko etxebizitza babestu baten maizter gisa g</w:t>
      </w:r>
      <w:r>
        <w:rPr>
          <w:color w:val="000000"/>
          <w:szCs w:val="24"/>
        </w:rPr>
        <w:t>utxienez urtebete daramaten familiek. Zehazki, honela geratzen da testua (gorriz 2020rako gehitutakoa):</w:t>
      </w:r>
    </w:p>
    <w:p w:rsidR="00FE4025" w:rsidRPr="00FE4025" w:rsidRDefault="00520F6D" w:rsidP="00FE4025">
      <w:pPr>
        <w:ind w:firstLine="540"/>
        <w:rPr>
          <w:rFonts w:cs="Arial"/>
          <w:i/>
          <w:color w:val="000000"/>
          <w:szCs w:val="24"/>
        </w:rPr>
      </w:pPr>
      <w:r>
        <w:rPr>
          <w:i/>
          <w:color w:val="000000"/>
          <w:szCs w:val="24"/>
        </w:rPr>
        <w:t xml:space="preserve">“1. Behin kasuko kuota diferentziala finkatuta, bere ohiko bizileku iraunkorra denaren errentamendu-kontratu baten titularra den subjektu </w:t>
      </w:r>
      <w:r>
        <w:rPr>
          <w:i/>
          <w:color w:val="000000"/>
          <w:szCs w:val="24"/>
        </w:rPr>
        <w:lastRenderedPageBreak/>
        <w:t>pasiboak, bere</w:t>
      </w:r>
      <w:r>
        <w:rPr>
          <w:i/>
          <w:color w:val="000000"/>
          <w:szCs w:val="24"/>
        </w:rPr>
        <w:t xml:space="preserve"> familiaren diru-sarrera haztatuak Errenta Egokiagatiko Erosahalmen Nahikotasuna (ERREGEROSNA) adierazlearen 1,7 halako baino txikiagoak badira, kenkari baterako eskubidea izanen du:</w:t>
      </w:r>
    </w:p>
    <w:p w:rsidR="00E32CB6" w:rsidRDefault="00520F6D" w:rsidP="00FE4025">
      <w:pPr>
        <w:ind w:firstLine="540"/>
        <w:rPr>
          <w:rFonts w:cs="Arial"/>
          <w:i/>
          <w:color w:val="000000"/>
          <w:szCs w:val="24"/>
        </w:rPr>
      </w:pPr>
      <w:r>
        <w:rPr>
          <w:i/>
          <w:color w:val="000000"/>
          <w:szCs w:val="24"/>
        </w:rPr>
        <w:t xml:space="preserve">a) zergaldian ordaindutako errentamendu-errentaren 100eko 50ekoa, baldin </w:t>
      </w:r>
      <w:r>
        <w:rPr>
          <w:i/>
          <w:color w:val="000000"/>
          <w:szCs w:val="24"/>
        </w:rPr>
        <w:t xml:space="preserve">eta etxebizitza babestuaren eskatzaileen zentsuan izena emanda badago urte natural bakoitzeko urtarrilaren 1ean, urtebeteko edo gehiagoko antzinatasun etengabearekin, </w:t>
      </w:r>
      <w:r>
        <w:rPr>
          <w:i/>
          <w:color w:val="FF0000"/>
          <w:szCs w:val="24"/>
        </w:rPr>
        <w:t>edo urtebeteko edo gehiagoko antzinatasuna duen eta administrazioak ikus-onetsitako kontr</w:t>
      </w:r>
      <w:r>
        <w:rPr>
          <w:i/>
          <w:color w:val="FF0000"/>
          <w:szCs w:val="24"/>
        </w:rPr>
        <w:t>atua duen etxebizitza babestu baten errentaria bada</w:t>
      </w:r>
      <w:r>
        <w:rPr>
          <w:i/>
          <w:color w:val="000000"/>
          <w:szCs w:val="24"/>
        </w:rPr>
        <w:t>.”</w:t>
      </w:r>
    </w:p>
    <w:p w:rsidR="00E32CB6" w:rsidRDefault="00520F6D" w:rsidP="005713BB">
      <w:pPr>
        <w:ind w:firstLine="540"/>
        <w:rPr>
          <w:rFonts w:cs="Arial"/>
          <w:color w:val="000000"/>
          <w:szCs w:val="24"/>
        </w:rPr>
      </w:pPr>
      <w:r>
        <w:rPr>
          <w:color w:val="000000"/>
          <w:szCs w:val="24"/>
        </w:rPr>
        <w:t>Horrela, ahalegina egin zen ez zigortzeko etxebizitza babestu bateko maizterra izanik etxebizitza babestuaren eskatzaileen erroldan izena eman beharrik izan ez duten familiak eta, beraz, 2020an DaVid ke</w:t>
      </w:r>
      <w:r>
        <w:rPr>
          <w:color w:val="000000"/>
          <w:szCs w:val="24"/>
        </w:rPr>
        <w:t xml:space="preserve">nkaria eskuratu ezinik geratu zirenak. </w:t>
      </w:r>
    </w:p>
    <w:p w:rsidR="005713BB" w:rsidRDefault="00520F6D" w:rsidP="005713BB">
      <w:pPr>
        <w:ind w:firstLine="540"/>
        <w:rPr>
          <w:rFonts w:cs="Arial"/>
          <w:color w:val="000000"/>
          <w:szCs w:val="24"/>
        </w:rPr>
      </w:pPr>
      <w:r>
        <w:rPr>
          <w:color w:val="000000"/>
          <w:szCs w:val="24"/>
        </w:rPr>
        <w:t>2.a Aurrekontuei buruzko Foru Legea onetsi ondoren, eta COVID-19aren pandemia dela eta, 2020an zehar, ezabatu egin da alokairuko etxebizitza babestuen maizter gisa urtebeteko antzinatasuna izatearen baldintza, eta na</w:t>
      </w:r>
      <w:r>
        <w:rPr>
          <w:color w:val="000000"/>
          <w:szCs w:val="24"/>
        </w:rPr>
        <w:t>hikoa da 2020ko martxoaren 14a baino lehen ikus-onetsitako kontratu bat izatea. Hori guztia 2/2020 Foru Lege Dekretuaren 10.2 artikuluaren arabera, zeinak honako hau baitio:</w:t>
      </w:r>
    </w:p>
    <w:p w:rsidR="00E32CB6" w:rsidRDefault="00520F6D" w:rsidP="005713BB">
      <w:pPr>
        <w:ind w:firstLine="540"/>
        <w:rPr>
          <w:rFonts w:cs="Arial"/>
          <w:i/>
          <w:color w:val="000000"/>
          <w:szCs w:val="24"/>
        </w:rPr>
      </w:pPr>
      <w:r>
        <w:rPr>
          <w:i/>
          <w:color w:val="000000"/>
          <w:szCs w:val="24"/>
        </w:rPr>
        <w:t xml:space="preserve">“2. </w:t>
      </w:r>
      <w:r>
        <w:rPr>
          <w:i/>
          <w:szCs w:val="24"/>
        </w:rPr>
        <w:t>2020ko apirilaren 1etik aurrera, eta betiere ekitaldi horretan, etxebizitza er</w:t>
      </w:r>
      <w:r>
        <w:rPr>
          <w:i/>
          <w:szCs w:val="24"/>
        </w:rPr>
        <w:t xml:space="preserve">rentamenduagatiko kenkaria egin ahal izateko, ez da beharrezkoa izanen gutxienez urtebete eramatea inskribatua etxebizitza babestuaren eskatzaileen zentsuan, eta errentamendu kontratu ikus-onetsiari dagokionez ere ez da gutxieneko epe hori eskatuko. Hala, </w:t>
      </w:r>
      <w:r>
        <w:rPr>
          <w:i/>
          <w:szCs w:val="24"/>
        </w:rPr>
        <w:t>nahikoa izanen da etxebizitza babestuaren eskatzaileen zentsuan inskribaturik egotea 2020ko martxoaren 14a baino lehenagotik, errentamenduaren modalitatean edo erosteko aukera duen errentamenduaren modalitatean,</w:t>
      </w:r>
      <w:r>
        <w:rPr>
          <w:i/>
          <w:color w:val="FF0000"/>
          <w:szCs w:val="24"/>
        </w:rPr>
        <w:t xml:space="preserve"> edo, bestela, etxebizitza babestu baten erre</w:t>
      </w:r>
      <w:r>
        <w:rPr>
          <w:i/>
          <w:color w:val="FF0000"/>
          <w:szCs w:val="24"/>
        </w:rPr>
        <w:t>ntari izatea eta Administrazioak egun hori baino lehen ikus-onetsia izatea kontratua</w:t>
      </w:r>
      <w:r>
        <w:rPr>
          <w:i/>
          <w:color w:val="000000"/>
          <w:szCs w:val="24"/>
        </w:rPr>
        <w:t>. Kenkari hori Pertsona Fisikoen Errentaren gaineko Zergari buruzko Foru Legearen testu bategina onetsi zuen ekainaren 2ko 4/2008 Legegintzako Foru Dekretuaren 68. quinquie</w:t>
      </w:r>
      <w:r>
        <w:rPr>
          <w:i/>
          <w:color w:val="000000"/>
          <w:szCs w:val="24"/>
        </w:rPr>
        <w:t xml:space="preserve">s artikuluaren B.1.a) apartatuan jasota dago.” </w:t>
      </w:r>
    </w:p>
    <w:p w:rsidR="00E32CB6" w:rsidRDefault="00520F6D" w:rsidP="00A56CCF">
      <w:pPr>
        <w:ind w:firstLine="540"/>
        <w:rPr>
          <w:rFonts w:cs="Arial"/>
          <w:color w:val="000000"/>
          <w:szCs w:val="24"/>
        </w:rPr>
      </w:pPr>
      <w:r>
        <w:rPr>
          <w:color w:val="000000"/>
          <w:szCs w:val="24"/>
        </w:rPr>
        <w:lastRenderedPageBreak/>
        <w:t>B) Orain arte ez da aztertu babes-erregimenaren amaierak eragindako sustapenen baten erosketa edo antzeko beste formularik.</w:t>
      </w:r>
    </w:p>
    <w:p w:rsidR="00E32CB6" w:rsidRDefault="00520F6D" w:rsidP="00A56CCF">
      <w:pPr>
        <w:ind w:firstLine="540"/>
        <w:rPr>
          <w:rFonts w:cs="Arial"/>
          <w:color w:val="000000"/>
          <w:szCs w:val="24"/>
        </w:rPr>
      </w:pPr>
      <w:r>
        <w:rPr>
          <w:color w:val="000000"/>
          <w:szCs w:val="24"/>
        </w:rPr>
        <w:t>Hori guztia jakinarazten dizut, Nafarroako Parlamentuko Erregelamenduaren 194. artik</w:t>
      </w:r>
      <w:r>
        <w:rPr>
          <w:color w:val="000000"/>
          <w:szCs w:val="24"/>
        </w:rPr>
        <w:t>ulua betez.</w:t>
      </w:r>
    </w:p>
    <w:p w:rsidR="006C093B" w:rsidRPr="00A113CA" w:rsidRDefault="00520F6D" w:rsidP="00A113CA">
      <w:pPr>
        <w:jc w:val="center"/>
        <w:rPr>
          <w:rFonts w:cs="Arial"/>
          <w:color w:val="000000"/>
          <w:szCs w:val="24"/>
        </w:rPr>
      </w:pPr>
      <w:r>
        <w:rPr>
          <w:color w:val="000000"/>
          <w:szCs w:val="24"/>
        </w:rPr>
        <w:t>Iruñean, 2020ko ekainaren 16an.</w:t>
      </w:r>
    </w:p>
    <w:p w:rsidR="00D77C2F" w:rsidRPr="00E07A7D" w:rsidRDefault="00520F6D" w:rsidP="00A113CA">
      <w:pPr>
        <w:jc w:val="center"/>
        <w:rPr>
          <w:rFonts w:cs="Arial"/>
          <w:color w:val="000000"/>
          <w:szCs w:val="24"/>
        </w:rPr>
      </w:pPr>
      <w:r>
        <w:t>Bigarren lehendakariorde eta Lurraldearen Antolamenduko, Etxebizitzako, Paisaiako eta Proiektu Estrategikoetako kontseilaria:</w:t>
      </w:r>
      <w:r>
        <w:rPr>
          <w:color w:val="000000"/>
          <w:szCs w:val="24"/>
        </w:rPr>
        <w:t xml:space="preserve"> José María Aierdi Fernández de Barrena</w:t>
      </w:r>
    </w:p>
    <w:sectPr w:rsidR="00D77C2F" w:rsidRPr="00E07A7D" w:rsidSect="00211860">
      <w:headerReference w:type="default" r:id="rId8"/>
      <w:footerReference w:type="even" r:id="rId9"/>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F6D">
      <w:pPr>
        <w:spacing w:line="240" w:lineRule="auto"/>
      </w:pPr>
      <w:r>
        <w:separator/>
      </w:r>
    </w:p>
  </w:endnote>
  <w:endnote w:type="continuationSeparator" w:id="0">
    <w:p w:rsidR="00000000" w:rsidRDefault="00520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20F6D">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954D1C">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F6D">
      <w:pPr>
        <w:spacing w:line="240" w:lineRule="auto"/>
      </w:pPr>
      <w:r>
        <w:separator/>
      </w:r>
    </w:p>
  </w:footnote>
  <w:footnote w:type="continuationSeparator" w:id="0">
    <w:p w:rsidR="00000000" w:rsidRDefault="00520F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26"/>
    <w:multiLevelType w:val="hybridMultilevel"/>
    <w:tmpl w:val="D6ECA8EE"/>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914414"/>
    <w:multiLevelType w:val="hybridMultilevel"/>
    <w:tmpl w:val="F35EF3F0"/>
    <w:lvl w:ilvl="0">
      <w:start w:val="1"/>
      <w:numFmt w:val="decimal"/>
      <w:lvlText w:val="%1-"/>
      <w:lvlJc w:val="left"/>
      <w:pPr>
        <w:tabs>
          <w:tab w:val="num" w:pos="1684"/>
        </w:tabs>
        <w:ind w:left="1684" w:hanging="97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nsid w:val="05FF2F1C"/>
    <w:multiLevelType w:val="hybridMultilevel"/>
    <w:tmpl w:val="AA58953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C52BB1"/>
    <w:multiLevelType w:val="hybridMultilevel"/>
    <w:tmpl w:val="FE2C82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A819FB"/>
    <w:multiLevelType w:val="hybridMultilevel"/>
    <w:tmpl w:val="F4C6F330"/>
    <w:lvl w:ilvl="0">
      <w:start w:val="1"/>
      <w:numFmt w:val="decimal"/>
      <w:lvlText w:val="%1."/>
      <w:lvlJc w:val="left"/>
      <w:pPr>
        <w:tabs>
          <w:tab w:val="num" w:pos="1428"/>
        </w:tabs>
        <w:ind w:left="1428" w:hanging="360"/>
      </w:pPr>
    </w:lvl>
    <w:lvl w:ilvl="1">
      <w:start w:val="1"/>
      <w:numFmt w:val="bullet"/>
      <w:lvlText w:val=""/>
      <w:lvlJc w:val="left"/>
      <w:pPr>
        <w:tabs>
          <w:tab w:val="num" w:pos="2148"/>
        </w:tabs>
        <w:ind w:left="2148" w:hanging="360"/>
      </w:pPr>
      <w:rPr>
        <w:rFonts w:ascii="Symbol" w:hAnsi="Symbol" w:hint="default"/>
      </w:rPr>
    </w:lvl>
    <w:lvl w:ilvl="2">
      <w:start w:val="1"/>
      <w:numFmt w:val="decimal"/>
      <w:lvlText w:val="%3."/>
      <w:lvlJc w:val="left"/>
      <w:pPr>
        <w:tabs>
          <w:tab w:val="num" w:pos="3048"/>
        </w:tabs>
        <w:ind w:left="3048" w:hanging="36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5">
    <w:nsid w:val="17012FB8"/>
    <w:multiLevelType w:val="hybridMultilevel"/>
    <w:tmpl w:val="5B903D06"/>
    <w:lvl w:ilvl="0">
      <w:start w:val="1"/>
      <w:numFmt w:val="upp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186E60F3"/>
    <w:multiLevelType w:val="hybridMultilevel"/>
    <w:tmpl w:val="BE48546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6964E12"/>
    <w:multiLevelType w:val="hybridMultilevel"/>
    <w:tmpl w:val="A28A11C6"/>
    <w:lvl w:ilvl="0">
      <w:start w:val="1"/>
      <w:numFmt w:val="decimal"/>
      <w:lvlText w:val="%1."/>
      <w:lvlJc w:val="left"/>
      <w:pPr>
        <w:tabs>
          <w:tab w:val="num" w:pos="1485"/>
        </w:tabs>
        <w:ind w:left="1485" w:hanging="360"/>
      </w:pPr>
    </w:lvl>
    <w:lvl w:ilvl="1" w:tentative="1">
      <w:start w:val="1"/>
      <w:numFmt w:val="lowerLetter"/>
      <w:lvlText w:val="%2."/>
      <w:lvlJc w:val="left"/>
      <w:pPr>
        <w:tabs>
          <w:tab w:val="num" w:pos="2205"/>
        </w:tabs>
        <w:ind w:left="2205" w:hanging="360"/>
      </w:p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8">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461A80"/>
    <w:multiLevelType w:val="hybridMultilevel"/>
    <w:tmpl w:val="FB56DB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F0C3871"/>
    <w:multiLevelType w:val="hybridMultilevel"/>
    <w:tmpl w:val="019AC616"/>
    <w:lvl w:ilvl="0">
      <w:start w:val="1"/>
      <w:numFmt w:val="decimal"/>
      <w:lvlText w:val="%1."/>
      <w:lvlJc w:val="left"/>
      <w:pPr>
        <w:tabs>
          <w:tab w:val="num" w:pos="1077"/>
        </w:tabs>
        <w:ind w:left="1077" w:hanging="360"/>
      </w:p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11">
    <w:nsid w:val="507B4F98"/>
    <w:multiLevelType w:val="hybridMultilevel"/>
    <w:tmpl w:val="97F86B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3DE441D"/>
    <w:multiLevelType w:val="hybridMultilevel"/>
    <w:tmpl w:val="46381D98"/>
    <w:lvl w:ilvl="0">
      <w:start w:val="3"/>
      <w:numFmt w:val="bullet"/>
      <w:lvlText w:val="-"/>
      <w:lvlJc w:val="left"/>
      <w:pPr>
        <w:tabs>
          <w:tab w:val="num" w:pos="1578"/>
        </w:tabs>
        <w:ind w:left="1578" w:hanging="870"/>
      </w:pPr>
      <w:rPr>
        <w:rFonts w:ascii="Arial" w:eastAsia="Times New Roman" w:hAnsi="Arial" w:cs="Arial"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3">
    <w:nsid w:val="62534B3E"/>
    <w:multiLevelType w:val="hybridMultilevel"/>
    <w:tmpl w:val="72F455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C2337DA"/>
    <w:multiLevelType w:val="hybridMultilevel"/>
    <w:tmpl w:val="2A2081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4786841"/>
    <w:multiLevelType w:val="hybridMultilevel"/>
    <w:tmpl w:val="A8CE51D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777761C2"/>
    <w:multiLevelType w:val="hybridMultilevel"/>
    <w:tmpl w:val="100037EA"/>
    <w:lvl w:ilvl="0">
      <w:start w:val="1"/>
      <w:numFmt w:val="bullet"/>
      <w:lvlText w:val=""/>
      <w:lvlJc w:val="left"/>
      <w:pPr>
        <w:tabs>
          <w:tab w:val="num" w:pos="1428"/>
        </w:tabs>
        <w:ind w:left="1428" w:hanging="360"/>
      </w:pPr>
      <w:rPr>
        <w:rFonts w:ascii="Wingdings" w:hAnsi="Wingdings"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3"/>
  </w:num>
  <w:num w:numId="3">
    <w:abstractNumId w:val="9"/>
  </w:num>
  <w:num w:numId="4">
    <w:abstractNumId w:val="15"/>
  </w:num>
  <w:num w:numId="5">
    <w:abstractNumId w:val="1"/>
  </w:num>
  <w:num w:numId="6">
    <w:abstractNumId w:val="14"/>
  </w:num>
  <w:num w:numId="7">
    <w:abstractNumId w:val="6"/>
  </w:num>
  <w:num w:numId="8">
    <w:abstractNumId w:val="4"/>
  </w:num>
  <w:num w:numId="9">
    <w:abstractNumId w:val="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3"/>
  </w:num>
  <w:num w:numId="15">
    <w:abstractNumId w:val="0"/>
  </w:num>
  <w:num w:numId="16">
    <w:abstractNumId w:val="10"/>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17D2B"/>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EC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198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D56AA"/>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385"/>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0F6D"/>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13BB"/>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6A17"/>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3C9C"/>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2D0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4D1C"/>
    <w:rsid w:val="00955E48"/>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46CA"/>
    <w:rsid w:val="009A5795"/>
    <w:rsid w:val="009B00D1"/>
    <w:rsid w:val="009B085D"/>
    <w:rsid w:val="009B0AB4"/>
    <w:rsid w:val="009B1F01"/>
    <w:rsid w:val="009B2A4C"/>
    <w:rsid w:val="009B2B0C"/>
    <w:rsid w:val="009B33A6"/>
    <w:rsid w:val="009B3D91"/>
    <w:rsid w:val="009B3F4B"/>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3CA"/>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50D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0621"/>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6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2CB6"/>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4025"/>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lang w:val="eu-ES"/>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
    <w:name w:val="xl2"/>
    <w:basedOn w:val="Normal"/>
    <w:rsid w:val="00FE4025"/>
    <w:pPr>
      <w:spacing w:after="240" w:line="240" w:lineRule="auto"/>
      <w:ind w:left="475" w:right="68" w:hanging="204"/>
    </w:pPr>
    <w:rPr>
      <w:rFonts w:ascii="Times New Roman" w:hAnsi="Times New Roman"/>
      <w:szCs w:val="24"/>
    </w:rPr>
  </w:style>
  <w:style w:type="paragraph" w:customStyle="1" w:styleId="xl3">
    <w:name w:val="xl3"/>
    <w:basedOn w:val="Normal"/>
    <w:rsid w:val="00FE4025"/>
    <w:pPr>
      <w:spacing w:after="240" w:line="240" w:lineRule="auto"/>
      <w:ind w:left="679" w:right="68" w:hanging="204"/>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lang w:val="eu-ES"/>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
    <w:name w:val="xl2"/>
    <w:basedOn w:val="Normal"/>
    <w:rsid w:val="00FE4025"/>
    <w:pPr>
      <w:spacing w:after="240" w:line="240" w:lineRule="auto"/>
      <w:ind w:left="475" w:right="68" w:hanging="204"/>
    </w:pPr>
    <w:rPr>
      <w:rFonts w:ascii="Times New Roman" w:hAnsi="Times New Roman"/>
      <w:szCs w:val="24"/>
    </w:rPr>
  </w:style>
  <w:style w:type="paragraph" w:customStyle="1" w:styleId="xl3">
    <w:name w:val="xl3"/>
    <w:basedOn w:val="Normal"/>
    <w:rsid w:val="00FE4025"/>
    <w:pPr>
      <w:spacing w:after="240" w:line="240" w:lineRule="auto"/>
      <w:ind w:left="679" w:right="68" w:hanging="204"/>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5593</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Aranaz, Carlota</cp:lastModifiedBy>
  <cp:revision>2</cp:revision>
  <cp:lastPrinted>2018-10-15T10:28:00Z</cp:lastPrinted>
  <dcterms:created xsi:type="dcterms:W3CDTF">2020-08-26T11:37:00Z</dcterms:created>
  <dcterms:modified xsi:type="dcterms:W3CDTF">2020-08-26T11:37:00Z</dcterms:modified>
</cp:coreProperties>
</file>