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43" w:rsidRDefault="0033638B" w:rsidP="007F2F43">
      <w:pPr>
        <w:spacing w:line="360" w:lineRule="auto"/>
        <w:jc w:val="both"/>
        <w:rPr>
          <w:sz w:val="24"/>
          <w:szCs w:val="24"/>
          <w:rFonts w:ascii="Century Gothic" w:hAnsi="Century Gothic"/>
        </w:rPr>
      </w:pPr>
      <w:r>
        <w:rPr>
          <w:sz w:val="24"/>
          <w:szCs w:val="24"/>
          <w:rFonts w:ascii="Century Gothic" w:hAnsi="Century Gothic"/>
        </w:rPr>
        <w:t xml:space="preserve">Uztailak 15</w:t>
      </w:r>
    </w:p>
    <w:p w:rsidR="0033638B" w:rsidRDefault="007F2F43" w:rsidP="007F2F43">
      <w:pPr>
        <w:tabs>
          <w:tab w:val="left" w:pos="3780"/>
        </w:tabs>
        <w:spacing w:line="360" w:lineRule="auto"/>
        <w:jc w:val="both"/>
        <w:rPr>
          <w:sz w:val="24"/>
          <w:szCs w:val="24"/>
          <w:rFonts w:ascii="Century Gothic" w:eastAsia="Times New Roman" w:hAnsi="Century Gothic"/>
        </w:rPr>
      </w:pPr>
      <w:r>
        <w:rPr>
          <w:sz w:val="24"/>
          <w:szCs w:val="24"/>
          <w:rFonts w:ascii="Century Gothic" w:hAnsi="Century Gothic"/>
        </w:rPr>
        <w:t xml:space="preserve">Navarra Suma talde parlamentarioari atxikitako foru parlamentari Cristina Ibarrola Guillén andreak idatzizko galdera aurkeztu du (10-20-PES-00116), jakin nahi baitu “zeintzuk diren oinarrizko osasun eskualdeen arabera, 3. fasera igarotzea justifikatu duten datu epidemiologikoak”. Hona horri buruz helarazi beharreko informazioa:</w:t>
      </w:r>
    </w:p>
    <w:p w:rsidR="007F2F43" w:rsidRDefault="007F2F43" w:rsidP="007F2F43">
      <w:pPr>
        <w:spacing w:line="360" w:lineRule="auto"/>
        <w:jc w:val="both"/>
        <w:rPr>
          <w:sz w:val="24"/>
          <w:szCs w:val="24"/>
          <w:rFonts w:ascii="Century Gothic" w:hAnsi="Century Gothic"/>
        </w:rPr>
      </w:pPr>
      <w:r>
        <w:rPr>
          <w:sz w:val="24"/>
          <w:szCs w:val="24"/>
          <w:rFonts w:ascii="Century Gothic" w:hAnsi="Century Gothic"/>
        </w:rPr>
        <w:t xml:space="preserve">3. fasera igarotzeari buruzko datu epidemiologikoak erantsi ditut, bere garaian informalki bidali ziren bezala, bai eta fasea igarotzea justifikatu zuten beste datu erlazionatu batzuk ere.</w:t>
      </w:r>
    </w:p>
    <w:p w:rsidR="0033638B" w:rsidRDefault="007F2F43" w:rsidP="007F2F43">
      <w:pPr>
        <w:spacing w:line="360" w:lineRule="auto"/>
        <w:jc w:val="both"/>
        <w:rPr>
          <w:sz w:val="24"/>
          <w:szCs w:val="24"/>
          <w:rFonts w:ascii="Century Gothic" w:hAnsi="Century Gothic" w:cs="Arial"/>
        </w:rPr>
      </w:pPr>
      <w:r>
        <w:rPr>
          <w:sz w:val="24"/>
          <w:szCs w:val="24"/>
          <w:rFonts w:ascii="Century Gothic" w:hAnsi="Century Gothic"/>
        </w:rPr>
        <w:t xml:space="preserve">Nolanahi ere, Nafarroako Foru Komunitateak, bere lehen txostenean, deseskalatze-prozesuari lurralde-unitate txikiagoen arabera heltzeko aukera planteatu bazuen ere, azkenean prozesu horretatik guztitik igaro da, Osasun Ministerioko talde teknikoekin batera, probintzia bera hartuz erreferentziazko unitatetzat, kasu honetan autonomiarekin bat datorren unitatea.</w:t>
      </w:r>
      <w:r>
        <w:rPr>
          <w:sz w:val="24"/>
          <w:szCs w:val="24"/>
          <w:rFonts w:ascii="Century Gothic" w:hAnsi="Century Gothic"/>
        </w:rPr>
        <w:t xml:space="preserve"> </w:t>
      </w:r>
      <w:r>
        <w:rPr>
          <w:sz w:val="24"/>
          <w:szCs w:val="24"/>
          <w:rFonts w:ascii="Century Gothic" w:hAnsi="Century Gothic"/>
        </w:rPr>
        <w:t xml:space="preserve">Beraz, Osasun Ministerioak fase-aldaketa guztietan, 0 fasetik 1. fasera bitartean hasita, egin duen balorazioak Nafarroa osoko informazio epidemiologikoa eta beste aldagai batzuk —hala nola erantzuteko gaitasuna, mugikortasuna eta abar— hartu ditu erreferentziatzat, erantsitako txostenean egiazta daitekeen bezala.</w:t>
      </w:r>
      <w:r>
        <w:rPr>
          <w:sz w:val="24"/>
          <w:szCs w:val="24"/>
          <w:rFonts w:ascii="Century Gothic" w:hAnsi="Century Gothic"/>
        </w:rPr>
        <w:t xml:space="preserve"> </w:t>
      </w:r>
    </w:p>
    <w:p w:rsidR="0033638B" w:rsidRDefault="007F2F43" w:rsidP="007F2F43">
      <w:pPr>
        <w:tabs>
          <w:tab w:val="left" w:pos="720"/>
        </w:tabs>
        <w:spacing w:line="360" w:lineRule="auto"/>
        <w:jc w:val="both"/>
        <w:rPr>
          <w:sz w:val="24"/>
          <w:szCs w:val="24"/>
          <w:rFonts w:ascii="Century Gothic" w:eastAsia="Times New Roman" w:hAnsi="Century Gothic"/>
        </w:rPr>
      </w:pPr>
      <w:r>
        <w:rPr>
          <w:sz w:val="24"/>
          <w:szCs w:val="24"/>
          <w:rFonts w:ascii="Century Gothic" w:hAnsi="Century Gothic"/>
        </w:rPr>
        <w:t xml:space="preserve">Hori guztia jakinarazten dizut, Nafarroako Parlamentuko Erregelamenduaren 194. artikulua betez.</w:t>
      </w:r>
    </w:p>
    <w:p w:rsidR="0033638B" w:rsidRDefault="007F2F43" w:rsidP="007F2F43">
      <w:pPr>
        <w:tabs>
          <w:tab w:val="left" w:pos="3780"/>
        </w:tabs>
        <w:spacing w:line="360" w:lineRule="auto"/>
        <w:jc w:val="both"/>
        <w:rPr>
          <w:sz w:val="24"/>
          <w:szCs w:val="24"/>
          <w:rFonts w:ascii="Century Gothic" w:eastAsia="Times New Roman" w:hAnsi="Century Gothic"/>
        </w:rPr>
      </w:pPr>
      <w:r>
        <w:rPr>
          <w:sz w:val="24"/>
          <w:szCs w:val="24"/>
          <w:rFonts w:ascii="Century Gothic" w:hAnsi="Century Gothic"/>
        </w:rPr>
        <w:t xml:space="preserve">Iruñean, 2020ko uztailaren 13an</w:t>
      </w:r>
    </w:p>
    <w:p w:rsidR="007F2F43" w:rsidRDefault="0033638B" w:rsidP="007F2F43">
      <w:pPr>
        <w:spacing w:line="360" w:lineRule="auto"/>
        <w:ind w:left="567" w:right="567"/>
        <w:jc w:val="center"/>
        <w:rPr>
          <w:sz w:val="24"/>
          <w:szCs w:val="24"/>
          <w:rFonts w:ascii="Century Gothic" w:eastAsia="Times New Roman" w:hAnsi="Century Gothic"/>
        </w:rPr>
      </w:pPr>
      <w:r>
        <w:rPr>
          <w:sz w:val="24"/>
          <w:szCs w:val="24"/>
          <w:rFonts w:ascii="Century Gothic" w:hAnsi="Century Gothic"/>
        </w:rPr>
        <w:t xml:space="preserve">Osasuneko kontseilaria:</w:t>
      </w:r>
      <w:r>
        <w:rPr>
          <w:sz w:val="24"/>
          <w:szCs w:val="24"/>
          <w:rFonts w:ascii="Century Gothic" w:hAnsi="Century Gothic"/>
        </w:rPr>
        <w:t xml:space="preserve"> </w:t>
      </w:r>
      <w:r>
        <w:rPr>
          <w:sz w:val="24"/>
          <w:szCs w:val="24"/>
          <w:rFonts w:ascii="Century Gothic" w:hAnsi="Century Gothic"/>
        </w:rPr>
        <w:t xml:space="preserve">Santos Induráin Orduna</w:t>
      </w:r>
    </w:p>
    <w:p w:rsidR="0033638B" w:rsidRDefault="0033638B" w:rsidP="0033638B">
      <w:pPr>
        <w:rPr>
          <w:rFonts w:ascii="Times New (W1)" w:hAnsi="Times New (W1)"/>
        </w:rPr>
      </w:pPr>
      <w:r>
        <w:rPr>
          <w:rFonts w:ascii="Times New (W1)" w:hAnsi="Times New (W1)"/>
        </w:rPr>
        <w:t xml:space="preserve">(Oharra:</w:t>
      </w:r>
      <w:r>
        <w:rPr>
          <w:rFonts w:ascii="Times New (W1)" w:hAnsi="Times New (W1)"/>
        </w:rPr>
        <w:t xml:space="preserve"> </w:t>
      </w:r>
      <w:r>
        <w:t xml:space="preserve">Aipatu eranskina foru parlamentarien eskura dago Parlamentuaren kudeaketarako Ágora sisteman).</w:t>
      </w:r>
    </w:p>
    <w:p w:rsidR="00DE65F6" w:rsidRDefault="00DE65F6"/>
    <w:sectPr w:rsidR="00DE65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43"/>
    <w:rsid w:val="0033638B"/>
    <w:rsid w:val="007F2F43"/>
    <w:rsid w:val="00DE6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43"/>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43"/>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2</cp:revision>
  <dcterms:created xsi:type="dcterms:W3CDTF">2020-06-26T13:06:00Z</dcterms:created>
  <dcterms:modified xsi:type="dcterms:W3CDTF">2020-07-16T06:33:00Z</dcterms:modified>
</cp:coreProperties>
</file>